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DAA" w:rsidRPr="00276698" w:rsidRDefault="00EB61B6" w:rsidP="006F7519">
      <w:pPr>
        <w:spacing w:line="276" w:lineRule="auto"/>
        <w:jc w:val="right"/>
        <w:rPr>
          <w:lang w:val="en-US"/>
        </w:rPr>
        <w:sectPr w:rsidR="009B1DAA" w:rsidRPr="00276698" w:rsidSect="009B1DAA">
          <w:footerReference w:type="default" r:id="rId21"/>
          <w:pgSz w:w="11907" w:h="16839"/>
          <w:pgMar w:top="1134" w:right="1417" w:bottom="1134" w:left="1417" w:header="709" w:footer="709" w:gutter="0"/>
          <w:pgNumType w:start="1"/>
          <w:cols w:space="708"/>
          <w:docGrid w:linePitch="360"/>
        </w:sectPr>
      </w:pPr>
      <w:r>
        <w:rPr>
          <w:noProof/>
          <w:lang w:val="en-US" w:eastAsia="en-US"/>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margin">
                  <wp:align>center</wp:align>
                </wp:positionV>
                <wp:extent cx="4572000" cy="3162935"/>
                <wp:effectExtent l="0" t="0" r="19050" b="56515"/>
                <wp:wrapSquare wrapText="bothSides"/>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0" cy="3162935"/>
                        </a:xfrm>
                        <a:prstGeom prst="rect">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rsidR="006D5DA0" w:rsidRPr="006C6828" w:rsidRDefault="006D5DA0" w:rsidP="00FF685E">
                            <w:pPr>
                              <w:jc w:val="center"/>
                              <w:rPr>
                                <w:sz w:val="36"/>
                                <w:lang w:val="it-IT"/>
                              </w:rPr>
                            </w:pPr>
                            <w:r w:rsidRPr="006C6828">
                              <w:rPr>
                                <w:sz w:val="36"/>
                                <w:lang w:val="it-IT"/>
                              </w:rPr>
                              <w:t>PROGRAMUL OPERAŢIONAL DE COOPERARE TRANSFRONTALIERĂ ROMÂNIA-BULGARIA 2014-2020</w:t>
                            </w:r>
                          </w:p>
                          <w:p w:rsidR="006D5DA0" w:rsidRPr="006C6828" w:rsidRDefault="006D5DA0">
                            <w:pPr>
                              <w:rPr>
                                <w:lang w:val="it-IT"/>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0;width:5in;height:249.05pt;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" fillcolor="#a3c4ff" strokecolor="#4579b8 [3044]">
                <v:fill color2="#e5eeff" rotate="t" angle="180" colors="0 #a3c4ff;22938f #bfd5ff;1 #e5eeff" focus="100%" type="gradient"/>
                <v:shadow on="t" opacity="24903f" origin=",.5" offset="0,.55556mm"/>
                <v:path arrowok="t"/>
                <v:textbox>
                  <w:txbxContent>
                    <w:p w:rsidR="006D5DA0" w:rsidRPr="006C6828" w:rsidRDefault="006D5DA0" w:rsidP="00FF685E">
                      <w:pPr>
                        <w:jc w:val="center"/>
                        <w:rPr>
                          <w:sz w:val="36"/>
                          <w:lang w:val="it-IT"/>
                        </w:rPr>
                      </w:pPr>
                      <w:r w:rsidRPr="006C6828">
                        <w:rPr>
                          <w:sz w:val="36"/>
                          <w:lang w:val="it-IT"/>
                        </w:rPr>
                        <w:t>PROGRAMUL OPERAŢIONAL DE COOPERARE TRANSFRONTALIERĂ ROMÂNIA-BULGARIA 2014-2020</w:t>
                      </w:r>
                    </w:p>
                    <w:p w:rsidR="006D5DA0" w:rsidRPr="006C6828" w:rsidRDefault="006D5DA0">
                      <w:pPr>
                        <w:rPr>
                          <w:lang w:val="it-IT"/>
                        </w:rPr>
                      </w:pPr>
                    </w:p>
                  </w:txbxContent>
                </v:textbox>
                <w10:wrap type="square" anchorx="margin" anchory="margin"/>
              </v:rect>
            </w:pict>
          </mc:Fallback>
        </mc:AlternateContent>
      </w:r>
      <w:r w:rsidR="006F7519">
        <w:rPr>
          <w:lang w:val="en-US"/>
        </w:rPr>
        <w:t>Anexa 4</w:t>
      </w:r>
    </w:p>
    <w:p w:rsidR="009B1DAA" w:rsidRPr="00276698" w:rsidRDefault="009B1DAA" w:rsidP="009B1DAA">
      <w:pPr>
        <w:pStyle w:val="Objetacteprincipal"/>
        <w:spacing w:line="276" w:lineRule="auto"/>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8"/>
        <w:gridCol w:w="5103"/>
      </w:tblGrid>
      <w:tr w:rsidR="009B1DAA" w:rsidRPr="007B6705" w:rsidTr="009B1DAA">
        <w:trPr>
          <w:trHeight w:val="222"/>
          <w:jc w:val="center"/>
        </w:trPr>
        <w:tc>
          <w:tcPr>
            <w:tcW w:w="2943" w:type="dxa"/>
            <w:shd w:val="clear" w:color="auto" w:fill="auto"/>
          </w:tcPr>
          <w:p w:rsidR="009B1DAA" w:rsidRPr="002B6BB0" w:rsidRDefault="00EE5925" w:rsidP="006B7F12">
            <w:pPr>
              <w:spacing w:after="0" w:line="276" w:lineRule="auto"/>
              <w:jc w:val="left"/>
              <w:rPr>
                <w:rFonts w:eastAsia="Times New Roman"/>
                <w:szCs w:val="24"/>
                <w:lang w:val="en-US"/>
              </w:rPr>
            </w:pPr>
            <w:r w:rsidRPr="002B6BB0">
              <w:rPr>
                <w:rFonts w:eastAsia="Times New Roman"/>
                <w:szCs w:val="24"/>
                <w:lang w:val="en-US"/>
              </w:rPr>
              <w:t>ICC</w:t>
            </w:r>
          </w:p>
        </w:tc>
        <w:tc>
          <w:tcPr>
            <w:tcW w:w="5103" w:type="dxa"/>
            <w:shd w:val="clear" w:color="auto" w:fill="auto"/>
          </w:tcPr>
          <w:p w:rsidR="009B1DAA" w:rsidRPr="007B6705" w:rsidRDefault="009B1DAA" w:rsidP="006B7F12">
            <w:pPr>
              <w:spacing w:after="0" w:line="276" w:lineRule="auto"/>
              <w:jc w:val="left"/>
              <w:rPr>
                <w:rFonts w:eastAsia="Times New Roman"/>
                <w:szCs w:val="24"/>
                <w:highlight w:val="red"/>
                <w:lang w:val="en-US"/>
              </w:rPr>
            </w:pPr>
          </w:p>
        </w:tc>
      </w:tr>
      <w:tr w:rsidR="009B1DAA" w:rsidRPr="00A158A9" w:rsidTr="009B1DAA">
        <w:trPr>
          <w:trHeight w:val="269"/>
          <w:jc w:val="center"/>
        </w:trPr>
        <w:tc>
          <w:tcPr>
            <w:tcW w:w="2943" w:type="dxa"/>
            <w:shd w:val="clear" w:color="auto" w:fill="auto"/>
          </w:tcPr>
          <w:p w:rsidR="009B1DAA" w:rsidRPr="002B6BB0" w:rsidRDefault="00EE5925" w:rsidP="006B7F12">
            <w:pPr>
              <w:spacing w:after="0" w:line="276" w:lineRule="auto"/>
              <w:jc w:val="left"/>
              <w:rPr>
                <w:rFonts w:eastAsia="Times New Roman"/>
                <w:szCs w:val="24"/>
                <w:lang w:val="en-US"/>
              </w:rPr>
            </w:pPr>
            <w:r w:rsidRPr="002B6BB0">
              <w:rPr>
                <w:rFonts w:eastAsia="Times New Roman"/>
                <w:szCs w:val="24"/>
                <w:lang w:val="en-US"/>
              </w:rPr>
              <w:t>Titlul</w:t>
            </w:r>
          </w:p>
        </w:tc>
        <w:tc>
          <w:tcPr>
            <w:tcW w:w="5103" w:type="dxa"/>
            <w:shd w:val="clear" w:color="auto" w:fill="auto"/>
          </w:tcPr>
          <w:p w:rsidR="009B1DAA" w:rsidRPr="002B6BB0" w:rsidRDefault="003627E5" w:rsidP="006B7F12">
            <w:pPr>
              <w:spacing w:after="0" w:line="276" w:lineRule="auto"/>
              <w:jc w:val="left"/>
              <w:rPr>
                <w:rFonts w:eastAsia="Times New Roman"/>
                <w:szCs w:val="24"/>
                <w:lang w:val="it-IT"/>
              </w:rPr>
            </w:pPr>
            <w:r w:rsidRPr="002B6BB0">
              <w:rPr>
                <w:rFonts w:eastAsia="Times New Roman"/>
                <w:szCs w:val="24"/>
                <w:lang w:val="it-IT"/>
              </w:rPr>
              <w:t>Program</w:t>
            </w:r>
            <w:r w:rsidR="00426D85">
              <w:rPr>
                <w:rFonts w:eastAsia="Times New Roman"/>
                <w:szCs w:val="24"/>
                <w:lang w:val="it-IT"/>
              </w:rPr>
              <w:t>ul de cooperare transfrontalieră Româ</w:t>
            </w:r>
            <w:r w:rsidR="007251D8" w:rsidRPr="002B6BB0">
              <w:rPr>
                <w:rFonts w:eastAsia="Times New Roman"/>
                <w:szCs w:val="24"/>
                <w:lang w:val="it-IT"/>
              </w:rPr>
              <w:t>nia Bulgaria 2014-2020</w:t>
            </w:r>
          </w:p>
        </w:tc>
      </w:tr>
      <w:tr w:rsidR="009B1DAA" w:rsidRPr="007B6705" w:rsidTr="009B1DAA">
        <w:trPr>
          <w:trHeight w:val="138"/>
          <w:jc w:val="center"/>
        </w:trPr>
        <w:tc>
          <w:tcPr>
            <w:tcW w:w="2943" w:type="dxa"/>
            <w:shd w:val="clear" w:color="auto" w:fill="auto"/>
          </w:tcPr>
          <w:p w:rsidR="009B1DAA" w:rsidRPr="002B6BB0" w:rsidRDefault="007251D8" w:rsidP="006B7F12">
            <w:pPr>
              <w:spacing w:after="0" w:line="276" w:lineRule="auto"/>
              <w:jc w:val="left"/>
              <w:rPr>
                <w:rFonts w:eastAsia="Times New Roman"/>
                <w:szCs w:val="24"/>
                <w:lang w:val="en-US"/>
              </w:rPr>
            </w:pPr>
            <w:r w:rsidRPr="002B6BB0">
              <w:rPr>
                <w:rFonts w:eastAsia="Times New Roman"/>
                <w:szCs w:val="24"/>
                <w:lang w:val="en-US"/>
              </w:rPr>
              <w:t>Versiunea</w:t>
            </w:r>
          </w:p>
        </w:tc>
        <w:tc>
          <w:tcPr>
            <w:tcW w:w="5103" w:type="dxa"/>
            <w:shd w:val="clear" w:color="auto" w:fill="auto"/>
          </w:tcPr>
          <w:p w:rsidR="009B1DAA" w:rsidRPr="002B6BB0" w:rsidRDefault="005060C8" w:rsidP="006B7F12">
            <w:pPr>
              <w:spacing w:after="0" w:line="276" w:lineRule="auto"/>
              <w:jc w:val="left"/>
              <w:rPr>
                <w:rFonts w:eastAsia="Times New Roman"/>
                <w:szCs w:val="24"/>
                <w:lang w:val="en-US"/>
              </w:rPr>
            </w:pPr>
            <w:r w:rsidRPr="002B6BB0">
              <w:rPr>
                <w:rFonts w:eastAsia="Times New Roman"/>
                <w:szCs w:val="24"/>
                <w:lang w:val="en-US"/>
              </w:rPr>
              <w:t>1</w:t>
            </w:r>
          </w:p>
        </w:tc>
      </w:tr>
      <w:tr w:rsidR="009B1DAA" w:rsidRPr="007B6705" w:rsidTr="009B1DAA">
        <w:trPr>
          <w:jc w:val="center"/>
        </w:trPr>
        <w:tc>
          <w:tcPr>
            <w:tcW w:w="2943" w:type="dxa"/>
            <w:shd w:val="clear" w:color="auto" w:fill="auto"/>
          </w:tcPr>
          <w:p w:rsidR="009B1DAA" w:rsidRPr="002B6BB0" w:rsidRDefault="007251D8" w:rsidP="006B7F12">
            <w:pPr>
              <w:spacing w:after="0" w:line="276" w:lineRule="auto"/>
              <w:jc w:val="left"/>
              <w:rPr>
                <w:rFonts w:eastAsia="Times New Roman"/>
                <w:szCs w:val="24"/>
                <w:lang w:val="en-US"/>
              </w:rPr>
            </w:pPr>
            <w:r w:rsidRPr="002B6BB0">
              <w:rPr>
                <w:rFonts w:eastAsia="Times New Roman"/>
                <w:szCs w:val="24"/>
                <w:lang w:val="en-US"/>
              </w:rPr>
              <w:t>Primul an</w:t>
            </w:r>
          </w:p>
        </w:tc>
        <w:tc>
          <w:tcPr>
            <w:tcW w:w="5103" w:type="dxa"/>
            <w:shd w:val="clear" w:color="auto" w:fill="auto"/>
          </w:tcPr>
          <w:p w:rsidR="009B1DAA" w:rsidRPr="002B6BB0" w:rsidRDefault="009B1DAA" w:rsidP="006B7F12">
            <w:pPr>
              <w:spacing w:after="0" w:line="276" w:lineRule="auto"/>
              <w:jc w:val="left"/>
              <w:rPr>
                <w:rFonts w:eastAsia="Times New Roman"/>
                <w:szCs w:val="24"/>
                <w:lang w:val="en-US"/>
              </w:rPr>
            </w:pPr>
            <w:r w:rsidRPr="002B6BB0">
              <w:rPr>
                <w:rFonts w:eastAsia="Times New Roman"/>
                <w:szCs w:val="24"/>
                <w:lang w:val="en-US"/>
              </w:rPr>
              <w:t>2014</w:t>
            </w:r>
          </w:p>
        </w:tc>
      </w:tr>
      <w:tr w:rsidR="009B1DAA" w:rsidRPr="007B6705" w:rsidTr="009B1DAA">
        <w:trPr>
          <w:jc w:val="center"/>
        </w:trPr>
        <w:tc>
          <w:tcPr>
            <w:tcW w:w="2943" w:type="dxa"/>
            <w:shd w:val="clear" w:color="auto" w:fill="auto"/>
          </w:tcPr>
          <w:p w:rsidR="009B1DAA" w:rsidRPr="002B6BB0" w:rsidRDefault="007251D8" w:rsidP="006B7F12">
            <w:pPr>
              <w:spacing w:after="0" w:line="276" w:lineRule="auto"/>
              <w:jc w:val="left"/>
              <w:rPr>
                <w:rFonts w:eastAsia="Times New Roman"/>
                <w:szCs w:val="24"/>
                <w:lang w:val="en-US"/>
              </w:rPr>
            </w:pPr>
            <w:r w:rsidRPr="002B6BB0">
              <w:rPr>
                <w:rFonts w:eastAsia="Times New Roman"/>
                <w:szCs w:val="24"/>
                <w:lang w:val="en-US"/>
              </w:rPr>
              <w:t>Ultimul an</w:t>
            </w:r>
          </w:p>
        </w:tc>
        <w:tc>
          <w:tcPr>
            <w:tcW w:w="5103" w:type="dxa"/>
            <w:shd w:val="clear" w:color="auto" w:fill="auto"/>
          </w:tcPr>
          <w:p w:rsidR="009B1DAA" w:rsidRPr="002B6BB0" w:rsidRDefault="009B1DAA" w:rsidP="006B7F12">
            <w:pPr>
              <w:spacing w:after="0" w:line="276" w:lineRule="auto"/>
              <w:jc w:val="left"/>
              <w:rPr>
                <w:rFonts w:eastAsia="Times New Roman"/>
                <w:szCs w:val="24"/>
                <w:lang w:val="en-US"/>
              </w:rPr>
            </w:pPr>
            <w:r w:rsidRPr="002B6BB0">
              <w:rPr>
                <w:rFonts w:eastAsia="Times New Roman"/>
                <w:szCs w:val="24"/>
                <w:lang w:val="en-US"/>
              </w:rPr>
              <w:t>2023</w:t>
            </w:r>
          </w:p>
        </w:tc>
      </w:tr>
      <w:tr w:rsidR="009B1DAA" w:rsidRPr="007B6705" w:rsidTr="009B1DAA">
        <w:trPr>
          <w:jc w:val="center"/>
        </w:trPr>
        <w:tc>
          <w:tcPr>
            <w:tcW w:w="2943" w:type="dxa"/>
            <w:shd w:val="clear" w:color="auto" w:fill="auto"/>
          </w:tcPr>
          <w:p w:rsidR="009B1DAA" w:rsidRPr="002B6BB0" w:rsidRDefault="007251D8" w:rsidP="006B7F12">
            <w:pPr>
              <w:spacing w:after="0" w:line="276" w:lineRule="auto"/>
              <w:jc w:val="left"/>
              <w:rPr>
                <w:rFonts w:eastAsia="Times New Roman"/>
                <w:szCs w:val="24"/>
                <w:lang w:val="en-US"/>
              </w:rPr>
            </w:pPr>
            <w:r w:rsidRPr="002B6BB0">
              <w:rPr>
                <w:rFonts w:eastAsia="Times New Roman"/>
                <w:szCs w:val="24"/>
                <w:lang w:val="en-US"/>
              </w:rPr>
              <w:t>Eligibil de la</w:t>
            </w:r>
          </w:p>
        </w:tc>
        <w:tc>
          <w:tcPr>
            <w:tcW w:w="5103" w:type="dxa"/>
            <w:shd w:val="clear" w:color="auto" w:fill="auto"/>
          </w:tcPr>
          <w:p w:rsidR="009B1DAA" w:rsidRPr="002B6BB0" w:rsidRDefault="009B1DAA" w:rsidP="006B7F12">
            <w:pPr>
              <w:spacing w:after="0" w:line="276" w:lineRule="auto"/>
              <w:jc w:val="left"/>
              <w:rPr>
                <w:rFonts w:eastAsia="Times New Roman"/>
                <w:szCs w:val="24"/>
                <w:lang w:val="en-US"/>
              </w:rPr>
            </w:pPr>
            <w:r w:rsidRPr="002B6BB0">
              <w:rPr>
                <w:rFonts w:eastAsia="Times New Roman"/>
                <w:szCs w:val="24"/>
                <w:lang w:val="en-US"/>
              </w:rPr>
              <w:t>01.01.2014</w:t>
            </w:r>
          </w:p>
        </w:tc>
      </w:tr>
      <w:tr w:rsidR="009B1DAA" w:rsidRPr="007B6705" w:rsidTr="009B1DAA">
        <w:trPr>
          <w:jc w:val="center"/>
        </w:trPr>
        <w:tc>
          <w:tcPr>
            <w:tcW w:w="2943" w:type="dxa"/>
            <w:shd w:val="clear" w:color="auto" w:fill="auto"/>
          </w:tcPr>
          <w:p w:rsidR="009B1DAA" w:rsidRPr="002B6BB0" w:rsidRDefault="009B1DAA" w:rsidP="006B7F12">
            <w:pPr>
              <w:spacing w:after="0" w:line="276" w:lineRule="auto"/>
              <w:jc w:val="left"/>
              <w:rPr>
                <w:rFonts w:eastAsia="Times New Roman"/>
                <w:szCs w:val="24"/>
                <w:lang w:val="en-US"/>
              </w:rPr>
            </w:pPr>
            <w:r w:rsidRPr="002B6BB0">
              <w:rPr>
                <w:rFonts w:eastAsia="Times New Roman"/>
                <w:szCs w:val="24"/>
                <w:lang w:val="en-US"/>
              </w:rPr>
              <w:t>Eligib</w:t>
            </w:r>
            <w:r w:rsidR="00426D85">
              <w:rPr>
                <w:rFonts w:eastAsia="Times New Roman"/>
                <w:szCs w:val="24"/>
                <w:lang w:val="en-US"/>
              </w:rPr>
              <w:t>il până</w:t>
            </w:r>
            <w:r w:rsidR="007251D8" w:rsidRPr="002B6BB0">
              <w:rPr>
                <w:rFonts w:eastAsia="Times New Roman"/>
                <w:szCs w:val="24"/>
                <w:lang w:val="en-US"/>
              </w:rPr>
              <w:t xml:space="preserve"> la</w:t>
            </w:r>
          </w:p>
        </w:tc>
        <w:tc>
          <w:tcPr>
            <w:tcW w:w="5103" w:type="dxa"/>
            <w:shd w:val="clear" w:color="auto" w:fill="auto"/>
          </w:tcPr>
          <w:p w:rsidR="009B1DAA" w:rsidRPr="002B6BB0" w:rsidRDefault="009B1DAA" w:rsidP="006B7F12">
            <w:pPr>
              <w:spacing w:after="0" w:line="276" w:lineRule="auto"/>
              <w:jc w:val="left"/>
              <w:rPr>
                <w:rFonts w:eastAsia="Times New Roman"/>
                <w:szCs w:val="24"/>
                <w:lang w:val="en-US"/>
              </w:rPr>
            </w:pPr>
            <w:r w:rsidRPr="002B6BB0">
              <w:rPr>
                <w:rFonts w:eastAsia="Times New Roman"/>
                <w:szCs w:val="24"/>
                <w:lang w:val="en-US"/>
              </w:rPr>
              <w:t>31.12. 2023</w:t>
            </w:r>
          </w:p>
        </w:tc>
      </w:tr>
      <w:tr w:rsidR="009B1DAA" w:rsidRPr="007B6705" w:rsidTr="009B1DAA">
        <w:trPr>
          <w:jc w:val="center"/>
        </w:trPr>
        <w:tc>
          <w:tcPr>
            <w:tcW w:w="2943" w:type="dxa"/>
            <w:shd w:val="clear" w:color="auto" w:fill="auto"/>
          </w:tcPr>
          <w:p w:rsidR="009B1DAA" w:rsidRPr="002B6BB0" w:rsidRDefault="007251D8" w:rsidP="006B7F12">
            <w:pPr>
              <w:spacing w:after="0" w:line="276" w:lineRule="auto"/>
              <w:jc w:val="left"/>
              <w:rPr>
                <w:rFonts w:eastAsia="Times New Roman"/>
                <w:szCs w:val="24"/>
                <w:lang w:val="en-US"/>
              </w:rPr>
            </w:pPr>
            <w:r w:rsidRPr="002B6BB0">
              <w:rPr>
                <w:rFonts w:eastAsia="Times New Roman"/>
                <w:szCs w:val="24"/>
                <w:lang w:val="en-US"/>
              </w:rPr>
              <w:t>Numărul deciziei CE</w:t>
            </w:r>
          </w:p>
        </w:tc>
        <w:tc>
          <w:tcPr>
            <w:tcW w:w="5103" w:type="dxa"/>
            <w:shd w:val="clear" w:color="auto" w:fill="auto"/>
          </w:tcPr>
          <w:p w:rsidR="009B1DAA" w:rsidRPr="007B6705" w:rsidRDefault="009B1DAA" w:rsidP="006B7F12">
            <w:pPr>
              <w:spacing w:after="0" w:line="276" w:lineRule="auto"/>
              <w:jc w:val="left"/>
              <w:rPr>
                <w:rFonts w:eastAsia="Times New Roman"/>
                <w:szCs w:val="24"/>
                <w:highlight w:val="red"/>
                <w:lang w:val="en-US"/>
              </w:rPr>
            </w:pPr>
          </w:p>
        </w:tc>
      </w:tr>
      <w:tr w:rsidR="009B1DAA" w:rsidRPr="007B6705" w:rsidTr="009B1DAA">
        <w:trPr>
          <w:jc w:val="center"/>
        </w:trPr>
        <w:tc>
          <w:tcPr>
            <w:tcW w:w="2943" w:type="dxa"/>
            <w:shd w:val="clear" w:color="auto" w:fill="auto"/>
          </w:tcPr>
          <w:p w:rsidR="009B1DAA" w:rsidRPr="002B6BB0" w:rsidRDefault="007251D8" w:rsidP="006B7F12">
            <w:pPr>
              <w:spacing w:after="0" w:line="276" w:lineRule="auto"/>
              <w:jc w:val="left"/>
              <w:rPr>
                <w:rFonts w:eastAsia="Times New Roman"/>
                <w:szCs w:val="24"/>
                <w:lang w:val="en-US"/>
              </w:rPr>
            </w:pPr>
            <w:r w:rsidRPr="002B6BB0">
              <w:rPr>
                <w:rFonts w:eastAsia="Times New Roman"/>
                <w:szCs w:val="24"/>
                <w:lang w:val="en-US"/>
              </w:rPr>
              <w:t>Data deciziei CE</w:t>
            </w:r>
          </w:p>
        </w:tc>
        <w:tc>
          <w:tcPr>
            <w:tcW w:w="5103" w:type="dxa"/>
            <w:shd w:val="clear" w:color="auto" w:fill="auto"/>
          </w:tcPr>
          <w:p w:rsidR="009B1DAA" w:rsidRPr="007B6705" w:rsidRDefault="009B1DAA" w:rsidP="006B7F12">
            <w:pPr>
              <w:spacing w:after="0" w:line="276" w:lineRule="auto"/>
              <w:jc w:val="left"/>
              <w:rPr>
                <w:rFonts w:eastAsia="Times New Roman"/>
                <w:szCs w:val="24"/>
                <w:highlight w:val="red"/>
                <w:lang w:val="en-US"/>
              </w:rPr>
            </w:pPr>
          </w:p>
        </w:tc>
      </w:tr>
      <w:tr w:rsidR="009B1DAA" w:rsidRPr="00A158A9" w:rsidTr="009B1DAA">
        <w:trPr>
          <w:jc w:val="center"/>
        </w:trPr>
        <w:tc>
          <w:tcPr>
            <w:tcW w:w="2943" w:type="dxa"/>
            <w:shd w:val="clear" w:color="auto" w:fill="auto"/>
          </w:tcPr>
          <w:p w:rsidR="00DA2B3B" w:rsidRPr="00FF685E" w:rsidRDefault="00DA2B3B" w:rsidP="006B7F12">
            <w:pPr>
              <w:spacing w:after="0" w:line="276" w:lineRule="auto"/>
              <w:jc w:val="left"/>
              <w:rPr>
                <w:rFonts w:eastAsia="Times New Roman"/>
                <w:szCs w:val="24"/>
                <w:lang w:val="fr-FR"/>
              </w:rPr>
            </w:pPr>
            <w:r w:rsidRPr="00FF685E">
              <w:rPr>
                <w:rFonts w:eastAsia="Times New Roman"/>
                <w:szCs w:val="24"/>
                <w:lang w:val="fr-FR"/>
              </w:rPr>
              <w:t xml:space="preserve">Numărul deciziei de modificare a  </w:t>
            </w:r>
          </w:p>
          <w:p w:rsidR="009B1DAA" w:rsidRPr="00FF685E" w:rsidRDefault="00DA2B3B" w:rsidP="006B7F12">
            <w:pPr>
              <w:spacing w:after="0" w:line="276" w:lineRule="auto"/>
              <w:jc w:val="left"/>
              <w:rPr>
                <w:rFonts w:eastAsia="Times New Roman"/>
                <w:szCs w:val="24"/>
                <w:lang w:val="fr-FR"/>
              </w:rPr>
            </w:pPr>
            <w:r w:rsidRPr="00FF685E">
              <w:rPr>
                <w:rFonts w:eastAsia="Times New Roman"/>
                <w:szCs w:val="24"/>
                <w:lang w:val="fr-FR"/>
              </w:rPr>
              <w:t xml:space="preserve">statului membru </w:t>
            </w:r>
          </w:p>
        </w:tc>
        <w:tc>
          <w:tcPr>
            <w:tcW w:w="5103" w:type="dxa"/>
            <w:shd w:val="clear" w:color="auto" w:fill="auto"/>
          </w:tcPr>
          <w:p w:rsidR="009B1DAA" w:rsidRPr="00FF685E" w:rsidRDefault="009B1DAA" w:rsidP="006B7F12">
            <w:pPr>
              <w:spacing w:after="0" w:line="276" w:lineRule="auto"/>
              <w:jc w:val="left"/>
              <w:rPr>
                <w:rFonts w:eastAsia="Times New Roman"/>
                <w:szCs w:val="24"/>
                <w:highlight w:val="red"/>
                <w:lang w:val="fr-FR"/>
              </w:rPr>
            </w:pPr>
          </w:p>
        </w:tc>
      </w:tr>
      <w:tr w:rsidR="009B1DAA" w:rsidRPr="00A158A9" w:rsidTr="009B1DAA">
        <w:trPr>
          <w:jc w:val="center"/>
        </w:trPr>
        <w:tc>
          <w:tcPr>
            <w:tcW w:w="2943" w:type="dxa"/>
            <w:shd w:val="clear" w:color="auto" w:fill="auto"/>
          </w:tcPr>
          <w:p w:rsidR="00DA2B3B" w:rsidRPr="00FF685E" w:rsidRDefault="00DA2B3B" w:rsidP="006B7F12">
            <w:pPr>
              <w:spacing w:after="0" w:line="276" w:lineRule="auto"/>
              <w:jc w:val="left"/>
              <w:rPr>
                <w:rFonts w:eastAsia="Times New Roman"/>
                <w:szCs w:val="24"/>
                <w:lang w:val="fr-FR"/>
              </w:rPr>
            </w:pPr>
            <w:r w:rsidRPr="00FF685E">
              <w:rPr>
                <w:rFonts w:eastAsia="Times New Roman"/>
                <w:szCs w:val="24"/>
                <w:lang w:val="fr-FR"/>
              </w:rPr>
              <w:t xml:space="preserve">Data deciziei de modificare a </w:t>
            </w:r>
          </w:p>
          <w:p w:rsidR="009B1DAA" w:rsidRPr="00FF685E" w:rsidRDefault="00DA2B3B" w:rsidP="006B7F12">
            <w:pPr>
              <w:spacing w:after="0" w:line="276" w:lineRule="auto"/>
              <w:jc w:val="left"/>
              <w:rPr>
                <w:rFonts w:eastAsia="Times New Roman"/>
                <w:szCs w:val="24"/>
                <w:lang w:val="fr-FR"/>
              </w:rPr>
            </w:pPr>
            <w:r w:rsidRPr="00FF685E">
              <w:rPr>
                <w:rFonts w:eastAsia="Times New Roman"/>
                <w:szCs w:val="24"/>
                <w:lang w:val="fr-FR"/>
              </w:rPr>
              <w:t xml:space="preserve">statului membru </w:t>
            </w:r>
          </w:p>
        </w:tc>
        <w:tc>
          <w:tcPr>
            <w:tcW w:w="5103" w:type="dxa"/>
            <w:shd w:val="clear" w:color="auto" w:fill="auto"/>
          </w:tcPr>
          <w:p w:rsidR="009B1DAA" w:rsidRPr="00FF685E" w:rsidRDefault="009B1DAA" w:rsidP="006B7F12">
            <w:pPr>
              <w:spacing w:after="0" w:line="276" w:lineRule="auto"/>
              <w:jc w:val="left"/>
              <w:rPr>
                <w:rFonts w:eastAsia="Times New Roman"/>
                <w:szCs w:val="24"/>
                <w:highlight w:val="red"/>
                <w:lang w:val="fr-FR"/>
              </w:rPr>
            </w:pPr>
          </w:p>
        </w:tc>
      </w:tr>
      <w:tr w:rsidR="009B1DAA" w:rsidRPr="00A158A9" w:rsidTr="009B1DAA">
        <w:trPr>
          <w:trHeight w:val="163"/>
          <w:jc w:val="center"/>
        </w:trPr>
        <w:tc>
          <w:tcPr>
            <w:tcW w:w="2943" w:type="dxa"/>
            <w:shd w:val="clear" w:color="auto" w:fill="auto"/>
          </w:tcPr>
          <w:p w:rsidR="00DA2B3B" w:rsidRPr="006F7519" w:rsidRDefault="00DA2B3B" w:rsidP="006B7F12">
            <w:pPr>
              <w:spacing w:after="0" w:line="276" w:lineRule="auto"/>
              <w:jc w:val="left"/>
              <w:rPr>
                <w:rFonts w:eastAsia="Times New Roman"/>
                <w:szCs w:val="24"/>
                <w:lang w:val="it-IT"/>
              </w:rPr>
            </w:pPr>
            <w:r w:rsidRPr="006F7519">
              <w:rPr>
                <w:rFonts w:eastAsia="Times New Roman"/>
                <w:szCs w:val="24"/>
                <w:lang w:val="it-IT"/>
              </w:rPr>
              <w:t xml:space="preserve">Data intrării în vigoare a deciziei  </w:t>
            </w:r>
          </w:p>
          <w:p w:rsidR="009B1DAA" w:rsidRPr="00FF685E" w:rsidRDefault="00DA2B3B" w:rsidP="006B7F12">
            <w:pPr>
              <w:spacing w:after="0" w:line="276" w:lineRule="auto"/>
              <w:jc w:val="left"/>
              <w:rPr>
                <w:rFonts w:eastAsia="Times New Roman"/>
                <w:szCs w:val="24"/>
                <w:lang w:val="fr-FR"/>
              </w:rPr>
            </w:pPr>
            <w:r w:rsidRPr="00FF685E">
              <w:rPr>
                <w:rFonts w:eastAsia="Times New Roman"/>
                <w:szCs w:val="24"/>
                <w:lang w:val="fr-FR"/>
              </w:rPr>
              <w:t xml:space="preserve">de modificare a statului membru </w:t>
            </w:r>
          </w:p>
        </w:tc>
        <w:tc>
          <w:tcPr>
            <w:tcW w:w="5103" w:type="dxa"/>
            <w:shd w:val="clear" w:color="auto" w:fill="auto"/>
          </w:tcPr>
          <w:p w:rsidR="009B1DAA" w:rsidRPr="00FF685E" w:rsidRDefault="009B1DAA" w:rsidP="006B7F12">
            <w:pPr>
              <w:spacing w:after="0" w:line="276" w:lineRule="auto"/>
              <w:jc w:val="left"/>
              <w:rPr>
                <w:rFonts w:eastAsia="Times New Roman"/>
                <w:szCs w:val="24"/>
                <w:highlight w:val="red"/>
                <w:lang w:val="fr-FR"/>
              </w:rPr>
            </w:pPr>
          </w:p>
        </w:tc>
      </w:tr>
      <w:tr w:rsidR="009B1DAA" w:rsidRPr="00A158A9" w:rsidTr="009B1DAA">
        <w:trPr>
          <w:trHeight w:val="163"/>
          <w:jc w:val="center"/>
        </w:trPr>
        <w:tc>
          <w:tcPr>
            <w:tcW w:w="2943" w:type="dxa"/>
            <w:shd w:val="clear" w:color="auto" w:fill="auto"/>
          </w:tcPr>
          <w:p w:rsidR="00DA2B3B" w:rsidRPr="006F7519" w:rsidRDefault="006B7F12" w:rsidP="006B7F12">
            <w:pPr>
              <w:spacing w:after="0" w:line="276" w:lineRule="auto"/>
              <w:jc w:val="left"/>
              <w:rPr>
                <w:rFonts w:eastAsia="Times New Roman"/>
                <w:szCs w:val="24"/>
                <w:lang w:val="it-IT"/>
              </w:rPr>
            </w:pPr>
            <w:r w:rsidRPr="006F7519">
              <w:rPr>
                <w:rFonts w:eastAsia="Times New Roman"/>
                <w:szCs w:val="24"/>
                <w:lang w:val="it-IT"/>
              </w:rPr>
              <w:t xml:space="preserve">Regiunile </w:t>
            </w:r>
            <w:r w:rsidR="00DA2B3B" w:rsidRPr="006F7519">
              <w:rPr>
                <w:rFonts w:eastAsia="Times New Roman"/>
                <w:szCs w:val="24"/>
                <w:lang w:val="it-IT"/>
              </w:rPr>
              <w:t>NU</w:t>
            </w:r>
            <w:r w:rsidR="00426D85" w:rsidRPr="006F7519">
              <w:rPr>
                <w:rFonts w:eastAsia="Times New Roman"/>
                <w:szCs w:val="24"/>
                <w:lang w:val="it-IT"/>
              </w:rPr>
              <w:t>TS acoperite de programul operaţ</w:t>
            </w:r>
            <w:r w:rsidR="00DA2B3B" w:rsidRPr="006F7519">
              <w:rPr>
                <w:rFonts w:eastAsia="Times New Roman"/>
                <w:szCs w:val="24"/>
                <w:lang w:val="it-IT"/>
              </w:rPr>
              <w:t xml:space="preserve">ional </w:t>
            </w:r>
          </w:p>
          <w:p w:rsidR="009B1DAA" w:rsidRPr="006F7519" w:rsidRDefault="009B1DAA" w:rsidP="006B7F12">
            <w:pPr>
              <w:spacing w:after="0" w:line="276" w:lineRule="auto"/>
              <w:jc w:val="left"/>
              <w:rPr>
                <w:rFonts w:eastAsia="Times New Roman"/>
                <w:szCs w:val="24"/>
                <w:lang w:val="it-IT"/>
              </w:rPr>
            </w:pPr>
          </w:p>
        </w:tc>
        <w:tc>
          <w:tcPr>
            <w:tcW w:w="5103" w:type="dxa"/>
            <w:shd w:val="clear" w:color="auto" w:fill="auto"/>
          </w:tcPr>
          <w:p w:rsidR="009B1DAA" w:rsidRPr="006F7519" w:rsidRDefault="006B7F12" w:rsidP="006B7F12">
            <w:pPr>
              <w:spacing w:after="0" w:line="276" w:lineRule="auto"/>
              <w:jc w:val="left"/>
              <w:rPr>
                <w:rFonts w:eastAsia="Times New Roman"/>
                <w:b/>
                <w:szCs w:val="24"/>
                <w:lang w:val="it-IT"/>
              </w:rPr>
            </w:pPr>
            <w:r w:rsidRPr="006F7519">
              <w:rPr>
                <w:rFonts w:eastAsia="Times New Roman"/>
                <w:b/>
                <w:szCs w:val="24"/>
                <w:lang w:val="it-IT"/>
              </w:rPr>
              <w:t>Statele Membre UE</w:t>
            </w:r>
            <w:r w:rsidR="009B1DAA" w:rsidRPr="006F7519">
              <w:rPr>
                <w:rFonts w:eastAsia="Times New Roman"/>
                <w:b/>
                <w:szCs w:val="24"/>
                <w:lang w:val="it-IT"/>
              </w:rPr>
              <w:t xml:space="preserve">: </w:t>
            </w:r>
          </w:p>
          <w:p w:rsidR="009B1DAA" w:rsidRPr="006F7519" w:rsidRDefault="00426D85" w:rsidP="006B7F12">
            <w:pPr>
              <w:spacing w:after="0" w:line="276" w:lineRule="auto"/>
              <w:jc w:val="left"/>
              <w:rPr>
                <w:szCs w:val="24"/>
                <w:lang w:val="it-IT"/>
              </w:rPr>
            </w:pPr>
            <w:r w:rsidRPr="006F7519">
              <w:rPr>
                <w:rFonts w:eastAsia="Times New Roman"/>
                <w:b/>
                <w:szCs w:val="24"/>
                <w:lang w:val="it-IT"/>
              </w:rPr>
              <w:t>Româ</w:t>
            </w:r>
            <w:r w:rsidR="009B1DAA" w:rsidRPr="006F7519">
              <w:rPr>
                <w:rFonts w:eastAsia="Times New Roman"/>
                <w:b/>
                <w:szCs w:val="24"/>
                <w:lang w:val="it-IT"/>
              </w:rPr>
              <w:t>nia</w:t>
            </w:r>
            <w:r w:rsidR="009B1DAA" w:rsidRPr="006F7519">
              <w:rPr>
                <w:rFonts w:eastAsia="Times New Roman"/>
                <w:szCs w:val="24"/>
                <w:lang w:val="it-IT"/>
              </w:rPr>
              <w:t xml:space="preserve">: </w:t>
            </w:r>
            <w:r w:rsidR="006B7F12" w:rsidRPr="006F7519">
              <w:rPr>
                <w:b/>
                <w:szCs w:val="24"/>
                <w:lang w:val="it-IT"/>
              </w:rPr>
              <w:t>NUTS III regiuni</w:t>
            </w:r>
            <w:r w:rsidR="009B1DAA" w:rsidRPr="006F7519">
              <w:rPr>
                <w:b/>
                <w:szCs w:val="24"/>
                <w:lang w:val="it-IT"/>
              </w:rPr>
              <w:t xml:space="preserve">:  </w:t>
            </w:r>
            <w:r w:rsidRPr="006F7519">
              <w:rPr>
                <w:szCs w:val="24"/>
                <w:lang w:val="it-IT"/>
              </w:rPr>
              <w:t>Mehedinţ</w:t>
            </w:r>
            <w:r w:rsidR="009B1DAA" w:rsidRPr="006F7519">
              <w:rPr>
                <w:szCs w:val="24"/>
                <w:lang w:val="it-IT"/>
              </w:rPr>
              <w:t xml:space="preserve">i, Dolj, </w:t>
            </w:r>
            <w:r w:rsidRPr="006F7519">
              <w:rPr>
                <w:szCs w:val="24"/>
                <w:lang w:val="it-IT"/>
              </w:rPr>
              <w:t>Olt, Teleorman, Giurgiu, Calaraşi, Constanţ</w:t>
            </w:r>
            <w:r w:rsidR="009B1DAA" w:rsidRPr="006F7519">
              <w:rPr>
                <w:szCs w:val="24"/>
                <w:lang w:val="it-IT"/>
              </w:rPr>
              <w:t>a</w:t>
            </w:r>
          </w:p>
          <w:p w:rsidR="009B1DAA" w:rsidRPr="006F7519" w:rsidRDefault="00C12B77" w:rsidP="006B7F12">
            <w:pPr>
              <w:spacing w:after="0" w:line="276" w:lineRule="auto"/>
              <w:jc w:val="left"/>
              <w:rPr>
                <w:rFonts w:eastAsia="Times New Roman"/>
                <w:szCs w:val="24"/>
                <w:lang w:val="it-IT"/>
              </w:rPr>
            </w:pPr>
            <w:r w:rsidRPr="006F7519">
              <w:rPr>
                <w:rFonts w:eastAsia="Times New Roman"/>
                <w:b/>
                <w:szCs w:val="24"/>
                <w:lang w:val="it-IT"/>
              </w:rPr>
              <w:t>Bulgaria</w:t>
            </w:r>
            <w:r w:rsidRPr="006F7519">
              <w:rPr>
                <w:rFonts w:eastAsia="Times New Roman"/>
                <w:szCs w:val="24"/>
                <w:lang w:val="it-IT"/>
              </w:rPr>
              <w:t xml:space="preserve">: </w:t>
            </w:r>
            <w:r w:rsidR="006B7F12" w:rsidRPr="006F7519">
              <w:rPr>
                <w:b/>
                <w:szCs w:val="24"/>
                <w:lang w:val="it-IT"/>
              </w:rPr>
              <w:t>NUTS III regiuni</w:t>
            </w:r>
            <w:r w:rsidRPr="006F7519">
              <w:rPr>
                <w:b/>
                <w:szCs w:val="24"/>
                <w:lang w:val="it-IT"/>
              </w:rPr>
              <w:t xml:space="preserve">: </w:t>
            </w:r>
            <w:r w:rsidRPr="006F7519">
              <w:rPr>
                <w:szCs w:val="24"/>
                <w:lang w:val="it-IT"/>
              </w:rPr>
              <w:t xml:space="preserve">Vidin, Vratsa, Montana, Pleven, VelikoTurnovo, Ruse, SIlistra, Dobrich. </w:t>
            </w:r>
          </w:p>
        </w:tc>
      </w:tr>
    </w:tbl>
    <w:p w:rsidR="00036096" w:rsidRPr="006F7519" w:rsidRDefault="00036096" w:rsidP="009B1DAA">
      <w:pPr>
        <w:spacing w:after="240" w:line="276" w:lineRule="auto"/>
        <w:rPr>
          <w:rFonts w:eastAsia="Times New Roman"/>
          <w:lang w:val="it-IT"/>
        </w:rPr>
        <w:sectPr w:rsidR="00036096" w:rsidRPr="006F7519" w:rsidSect="009B1DAA">
          <w:pgSz w:w="12240" w:h="15840"/>
          <w:pgMar w:top="1440" w:right="1440" w:bottom="1440" w:left="1440" w:header="227" w:footer="397" w:gutter="0"/>
          <w:cols w:space="720"/>
          <w:docGrid w:linePitch="360"/>
        </w:sectPr>
      </w:pPr>
    </w:p>
    <w:p w:rsidR="00361145" w:rsidRPr="0070649D" w:rsidRDefault="00A4748F" w:rsidP="009B1DAA">
      <w:pPr>
        <w:spacing w:after="240" w:line="276" w:lineRule="auto"/>
        <w:rPr>
          <w:rFonts w:eastAsia="Times New Roman"/>
          <w:b/>
          <w:sz w:val="28"/>
          <w:szCs w:val="28"/>
          <w:lang w:val="en-US"/>
        </w:rPr>
      </w:pPr>
      <w:r>
        <w:rPr>
          <w:rFonts w:eastAsia="Times New Roman"/>
          <w:b/>
          <w:sz w:val="28"/>
          <w:szCs w:val="28"/>
          <w:lang w:val="en-US"/>
        </w:rPr>
        <w:lastRenderedPageBreak/>
        <w:t>CUPRINS</w:t>
      </w:r>
    </w:p>
    <w:p w:rsidR="00BB3234" w:rsidRDefault="00FF412A">
      <w:pPr>
        <w:pStyle w:val="TOC1"/>
        <w:tabs>
          <w:tab w:val="right" w:leader="dot" w:pos="9350"/>
        </w:tabs>
        <w:rPr>
          <w:rFonts w:asciiTheme="minorHAnsi" w:eastAsiaTheme="minorEastAsia" w:hAnsiTheme="minorHAnsi" w:cstheme="minorBidi"/>
          <w:noProof/>
          <w:sz w:val="22"/>
          <w:szCs w:val="22"/>
          <w:lang w:val="fr-FR" w:eastAsia="fr-FR"/>
        </w:rPr>
      </w:pPr>
      <w:r w:rsidRPr="0070649D">
        <w:rPr>
          <w:sz w:val="22"/>
          <w:szCs w:val="22"/>
          <w:lang w:val="en-US"/>
        </w:rPr>
        <w:fldChar w:fldCharType="begin"/>
      </w:r>
      <w:r w:rsidR="00C12B77" w:rsidRPr="0070649D">
        <w:rPr>
          <w:sz w:val="22"/>
          <w:szCs w:val="22"/>
          <w:lang w:val="en-US"/>
        </w:rPr>
        <w:instrText xml:space="preserve"> TOC \o "1-2" \h \z \u \t "Heading 4;3" </w:instrText>
      </w:r>
      <w:r w:rsidRPr="0070649D">
        <w:rPr>
          <w:sz w:val="22"/>
          <w:szCs w:val="22"/>
          <w:lang w:val="en-US"/>
        </w:rPr>
        <w:fldChar w:fldCharType="separate"/>
      </w:r>
      <w:hyperlink w:anchor="_Toc394837741" w:history="1">
        <w:r w:rsidR="00BB3234" w:rsidRPr="00E57C47">
          <w:rPr>
            <w:rStyle w:val="Hyperlink"/>
            <w:noProof/>
            <w:lang w:val="en-US"/>
          </w:rPr>
          <w:t>SECȚIUNEA 1.STRATEGIA PENTRU CONTRIBUȚIA PROGRAMULUI DE COOPERARE LA STRATEGIA UNIUNII PENTRU O CREȘTERE INTELIGENTĂ, DURABILĂ ȘI FAVORABILĂ INCLUZIUNII ȘI REALIZAREA COEZIUNII ECONOMICE, SOCIALE ȘI TERITORIALE</w:t>
        </w:r>
        <w:r w:rsidR="00BB3234">
          <w:rPr>
            <w:noProof/>
            <w:webHidden/>
          </w:rPr>
          <w:tab/>
        </w:r>
        <w:r>
          <w:rPr>
            <w:noProof/>
            <w:webHidden/>
          </w:rPr>
          <w:fldChar w:fldCharType="begin"/>
        </w:r>
        <w:r w:rsidR="00BB3234">
          <w:rPr>
            <w:noProof/>
            <w:webHidden/>
          </w:rPr>
          <w:instrText xml:space="preserve"> PAGEREF _Toc394837741 \h </w:instrText>
        </w:r>
        <w:r>
          <w:rPr>
            <w:noProof/>
            <w:webHidden/>
          </w:rPr>
        </w:r>
        <w:r>
          <w:rPr>
            <w:noProof/>
            <w:webHidden/>
          </w:rPr>
          <w:fldChar w:fldCharType="separate"/>
        </w:r>
        <w:r w:rsidR="00FC7394">
          <w:rPr>
            <w:noProof/>
            <w:webHidden/>
          </w:rPr>
          <w:t>11</w:t>
        </w:r>
        <w:r>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42" w:history="1">
        <w:r w:rsidR="00BB3234" w:rsidRPr="00E57C47">
          <w:rPr>
            <w:rStyle w:val="Hyperlink"/>
            <w:noProof/>
            <w:lang w:val="en-US" w:eastAsia="fr-BE"/>
          </w:rPr>
          <w:t>1.1. Strategia pentru contribuția programului de cooperare la strategia Uniunii pentru o creștere inteligentă, durabilă și favorabilă incluziunii și realizarea coeziunii economice, sociale și teritoriale</w:t>
        </w:r>
        <w:r w:rsidR="00BB3234">
          <w:rPr>
            <w:noProof/>
            <w:webHidden/>
          </w:rPr>
          <w:tab/>
        </w:r>
        <w:r w:rsidR="00FF412A">
          <w:rPr>
            <w:noProof/>
            <w:webHidden/>
          </w:rPr>
          <w:fldChar w:fldCharType="begin"/>
        </w:r>
        <w:r w:rsidR="00BB3234">
          <w:rPr>
            <w:noProof/>
            <w:webHidden/>
          </w:rPr>
          <w:instrText xml:space="preserve"> PAGEREF _Toc394837742 \h </w:instrText>
        </w:r>
        <w:r w:rsidR="00FF412A">
          <w:rPr>
            <w:noProof/>
            <w:webHidden/>
          </w:rPr>
        </w:r>
        <w:r w:rsidR="00FF412A">
          <w:rPr>
            <w:noProof/>
            <w:webHidden/>
          </w:rPr>
          <w:fldChar w:fldCharType="separate"/>
        </w:r>
        <w:r w:rsidR="00FC7394">
          <w:rPr>
            <w:noProof/>
            <w:webHidden/>
          </w:rPr>
          <w:t>11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43" w:history="1">
        <w:r w:rsidR="00BB3234" w:rsidRPr="00E57C47">
          <w:rPr>
            <w:rStyle w:val="Hyperlink"/>
            <w:noProof/>
            <w:lang w:val="en-US" w:eastAsia="fr-BE"/>
          </w:rPr>
          <w:t>1.1.1. Descrierea strategiei programului de cooperare pentru contribuția la furnizarea strategiei Uniunii pentru o creștere inteligentă, durabilă și favorabilă incluziunii și realizarea coeziunii economice, sociale și teritoriale.</w:t>
        </w:r>
        <w:r w:rsidR="00BB3234">
          <w:rPr>
            <w:noProof/>
            <w:webHidden/>
          </w:rPr>
          <w:tab/>
        </w:r>
        <w:r w:rsidR="00FF412A">
          <w:rPr>
            <w:noProof/>
            <w:webHidden/>
          </w:rPr>
          <w:fldChar w:fldCharType="begin"/>
        </w:r>
        <w:r w:rsidR="00BB3234">
          <w:rPr>
            <w:noProof/>
            <w:webHidden/>
          </w:rPr>
          <w:instrText xml:space="preserve"> PAGEREF _Toc394837743 \h </w:instrText>
        </w:r>
        <w:r w:rsidR="00FF412A">
          <w:rPr>
            <w:noProof/>
            <w:webHidden/>
          </w:rPr>
        </w:r>
        <w:r w:rsidR="00FF412A">
          <w:rPr>
            <w:noProof/>
            <w:webHidden/>
          </w:rPr>
          <w:fldChar w:fldCharType="separate"/>
        </w:r>
        <w:r w:rsidR="00FC7394">
          <w:rPr>
            <w:noProof/>
            <w:webHidden/>
          </w:rPr>
          <w:t>11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44" w:history="1">
        <w:r w:rsidR="00BB3234" w:rsidRPr="00E57C47">
          <w:rPr>
            <w:rStyle w:val="Hyperlink"/>
            <w:noProof/>
            <w:lang w:val="en-US"/>
          </w:rPr>
          <w:t>INTRODUCERE</w:t>
        </w:r>
        <w:r w:rsidR="00BB3234">
          <w:rPr>
            <w:noProof/>
            <w:webHidden/>
          </w:rPr>
          <w:tab/>
        </w:r>
        <w:r w:rsidR="00FF412A">
          <w:rPr>
            <w:noProof/>
            <w:webHidden/>
          </w:rPr>
          <w:fldChar w:fldCharType="begin"/>
        </w:r>
        <w:r w:rsidR="00BB3234">
          <w:rPr>
            <w:noProof/>
            <w:webHidden/>
          </w:rPr>
          <w:instrText xml:space="preserve"> PAGEREF _Toc394837744 \h </w:instrText>
        </w:r>
        <w:r w:rsidR="00FF412A">
          <w:rPr>
            <w:noProof/>
            <w:webHidden/>
          </w:rPr>
        </w:r>
        <w:r w:rsidR="00FF412A">
          <w:rPr>
            <w:noProof/>
            <w:webHidden/>
          </w:rPr>
          <w:fldChar w:fldCharType="separate"/>
        </w:r>
        <w:r w:rsidR="00FC7394">
          <w:rPr>
            <w:noProof/>
            <w:webHidden/>
          </w:rPr>
          <w:t>11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45" w:history="1">
        <w:r w:rsidR="00BB3234" w:rsidRPr="00E57C47">
          <w:rPr>
            <w:rStyle w:val="Hyperlink"/>
            <w:noProof/>
            <w:lang w:val="fr-FR"/>
          </w:rPr>
          <w:t>Analiza situației din zona transfrontalieră</w:t>
        </w:r>
        <w:r w:rsidR="00BB3234">
          <w:rPr>
            <w:noProof/>
            <w:webHidden/>
          </w:rPr>
          <w:tab/>
        </w:r>
        <w:r w:rsidR="00FF412A">
          <w:rPr>
            <w:noProof/>
            <w:webHidden/>
          </w:rPr>
          <w:fldChar w:fldCharType="begin"/>
        </w:r>
        <w:r w:rsidR="00BB3234">
          <w:rPr>
            <w:noProof/>
            <w:webHidden/>
          </w:rPr>
          <w:instrText xml:space="preserve"> PAGEREF _Toc394837745 \h </w:instrText>
        </w:r>
        <w:r w:rsidR="00FF412A">
          <w:rPr>
            <w:noProof/>
            <w:webHidden/>
          </w:rPr>
        </w:r>
        <w:r w:rsidR="00FF412A">
          <w:rPr>
            <w:noProof/>
            <w:webHidden/>
          </w:rPr>
          <w:fldChar w:fldCharType="separate"/>
        </w:r>
        <w:r w:rsidR="00FC7394">
          <w:rPr>
            <w:noProof/>
            <w:webHidden/>
          </w:rPr>
          <w:t>15</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46" w:history="1">
        <w:r w:rsidR="00BB3234" w:rsidRPr="00E57C47">
          <w:rPr>
            <w:rStyle w:val="Hyperlink"/>
            <w:noProof/>
          </w:rPr>
          <w:t>Strategia Programului CBC România-Bulgaria</w:t>
        </w:r>
        <w:r w:rsidR="00BB3234">
          <w:rPr>
            <w:noProof/>
            <w:webHidden/>
          </w:rPr>
          <w:tab/>
        </w:r>
        <w:r w:rsidR="00FF412A">
          <w:rPr>
            <w:noProof/>
            <w:webHidden/>
          </w:rPr>
          <w:fldChar w:fldCharType="begin"/>
        </w:r>
        <w:r w:rsidR="00BB3234">
          <w:rPr>
            <w:noProof/>
            <w:webHidden/>
          </w:rPr>
          <w:instrText xml:space="preserve"> PAGEREF _Toc394837746 \h </w:instrText>
        </w:r>
        <w:r w:rsidR="00FF412A">
          <w:rPr>
            <w:noProof/>
            <w:webHidden/>
          </w:rPr>
        </w:r>
        <w:r w:rsidR="00FF412A">
          <w:rPr>
            <w:noProof/>
            <w:webHidden/>
          </w:rPr>
          <w:fldChar w:fldCharType="separate"/>
        </w:r>
        <w:r w:rsidR="00FC7394">
          <w:rPr>
            <w:noProof/>
            <w:webHidden/>
          </w:rPr>
          <w:t>26</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47" w:history="1">
        <w:r w:rsidR="00BB3234" w:rsidRPr="00E57C47">
          <w:rPr>
            <w:rStyle w:val="Hyperlink"/>
            <w:noProof/>
            <w:lang w:val="fr-FR"/>
          </w:rPr>
          <w:t>1.1.2. Justificarea selectării obiectivelor tematice și a priorităților de investiții corespunzătoare, luând în considerare cadrul strategic comun, pe baza unei analize a necesităților în domeniul programului în integralitatea sa și a strategiei selectate ca răspuns la aceste necesități, abordând, după caz, legăturile lipsă din infrastructura transfrontalieră, ținând cont de rezultatele evaluării ex-ante</w:t>
        </w:r>
        <w:r w:rsidR="00BB3234">
          <w:rPr>
            <w:noProof/>
            <w:webHidden/>
          </w:rPr>
          <w:tab/>
        </w:r>
        <w:r w:rsidR="00FF412A">
          <w:rPr>
            <w:noProof/>
            <w:webHidden/>
          </w:rPr>
          <w:fldChar w:fldCharType="begin"/>
        </w:r>
        <w:r w:rsidR="00BB3234">
          <w:rPr>
            <w:noProof/>
            <w:webHidden/>
          </w:rPr>
          <w:instrText xml:space="preserve"> PAGEREF _Toc394837747 \h </w:instrText>
        </w:r>
        <w:r w:rsidR="00FF412A">
          <w:rPr>
            <w:noProof/>
            <w:webHidden/>
          </w:rPr>
        </w:r>
        <w:r w:rsidR="00FF412A">
          <w:rPr>
            <w:noProof/>
            <w:webHidden/>
          </w:rPr>
          <w:fldChar w:fldCharType="separate"/>
        </w:r>
        <w:r w:rsidR="00FC7394">
          <w:rPr>
            <w:noProof/>
            <w:webHidden/>
          </w:rPr>
          <w:t>29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48" w:history="1">
        <w:r w:rsidR="00BB3234" w:rsidRPr="00E57C47">
          <w:rPr>
            <w:rStyle w:val="Hyperlink"/>
            <w:noProof/>
            <w:lang w:val="en-US" w:eastAsia="fr-BE"/>
          </w:rPr>
          <w:t>Tabelul 1: Justificare pentru selectarea obiectivelor tematice și a priorităților de investiții</w:t>
        </w:r>
        <w:r w:rsidR="00BB3234">
          <w:rPr>
            <w:noProof/>
            <w:webHidden/>
          </w:rPr>
          <w:tab/>
        </w:r>
        <w:r w:rsidR="00FF412A">
          <w:rPr>
            <w:noProof/>
            <w:webHidden/>
          </w:rPr>
          <w:fldChar w:fldCharType="begin"/>
        </w:r>
        <w:r w:rsidR="00BB3234">
          <w:rPr>
            <w:noProof/>
            <w:webHidden/>
          </w:rPr>
          <w:instrText xml:space="preserve"> PAGEREF _Toc394837748 \h </w:instrText>
        </w:r>
        <w:r w:rsidR="00FF412A">
          <w:rPr>
            <w:noProof/>
            <w:webHidden/>
          </w:rPr>
        </w:r>
        <w:r w:rsidR="00FF412A">
          <w:rPr>
            <w:noProof/>
            <w:webHidden/>
          </w:rPr>
          <w:fldChar w:fldCharType="separate"/>
        </w:r>
        <w:r w:rsidR="00FC7394">
          <w:rPr>
            <w:noProof/>
            <w:webHidden/>
          </w:rPr>
          <w:t>29</w:t>
        </w:r>
        <w:r w:rsidR="00FF412A">
          <w:rPr>
            <w:noProof/>
            <w:webHidden/>
          </w:rPr>
          <w:fldChar w:fldCharType="end"/>
        </w:r>
      </w:hyperlink>
    </w:p>
    <w:p w:rsidR="00BB3234" w:rsidRDefault="006D5DA0">
      <w:pPr>
        <w:pStyle w:val="TOC2"/>
        <w:tabs>
          <w:tab w:val="left" w:pos="851"/>
          <w:tab w:val="right" w:leader="dot" w:pos="9350"/>
        </w:tabs>
        <w:rPr>
          <w:rFonts w:asciiTheme="minorHAnsi" w:eastAsiaTheme="minorEastAsia" w:hAnsiTheme="minorHAnsi" w:cstheme="minorBidi"/>
          <w:noProof/>
          <w:sz w:val="22"/>
          <w:szCs w:val="22"/>
          <w:lang w:val="fr-FR" w:eastAsia="fr-FR"/>
        </w:rPr>
      </w:pPr>
      <w:hyperlink w:anchor="_Toc394837749" w:history="1">
        <w:r w:rsidR="00BB3234" w:rsidRPr="00E57C47">
          <w:rPr>
            <w:rStyle w:val="Hyperlink"/>
            <w:noProof/>
            <w:lang w:val="fr-FR" w:eastAsia="fr-BE"/>
          </w:rPr>
          <w:t>1.2.</w:t>
        </w:r>
        <w:r w:rsidR="00BB3234">
          <w:rPr>
            <w:rFonts w:asciiTheme="minorHAnsi" w:eastAsiaTheme="minorEastAsia" w:hAnsiTheme="minorHAnsi" w:cstheme="minorBidi"/>
            <w:noProof/>
            <w:sz w:val="22"/>
            <w:szCs w:val="22"/>
            <w:lang w:val="fr-FR" w:eastAsia="fr-FR"/>
          </w:rPr>
          <w:tab/>
        </w:r>
        <w:r w:rsidR="00BB3234" w:rsidRPr="00E57C47">
          <w:rPr>
            <w:rStyle w:val="Hyperlink"/>
            <w:noProof/>
            <w:lang w:val="fr-FR" w:eastAsia="fr-BE"/>
          </w:rPr>
          <w:t>Justificarea alocării financiare</w:t>
        </w:r>
        <w:r w:rsidR="00BB3234">
          <w:rPr>
            <w:noProof/>
            <w:webHidden/>
          </w:rPr>
          <w:tab/>
        </w:r>
        <w:r w:rsidR="00FF412A">
          <w:rPr>
            <w:noProof/>
            <w:webHidden/>
          </w:rPr>
          <w:fldChar w:fldCharType="begin"/>
        </w:r>
        <w:r w:rsidR="00BB3234">
          <w:rPr>
            <w:noProof/>
            <w:webHidden/>
          </w:rPr>
          <w:instrText xml:space="preserve"> PAGEREF _Toc394837749 \h </w:instrText>
        </w:r>
        <w:r w:rsidR="00FF412A">
          <w:rPr>
            <w:noProof/>
            <w:webHidden/>
          </w:rPr>
        </w:r>
        <w:r w:rsidR="00FF412A">
          <w:rPr>
            <w:noProof/>
            <w:webHidden/>
          </w:rPr>
          <w:fldChar w:fldCharType="separate"/>
        </w:r>
        <w:r w:rsidR="00FC7394">
          <w:rPr>
            <w:noProof/>
            <w:webHidden/>
          </w:rPr>
          <w:t>33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50" w:history="1">
        <w:r w:rsidR="00BB3234" w:rsidRPr="00E57C47">
          <w:rPr>
            <w:rStyle w:val="Hyperlink"/>
            <w:noProof/>
            <w:lang w:val="fr-FR" w:eastAsia="fr-BE"/>
          </w:rPr>
          <w:t>Tabelul 2: Imagine de ansamblu asupra strategiei de investiții a programului de cooperare</w:t>
        </w:r>
        <w:r w:rsidR="00BB3234">
          <w:rPr>
            <w:noProof/>
            <w:webHidden/>
          </w:rPr>
          <w:tab/>
        </w:r>
        <w:r w:rsidR="00FF412A">
          <w:rPr>
            <w:noProof/>
            <w:webHidden/>
          </w:rPr>
          <w:fldChar w:fldCharType="begin"/>
        </w:r>
        <w:r w:rsidR="00BB3234">
          <w:rPr>
            <w:noProof/>
            <w:webHidden/>
          </w:rPr>
          <w:instrText xml:space="preserve"> PAGEREF _Toc394837750 \h </w:instrText>
        </w:r>
        <w:r w:rsidR="00FF412A">
          <w:rPr>
            <w:noProof/>
            <w:webHidden/>
          </w:rPr>
        </w:r>
        <w:r w:rsidR="00FF412A">
          <w:rPr>
            <w:noProof/>
            <w:webHidden/>
          </w:rPr>
          <w:fldChar w:fldCharType="separate"/>
        </w:r>
        <w:r w:rsidR="00FC7394">
          <w:rPr>
            <w:noProof/>
            <w:webHidden/>
          </w:rPr>
          <w:t>34</w:t>
        </w:r>
        <w:r w:rsidR="00FF412A">
          <w:rPr>
            <w:noProof/>
            <w:webHidden/>
          </w:rPr>
          <w:fldChar w:fldCharType="end"/>
        </w:r>
      </w:hyperlink>
    </w:p>
    <w:p w:rsidR="00BB3234" w:rsidRDefault="006D5DA0">
      <w:pPr>
        <w:pStyle w:val="TOC1"/>
        <w:tabs>
          <w:tab w:val="right" w:leader="dot" w:pos="9350"/>
        </w:tabs>
        <w:rPr>
          <w:rFonts w:asciiTheme="minorHAnsi" w:eastAsiaTheme="minorEastAsia" w:hAnsiTheme="minorHAnsi" w:cstheme="minorBidi"/>
          <w:noProof/>
          <w:sz w:val="22"/>
          <w:szCs w:val="22"/>
          <w:lang w:val="fr-FR" w:eastAsia="fr-FR"/>
        </w:rPr>
      </w:pPr>
      <w:hyperlink w:anchor="_Toc394837751" w:history="1">
        <w:r w:rsidR="00BB3234" w:rsidRPr="00E57C47">
          <w:rPr>
            <w:rStyle w:val="Hyperlink"/>
            <w:noProof/>
            <w:lang w:val="en-US"/>
          </w:rPr>
          <w:t>SECȚIUNEA 2. AXELE PRIORITARE</w:t>
        </w:r>
        <w:r w:rsidR="00BB3234">
          <w:rPr>
            <w:noProof/>
            <w:webHidden/>
          </w:rPr>
          <w:tab/>
        </w:r>
        <w:r w:rsidR="00FF412A">
          <w:rPr>
            <w:noProof/>
            <w:webHidden/>
          </w:rPr>
          <w:fldChar w:fldCharType="begin"/>
        </w:r>
        <w:r w:rsidR="00BB3234">
          <w:rPr>
            <w:noProof/>
            <w:webHidden/>
          </w:rPr>
          <w:instrText xml:space="preserve"> PAGEREF _Toc394837751 \h </w:instrText>
        </w:r>
        <w:r w:rsidR="00FF412A">
          <w:rPr>
            <w:noProof/>
            <w:webHidden/>
          </w:rPr>
        </w:r>
        <w:r w:rsidR="00FF412A">
          <w:rPr>
            <w:noProof/>
            <w:webHidden/>
          </w:rPr>
          <w:fldChar w:fldCharType="separate"/>
        </w:r>
        <w:r w:rsidR="00FC7394">
          <w:rPr>
            <w:noProof/>
            <w:webHidden/>
          </w:rPr>
          <w:t>37</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52" w:history="1">
        <w:r w:rsidR="00BB3234" w:rsidRPr="00E57C47">
          <w:rPr>
            <w:rStyle w:val="Hyperlink"/>
            <w:noProof/>
            <w:lang w:val="en-US"/>
          </w:rPr>
          <w:t>2.A.  O descriere a axelor prioritare, altele decât asistența tehnică</w:t>
        </w:r>
        <w:r w:rsidR="00BB3234">
          <w:rPr>
            <w:noProof/>
            <w:webHidden/>
          </w:rPr>
          <w:tab/>
        </w:r>
        <w:r w:rsidR="00FF412A">
          <w:rPr>
            <w:noProof/>
            <w:webHidden/>
          </w:rPr>
          <w:fldChar w:fldCharType="begin"/>
        </w:r>
        <w:r w:rsidR="00BB3234">
          <w:rPr>
            <w:noProof/>
            <w:webHidden/>
          </w:rPr>
          <w:instrText xml:space="preserve"> PAGEREF _Toc394837752 \h </w:instrText>
        </w:r>
        <w:r w:rsidR="00FF412A">
          <w:rPr>
            <w:noProof/>
            <w:webHidden/>
          </w:rPr>
        </w:r>
        <w:r w:rsidR="00FF412A">
          <w:rPr>
            <w:noProof/>
            <w:webHidden/>
          </w:rPr>
          <w:fldChar w:fldCharType="separate"/>
        </w:r>
        <w:r w:rsidR="00FC7394">
          <w:rPr>
            <w:noProof/>
            <w:webHidden/>
          </w:rPr>
          <w:t>37</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53" w:history="1">
        <w:r w:rsidR="00BB3234" w:rsidRPr="00E57C47">
          <w:rPr>
            <w:rStyle w:val="Hyperlink"/>
            <w:noProof/>
            <w:lang w:val="fr-FR"/>
          </w:rPr>
          <w:t>2.A.1. Axa prioritară (se repetă pentru fiecare axă prioritară)</w:t>
        </w:r>
        <w:r w:rsidR="00BB3234">
          <w:rPr>
            <w:noProof/>
            <w:webHidden/>
          </w:rPr>
          <w:tab/>
        </w:r>
        <w:r w:rsidR="00FF412A">
          <w:rPr>
            <w:noProof/>
            <w:webHidden/>
          </w:rPr>
          <w:fldChar w:fldCharType="begin"/>
        </w:r>
        <w:r w:rsidR="00BB3234">
          <w:rPr>
            <w:noProof/>
            <w:webHidden/>
          </w:rPr>
          <w:instrText xml:space="preserve"> PAGEREF _Toc394837753 \h </w:instrText>
        </w:r>
        <w:r w:rsidR="00FF412A">
          <w:rPr>
            <w:noProof/>
            <w:webHidden/>
          </w:rPr>
        </w:r>
        <w:r w:rsidR="00FF412A">
          <w:rPr>
            <w:noProof/>
            <w:webHidden/>
          </w:rPr>
          <w:fldChar w:fldCharType="separate"/>
        </w:r>
        <w:r w:rsidR="00FC7394">
          <w:rPr>
            <w:noProof/>
            <w:webHidden/>
          </w:rPr>
          <w:t>37</w:t>
        </w:r>
        <w:r w:rsidR="00FF412A">
          <w:rPr>
            <w:noProof/>
            <w:webHidden/>
          </w:rPr>
          <w:fldChar w:fldCharType="end"/>
        </w:r>
      </w:hyperlink>
    </w:p>
    <w:p w:rsidR="00BB3234" w:rsidRDefault="006D5DA0">
      <w:pPr>
        <w:pStyle w:val="TOC3"/>
        <w:rPr>
          <w:rFonts w:asciiTheme="minorHAnsi" w:eastAsiaTheme="minorEastAsia" w:hAnsiTheme="minorHAnsi" w:cstheme="minorBidi"/>
          <w:noProof/>
          <w:szCs w:val="22"/>
          <w:lang w:val="fr-FR" w:eastAsia="fr-FR"/>
        </w:rPr>
      </w:pPr>
      <w:hyperlink w:anchor="_Toc394837754" w:history="1">
        <w:r w:rsidR="00BB3234" w:rsidRPr="00E57C47">
          <w:rPr>
            <w:rStyle w:val="Hyperlink"/>
            <w:noProof/>
            <w:lang w:val="en-US"/>
          </w:rPr>
          <w:t>AXA PRIORITARĂ 1: O regiune bine conectată</w:t>
        </w:r>
        <w:r w:rsidR="00BB3234">
          <w:rPr>
            <w:noProof/>
            <w:webHidden/>
          </w:rPr>
          <w:tab/>
        </w:r>
        <w:r w:rsidR="00FF412A">
          <w:rPr>
            <w:noProof/>
            <w:webHidden/>
          </w:rPr>
          <w:fldChar w:fldCharType="begin"/>
        </w:r>
        <w:r w:rsidR="00BB3234">
          <w:rPr>
            <w:noProof/>
            <w:webHidden/>
          </w:rPr>
          <w:instrText xml:space="preserve"> PAGEREF _Toc394837754 \h </w:instrText>
        </w:r>
        <w:r w:rsidR="00FF412A">
          <w:rPr>
            <w:noProof/>
            <w:webHidden/>
          </w:rPr>
        </w:r>
        <w:r w:rsidR="00FF412A">
          <w:rPr>
            <w:noProof/>
            <w:webHidden/>
          </w:rPr>
          <w:fldChar w:fldCharType="separate"/>
        </w:r>
        <w:r w:rsidR="00FC7394">
          <w:rPr>
            <w:noProof/>
            <w:webHidden/>
          </w:rPr>
          <w:t>37</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55" w:history="1">
        <w:r w:rsidR="00BB3234" w:rsidRPr="00E57C47">
          <w:rPr>
            <w:rStyle w:val="Hyperlink"/>
            <w:noProof/>
            <w:lang w:val="fr-FR"/>
          </w:rPr>
          <w:t>2.A.2. Justificarea stabilirii unei axe prioritare care acoperă mai mult de un obiectiv tematic</w:t>
        </w:r>
        <w:r w:rsidR="00BB3234">
          <w:rPr>
            <w:noProof/>
            <w:webHidden/>
          </w:rPr>
          <w:tab/>
        </w:r>
        <w:r w:rsidR="00FF412A">
          <w:rPr>
            <w:noProof/>
            <w:webHidden/>
          </w:rPr>
          <w:fldChar w:fldCharType="begin"/>
        </w:r>
        <w:r w:rsidR="00BB3234">
          <w:rPr>
            <w:noProof/>
            <w:webHidden/>
          </w:rPr>
          <w:instrText xml:space="preserve"> PAGEREF _Toc394837755 \h </w:instrText>
        </w:r>
        <w:r w:rsidR="00FF412A">
          <w:rPr>
            <w:noProof/>
            <w:webHidden/>
          </w:rPr>
        </w:r>
        <w:r w:rsidR="00FF412A">
          <w:rPr>
            <w:noProof/>
            <w:webHidden/>
          </w:rPr>
          <w:fldChar w:fldCharType="separate"/>
        </w:r>
        <w:r w:rsidR="00FC7394">
          <w:rPr>
            <w:noProof/>
            <w:webHidden/>
          </w:rPr>
          <w:t>37</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56" w:history="1">
        <w:r w:rsidR="00BB3234" w:rsidRPr="00E57C47">
          <w:rPr>
            <w:rStyle w:val="Hyperlink"/>
            <w:noProof/>
            <w:lang w:val="fr-FR"/>
          </w:rPr>
          <w:t>2.A.3. Fondul și baza de calcul pentru sprijinul Uniunii</w:t>
        </w:r>
        <w:r w:rsidR="00BB3234">
          <w:rPr>
            <w:noProof/>
            <w:webHidden/>
          </w:rPr>
          <w:tab/>
        </w:r>
        <w:r w:rsidR="00FF412A">
          <w:rPr>
            <w:noProof/>
            <w:webHidden/>
          </w:rPr>
          <w:fldChar w:fldCharType="begin"/>
        </w:r>
        <w:r w:rsidR="00BB3234">
          <w:rPr>
            <w:noProof/>
            <w:webHidden/>
          </w:rPr>
          <w:instrText xml:space="preserve"> PAGEREF _Toc394837756 \h </w:instrText>
        </w:r>
        <w:r w:rsidR="00FF412A">
          <w:rPr>
            <w:noProof/>
            <w:webHidden/>
          </w:rPr>
        </w:r>
        <w:r w:rsidR="00FF412A">
          <w:rPr>
            <w:noProof/>
            <w:webHidden/>
          </w:rPr>
          <w:fldChar w:fldCharType="separate"/>
        </w:r>
        <w:r w:rsidR="00FC7394">
          <w:rPr>
            <w:noProof/>
            <w:webHidden/>
          </w:rPr>
          <w:t>37</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57" w:history="1">
        <w:r w:rsidR="00BB3234" w:rsidRPr="00E57C47">
          <w:rPr>
            <w:rStyle w:val="Hyperlink"/>
            <w:noProof/>
            <w:lang w:val="en-US"/>
          </w:rPr>
          <w:t>2.A.4. Prioritatea de investiții</w:t>
        </w:r>
        <w:r w:rsidR="00BB3234">
          <w:rPr>
            <w:noProof/>
            <w:webHidden/>
          </w:rPr>
          <w:tab/>
        </w:r>
        <w:r w:rsidR="00FF412A">
          <w:rPr>
            <w:noProof/>
            <w:webHidden/>
          </w:rPr>
          <w:fldChar w:fldCharType="begin"/>
        </w:r>
        <w:r w:rsidR="00BB3234">
          <w:rPr>
            <w:noProof/>
            <w:webHidden/>
          </w:rPr>
          <w:instrText xml:space="preserve"> PAGEREF _Toc394837757 \h </w:instrText>
        </w:r>
        <w:r w:rsidR="00FF412A">
          <w:rPr>
            <w:noProof/>
            <w:webHidden/>
          </w:rPr>
        </w:r>
        <w:r w:rsidR="00FF412A">
          <w:rPr>
            <w:noProof/>
            <w:webHidden/>
          </w:rPr>
          <w:fldChar w:fldCharType="separate"/>
        </w:r>
        <w:r w:rsidR="00FC7394">
          <w:rPr>
            <w:noProof/>
            <w:webHidden/>
          </w:rPr>
          <w:t>37</w:t>
        </w:r>
        <w:r w:rsidR="00FF412A">
          <w:rPr>
            <w:noProof/>
            <w:webHidden/>
          </w:rPr>
          <w:fldChar w:fldCharType="end"/>
        </w:r>
      </w:hyperlink>
    </w:p>
    <w:p w:rsidR="00BB3234" w:rsidRDefault="006D5DA0">
      <w:pPr>
        <w:pStyle w:val="TOC3"/>
        <w:rPr>
          <w:rFonts w:asciiTheme="minorHAnsi" w:eastAsiaTheme="minorEastAsia" w:hAnsiTheme="minorHAnsi" w:cstheme="minorBidi"/>
          <w:noProof/>
          <w:szCs w:val="22"/>
          <w:lang w:val="fr-FR" w:eastAsia="fr-FR"/>
        </w:rPr>
      </w:pPr>
      <w:hyperlink w:anchor="_Toc394837758" w:history="1">
        <w:r w:rsidR="00BB3234" w:rsidRPr="00E57C47">
          <w:rPr>
            <w:rStyle w:val="Hyperlink"/>
            <w:noProof/>
            <w:lang w:val="en-US"/>
          </w:rPr>
          <w:t>Prioritatea de investiții 7b:stimularea mobilității regionale prin conectarea nodurilor secundare și terțiare la infrastructura TEN-T, inclusiv a nodurilor multimodale</w:t>
        </w:r>
        <w:r w:rsidR="00BB3234">
          <w:rPr>
            <w:noProof/>
            <w:webHidden/>
          </w:rPr>
          <w:tab/>
        </w:r>
        <w:r w:rsidR="00FF412A">
          <w:rPr>
            <w:noProof/>
            <w:webHidden/>
          </w:rPr>
          <w:fldChar w:fldCharType="begin"/>
        </w:r>
        <w:r w:rsidR="00BB3234">
          <w:rPr>
            <w:noProof/>
            <w:webHidden/>
          </w:rPr>
          <w:instrText xml:space="preserve"> PAGEREF _Toc394837758 \h </w:instrText>
        </w:r>
        <w:r w:rsidR="00FF412A">
          <w:rPr>
            <w:noProof/>
            <w:webHidden/>
          </w:rPr>
        </w:r>
        <w:r w:rsidR="00FF412A">
          <w:rPr>
            <w:noProof/>
            <w:webHidden/>
          </w:rPr>
          <w:fldChar w:fldCharType="separate"/>
        </w:r>
        <w:r w:rsidR="00FC7394">
          <w:rPr>
            <w:noProof/>
            <w:webHidden/>
          </w:rPr>
          <w:t>37</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59" w:history="1">
        <w:r w:rsidR="00BB3234" w:rsidRPr="00E57C47">
          <w:rPr>
            <w:rStyle w:val="Hyperlink"/>
            <w:noProof/>
            <w:lang w:val="en-US"/>
          </w:rPr>
          <w:t>2.A.5. Obiective specifice corespunzătoare priorității de investiții și rezultate preconizate</w:t>
        </w:r>
        <w:r w:rsidR="00BB3234">
          <w:rPr>
            <w:noProof/>
            <w:webHidden/>
          </w:rPr>
          <w:tab/>
        </w:r>
        <w:r w:rsidR="00FF412A">
          <w:rPr>
            <w:noProof/>
            <w:webHidden/>
          </w:rPr>
          <w:fldChar w:fldCharType="begin"/>
        </w:r>
        <w:r w:rsidR="00BB3234">
          <w:rPr>
            <w:noProof/>
            <w:webHidden/>
          </w:rPr>
          <w:instrText xml:space="preserve"> PAGEREF _Toc394837759 \h </w:instrText>
        </w:r>
        <w:r w:rsidR="00FF412A">
          <w:rPr>
            <w:noProof/>
            <w:webHidden/>
          </w:rPr>
        </w:r>
        <w:r w:rsidR="00FF412A">
          <w:rPr>
            <w:noProof/>
            <w:webHidden/>
          </w:rPr>
          <w:fldChar w:fldCharType="separate"/>
        </w:r>
        <w:r w:rsidR="00FC7394">
          <w:rPr>
            <w:noProof/>
            <w:webHidden/>
          </w:rPr>
          <w:t>38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60" w:history="1">
        <w:r w:rsidR="00BB3234" w:rsidRPr="00E57C47">
          <w:rPr>
            <w:rStyle w:val="Hyperlink"/>
            <w:noProof/>
            <w:lang w:val="fr-FR"/>
          </w:rPr>
          <w:t>Tabelul 3: Indicatori de rezultat specifici programului</w:t>
        </w:r>
        <w:r w:rsidR="00BB3234">
          <w:rPr>
            <w:noProof/>
            <w:webHidden/>
          </w:rPr>
          <w:tab/>
        </w:r>
        <w:r w:rsidR="00FF412A">
          <w:rPr>
            <w:noProof/>
            <w:webHidden/>
          </w:rPr>
          <w:fldChar w:fldCharType="begin"/>
        </w:r>
        <w:r w:rsidR="00BB3234">
          <w:rPr>
            <w:noProof/>
            <w:webHidden/>
          </w:rPr>
          <w:instrText xml:space="preserve"> PAGEREF _Toc394837760 \h </w:instrText>
        </w:r>
        <w:r w:rsidR="00FF412A">
          <w:rPr>
            <w:noProof/>
            <w:webHidden/>
          </w:rPr>
        </w:r>
        <w:r w:rsidR="00FF412A">
          <w:rPr>
            <w:noProof/>
            <w:webHidden/>
          </w:rPr>
          <w:fldChar w:fldCharType="separate"/>
        </w:r>
        <w:r w:rsidR="00FC7394">
          <w:rPr>
            <w:noProof/>
            <w:webHidden/>
          </w:rPr>
          <w:t>39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61" w:history="1">
        <w:r w:rsidR="00BB3234" w:rsidRPr="00E57C47">
          <w:rPr>
            <w:rStyle w:val="Hyperlink"/>
            <w:noProof/>
            <w:lang w:val="fr-FR"/>
          </w:rPr>
          <w:t>2.A.6. Acțiunile care urmează să fie sprijinite în cadrul priorității de investiții</w:t>
        </w:r>
        <w:r w:rsidR="00BB3234">
          <w:rPr>
            <w:noProof/>
            <w:webHidden/>
          </w:rPr>
          <w:tab/>
        </w:r>
        <w:r w:rsidR="00FF412A">
          <w:rPr>
            <w:noProof/>
            <w:webHidden/>
          </w:rPr>
          <w:fldChar w:fldCharType="begin"/>
        </w:r>
        <w:r w:rsidR="00BB3234">
          <w:rPr>
            <w:noProof/>
            <w:webHidden/>
          </w:rPr>
          <w:instrText xml:space="preserve"> PAGEREF _Toc394837761 \h </w:instrText>
        </w:r>
        <w:r w:rsidR="00FF412A">
          <w:rPr>
            <w:noProof/>
            <w:webHidden/>
          </w:rPr>
        </w:r>
        <w:r w:rsidR="00FF412A">
          <w:rPr>
            <w:noProof/>
            <w:webHidden/>
          </w:rPr>
          <w:fldChar w:fldCharType="separate"/>
        </w:r>
        <w:r w:rsidR="00FC7394">
          <w:rPr>
            <w:noProof/>
            <w:webHidden/>
          </w:rPr>
          <w:t>40</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62" w:history="1">
        <w:r w:rsidR="00BB3234" w:rsidRPr="00E57C47">
          <w:rPr>
            <w:rStyle w:val="Hyperlink"/>
            <w:noProof/>
            <w:lang w:val="fr-FR"/>
          </w:rPr>
          <w:t>2.A.6.1.Descrierea tipului și exemplelor de acțiuni care urmează să fie sprijinite și contribuțiile preconizate la obiectivele specifice, inclusiv, după caz, identificarea principalelor grupuri țintă, a teritoriilor specifice vizate și a tipurilor de beneficiari</w:t>
        </w:r>
        <w:r w:rsidR="00BB3234">
          <w:rPr>
            <w:noProof/>
            <w:webHidden/>
          </w:rPr>
          <w:tab/>
        </w:r>
        <w:r w:rsidR="00FF412A">
          <w:rPr>
            <w:noProof/>
            <w:webHidden/>
          </w:rPr>
          <w:fldChar w:fldCharType="begin"/>
        </w:r>
        <w:r w:rsidR="00BB3234">
          <w:rPr>
            <w:noProof/>
            <w:webHidden/>
          </w:rPr>
          <w:instrText xml:space="preserve"> PAGEREF _Toc394837762 \h </w:instrText>
        </w:r>
        <w:r w:rsidR="00FF412A">
          <w:rPr>
            <w:noProof/>
            <w:webHidden/>
          </w:rPr>
        </w:r>
        <w:r w:rsidR="00FF412A">
          <w:rPr>
            <w:noProof/>
            <w:webHidden/>
          </w:rPr>
          <w:fldChar w:fldCharType="separate"/>
        </w:r>
        <w:r w:rsidR="00FC7394">
          <w:rPr>
            <w:noProof/>
            <w:webHidden/>
          </w:rPr>
          <w:t>40</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63" w:history="1">
        <w:r w:rsidR="00BB3234" w:rsidRPr="00E57C47">
          <w:rPr>
            <w:rStyle w:val="Hyperlink"/>
            <w:noProof/>
            <w:lang w:val="en-US"/>
          </w:rPr>
          <w:t>2.A.6.2. Principiile directoare pentru selectarea operațiunilor</w:t>
        </w:r>
        <w:r w:rsidR="00BB3234">
          <w:rPr>
            <w:noProof/>
            <w:webHidden/>
          </w:rPr>
          <w:tab/>
        </w:r>
        <w:r w:rsidR="00FF412A">
          <w:rPr>
            <w:noProof/>
            <w:webHidden/>
          </w:rPr>
          <w:fldChar w:fldCharType="begin"/>
        </w:r>
        <w:r w:rsidR="00BB3234">
          <w:rPr>
            <w:noProof/>
            <w:webHidden/>
          </w:rPr>
          <w:instrText xml:space="preserve"> PAGEREF _Toc394837763 \h </w:instrText>
        </w:r>
        <w:r w:rsidR="00FF412A">
          <w:rPr>
            <w:noProof/>
            <w:webHidden/>
          </w:rPr>
        </w:r>
        <w:r w:rsidR="00FF412A">
          <w:rPr>
            <w:noProof/>
            <w:webHidden/>
          </w:rPr>
          <w:fldChar w:fldCharType="separate"/>
        </w:r>
        <w:r w:rsidR="00FC7394">
          <w:rPr>
            <w:noProof/>
            <w:webHidden/>
          </w:rPr>
          <w:t>42</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64" w:history="1">
        <w:r w:rsidR="00BB3234" w:rsidRPr="00E57C47">
          <w:rPr>
            <w:rStyle w:val="Hyperlink"/>
            <w:noProof/>
            <w:lang w:val="ro-RO"/>
          </w:rPr>
          <w:t>2.A.6.3. Utilizarea planificată a instrumentelor financiare</w:t>
        </w:r>
        <w:r w:rsidR="00BB3234">
          <w:rPr>
            <w:noProof/>
            <w:webHidden/>
          </w:rPr>
          <w:tab/>
        </w:r>
        <w:r w:rsidR="00FF412A">
          <w:rPr>
            <w:noProof/>
            <w:webHidden/>
          </w:rPr>
          <w:fldChar w:fldCharType="begin"/>
        </w:r>
        <w:r w:rsidR="00BB3234">
          <w:rPr>
            <w:noProof/>
            <w:webHidden/>
          </w:rPr>
          <w:instrText xml:space="preserve"> PAGEREF _Toc394837764 \h </w:instrText>
        </w:r>
        <w:r w:rsidR="00FF412A">
          <w:rPr>
            <w:noProof/>
            <w:webHidden/>
          </w:rPr>
        </w:r>
        <w:r w:rsidR="00FF412A">
          <w:rPr>
            <w:noProof/>
            <w:webHidden/>
          </w:rPr>
          <w:fldChar w:fldCharType="separate"/>
        </w:r>
        <w:r w:rsidR="00FC7394">
          <w:rPr>
            <w:noProof/>
            <w:webHidden/>
          </w:rPr>
          <w:t>42</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65" w:history="1">
        <w:r w:rsidR="00BB3234" w:rsidRPr="00E57C47">
          <w:rPr>
            <w:rStyle w:val="Hyperlink"/>
            <w:noProof/>
            <w:lang w:val="ro-RO"/>
          </w:rPr>
          <w:t>2.A.6.4. Utilizarea planificată a proiectelor majore</w:t>
        </w:r>
        <w:r w:rsidR="00BB3234">
          <w:rPr>
            <w:noProof/>
            <w:webHidden/>
          </w:rPr>
          <w:tab/>
        </w:r>
        <w:r w:rsidR="00FF412A">
          <w:rPr>
            <w:noProof/>
            <w:webHidden/>
          </w:rPr>
          <w:fldChar w:fldCharType="begin"/>
        </w:r>
        <w:r w:rsidR="00BB3234">
          <w:rPr>
            <w:noProof/>
            <w:webHidden/>
          </w:rPr>
          <w:instrText xml:space="preserve"> PAGEREF _Toc394837765 \h </w:instrText>
        </w:r>
        <w:r w:rsidR="00FF412A">
          <w:rPr>
            <w:noProof/>
            <w:webHidden/>
          </w:rPr>
        </w:r>
        <w:r w:rsidR="00FF412A">
          <w:rPr>
            <w:noProof/>
            <w:webHidden/>
          </w:rPr>
          <w:fldChar w:fldCharType="separate"/>
        </w:r>
        <w:r w:rsidR="00FC7394">
          <w:rPr>
            <w:noProof/>
            <w:webHidden/>
          </w:rPr>
          <w:t>42</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66" w:history="1">
        <w:r w:rsidR="00BB3234" w:rsidRPr="00E57C47">
          <w:rPr>
            <w:rStyle w:val="Hyperlink"/>
            <w:noProof/>
            <w:lang w:val="fr-FR"/>
          </w:rPr>
          <w:t>2.A.6.5. Indicatori de realizare</w:t>
        </w:r>
        <w:r w:rsidR="00BB3234">
          <w:rPr>
            <w:noProof/>
            <w:webHidden/>
          </w:rPr>
          <w:tab/>
        </w:r>
        <w:r w:rsidR="00FF412A">
          <w:rPr>
            <w:noProof/>
            <w:webHidden/>
          </w:rPr>
          <w:fldChar w:fldCharType="begin"/>
        </w:r>
        <w:r w:rsidR="00BB3234">
          <w:rPr>
            <w:noProof/>
            <w:webHidden/>
          </w:rPr>
          <w:instrText xml:space="preserve"> PAGEREF _Toc394837766 \h </w:instrText>
        </w:r>
        <w:r w:rsidR="00FF412A">
          <w:rPr>
            <w:noProof/>
            <w:webHidden/>
          </w:rPr>
        </w:r>
        <w:r w:rsidR="00FF412A">
          <w:rPr>
            <w:noProof/>
            <w:webHidden/>
          </w:rPr>
          <w:fldChar w:fldCharType="separate"/>
        </w:r>
        <w:r w:rsidR="00FC7394">
          <w:rPr>
            <w:noProof/>
            <w:webHidden/>
          </w:rPr>
          <w:t>43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67" w:history="1">
        <w:r w:rsidR="00BB3234" w:rsidRPr="00E57C47">
          <w:rPr>
            <w:rStyle w:val="Hyperlink"/>
            <w:noProof/>
            <w:lang w:val="fr-FR"/>
          </w:rPr>
          <w:t>Tabelul 4: Indicatori de realizare comuni și specifici programului</w:t>
        </w:r>
        <w:r w:rsidR="00BB3234">
          <w:rPr>
            <w:noProof/>
            <w:webHidden/>
          </w:rPr>
          <w:tab/>
        </w:r>
        <w:r w:rsidR="00FF412A">
          <w:rPr>
            <w:noProof/>
            <w:webHidden/>
          </w:rPr>
          <w:fldChar w:fldCharType="begin"/>
        </w:r>
        <w:r w:rsidR="00BB3234">
          <w:rPr>
            <w:noProof/>
            <w:webHidden/>
          </w:rPr>
          <w:instrText xml:space="preserve"> PAGEREF _Toc394837767 \h </w:instrText>
        </w:r>
        <w:r w:rsidR="00FF412A">
          <w:rPr>
            <w:noProof/>
            <w:webHidden/>
          </w:rPr>
        </w:r>
        <w:r w:rsidR="00FF412A">
          <w:rPr>
            <w:noProof/>
            <w:webHidden/>
          </w:rPr>
          <w:fldChar w:fldCharType="separate"/>
        </w:r>
        <w:r w:rsidR="00FC7394">
          <w:rPr>
            <w:noProof/>
            <w:webHidden/>
          </w:rPr>
          <w:t>43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68" w:history="1">
        <w:r w:rsidR="00BB3234" w:rsidRPr="00E57C47">
          <w:rPr>
            <w:rStyle w:val="Hyperlink"/>
            <w:noProof/>
            <w:lang w:val="en-US"/>
          </w:rPr>
          <w:t>2.A.4. Prioritatea de investiții</w:t>
        </w:r>
        <w:r w:rsidR="00BB3234">
          <w:rPr>
            <w:noProof/>
            <w:webHidden/>
          </w:rPr>
          <w:tab/>
        </w:r>
        <w:r w:rsidR="00FF412A">
          <w:rPr>
            <w:noProof/>
            <w:webHidden/>
          </w:rPr>
          <w:fldChar w:fldCharType="begin"/>
        </w:r>
        <w:r w:rsidR="00BB3234">
          <w:rPr>
            <w:noProof/>
            <w:webHidden/>
          </w:rPr>
          <w:instrText xml:space="preserve"> PAGEREF _Toc394837768 \h </w:instrText>
        </w:r>
        <w:r w:rsidR="00FF412A">
          <w:rPr>
            <w:noProof/>
            <w:webHidden/>
          </w:rPr>
        </w:r>
        <w:r w:rsidR="00FF412A">
          <w:rPr>
            <w:noProof/>
            <w:webHidden/>
          </w:rPr>
          <w:fldChar w:fldCharType="separate"/>
        </w:r>
        <w:r w:rsidR="00FC7394">
          <w:rPr>
            <w:noProof/>
            <w:webHidden/>
          </w:rPr>
          <w:t>43</w:t>
        </w:r>
        <w:r w:rsidR="00FF412A">
          <w:rPr>
            <w:noProof/>
            <w:webHidden/>
          </w:rPr>
          <w:fldChar w:fldCharType="end"/>
        </w:r>
      </w:hyperlink>
    </w:p>
    <w:p w:rsidR="00BB3234" w:rsidRDefault="006D5DA0">
      <w:pPr>
        <w:pStyle w:val="TOC3"/>
        <w:rPr>
          <w:rFonts w:asciiTheme="minorHAnsi" w:eastAsiaTheme="minorEastAsia" w:hAnsiTheme="minorHAnsi" w:cstheme="minorBidi"/>
          <w:noProof/>
          <w:szCs w:val="22"/>
          <w:lang w:val="fr-FR" w:eastAsia="fr-FR"/>
        </w:rPr>
      </w:pPr>
      <w:hyperlink w:anchor="_Toc394837769" w:history="1">
        <w:r w:rsidR="00BB3234" w:rsidRPr="00E57C47">
          <w:rPr>
            <w:rStyle w:val="Hyperlink"/>
            <w:noProof/>
            <w:lang w:val="en-US"/>
          </w:rPr>
          <w:t>Prioritatea de investiții 7c: dezvoltarea și îmbunătățirea unor sisteme de transport care respectă mediul, inclusiv a celor cu zgomot redus, și care au emisii reduse de carbon, inclusiv a căilor navigabile interioare și a sistemelor de transport maritim, a porturilor, a legăturilor multimodale și infrastructurilor aeroportuare, cu scopul de a promova mobilitatea durabilă la nivel regional și local</w:t>
        </w:r>
        <w:r w:rsidR="00BB3234">
          <w:rPr>
            <w:noProof/>
            <w:webHidden/>
          </w:rPr>
          <w:tab/>
        </w:r>
        <w:r w:rsidR="00FF412A">
          <w:rPr>
            <w:noProof/>
            <w:webHidden/>
          </w:rPr>
          <w:fldChar w:fldCharType="begin"/>
        </w:r>
        <w:r w:rsidR="00BB3234">
          <w:rPr>
            <w:noProof/>
            <w:webHidden/>
          </w:rPr>
          <w:instrText xml:space="preserve"> PAGEREF _Toc394837769 \h </w:instrText>
        </w:r>
        <w:r w:rsidR="00FF412A">
          <w:rPr>
            <w:noProof/>
            <w:webHidden/>
          </w:rPr>
        </w:r>
        <w:r w:rsidR="00FF412A">
          <w:rPr>
            <w:noProof/>
            <w:webHidden/>
          </w:rPr>
          <w:fldChar w:fldCharType="separate"/>
        </w:r>
        <w:r w:rsidR="00FC7394">
          <w:rPr>
            <w:noProof/>
            <w:webHidden/>
          </w:rPr>
          <w:t>43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70" w:history="1">
        <w:r w:rsidR="00BB3234" w:rsidRPr="00E57C47">
          <w:rPr>
            <w:rStyle w:val="Hyperlink"/>
            <w:noProof/>
            <w:lang w:val="en-US"/>
          </w:rPr>
          <w:t>2.A.5. Obiective specifice corespunzătoare priorității de investiții și rezultate preconizate</w:t>
        </w:r>
        <w:r w:rsidR="00BB3234">
          <w:rPr>
            <w:noProof/>
            <w:webHidden/>
          </w:rPr>
          <w:tab/>
        </w:r>
        <w:r w:rsidR="00FF412A">
          <w:rPr>
            <w:noProof/>
            <w:webHidden/>
          </w:rPr>
          <w:fldChar w:fldCharType="begin"/>
        </w:r>
        <w:r w:rsidR="00BB3234">
          <w:rPr>
            <w:noProof/>
            <w:webHidden/>
          </w:rPr>
          <w:instrText xml:space="preserve"> PAGEREF _Toc394837770 \h </w:instrText>
        </w:r>
        <w:r w:rsidR="00FF412A">
          <w:rPr>
            <w:noProof/>
            <w:webHidden/>
          </w:rPr>
        </w:r>
        <w:r w:rsidR="00FF412A">
          <w:rPr>
            <w:noProof/>
            <w:webHidden/>
          </w:rPr>
          <w:fldChar w:fldCharType="separate"/>
        </w:r>
        <w:r w:rsidR="00FC7394">
          <w:rPr>
            <w:noProof/>
            <w:webHidden/>
          </w:rPr>
          <w:t>44</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71" w:history="1">
        <w:r w:rsidR="00BB3234" w:rsidRPr="00E57C47">
          <w:rPr>
            <w:rStyle w:val="Hyperlink"/>
            <w:noProof/>
            <w:lang w:val="fr-FR"/>
          </w:rPr>
          <w:t>Tabelul 3: Indicatori de rezultat specifici programului</w:t>
        </w:r>
        <w:r w:rsidR="00BB3234">
          <w:rPr>
            <w:noProof/>
            <w:webHidden/>
          </w:rPr>
          <w:tab/>
        </w:r>
        <w:r w:rsidR="00FF412A">
          <w:rPr>
            <w:noProof/>
            <w:webHidden/>
          </w:rPr>
          <w:fldChar w:fldCharType="begin"/>
        </w:r>
        <w:r w:rsidR="00BB3234">
          <w:rPr>
            <w:noProof/>
            <w:webHidden/>
          </w:rPr>
          <w:instrText xml:space="preserve"> PAGEREF _Toc394837771 \h </w:instrText>
        </w:r>
        <w:r w:rsidR="00FF412A">
          <w:rPr>
            <w:noProof/>
            <w:webHidden/>
          </w:rPr>
        </w:r>
        <w:r w:rsidR="00FF412A">
          <w:rPr>
            <w:noProof/>
            <w:webHidden/>
          </w:rPr>
          <w:fldChar w:fldCharType="separate"/>
        </w:r>
        <w:r w:rsidR="00FC7394">
          <w:rPr>
            <w:noProof/>
            <w:webHidden/>
          </w:rPr>
          <w:t>45</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72" w:history="1">
        <w:r w:rsidR="00BB3234" w:rsidRPr="00E57C47">
          <w:rPr>
            <w:rStyle w:val="Hyperlink"/>
            <w:noProof/>
            <w:lang w:val="fr-FR"/>
          </w:rPr>
          <w:t>2.A.6. Acțiunile care urmează să fie sprijinite în cadrul priorității de investiții</w:t>
        </w:r>
        <w:r w:rsidR="00BB3234">
          <w:rPr>
            <w:noProof/>
            <w:webHidden/>
          </w:rPr>
          <w:tab/>
        </w:r>
        <w:r w:rsidR="00FF412A">
          <w:rPr>
            <w:noProof/>
            <w:webHidden/>
          </w:rPr>
          <w:fldChar w:fldCharType="begin"/>
        </w:r>
        <w:r w:rsidR="00BB3234">
          <w:rPr>
            <w:noProof/>
            <w:webHidden/>
          </w:rPr>
          <w:instrText xml:space="preserve"> PAGEREF _Toc394837772 \h </w:instrText>
        </w:r>
        <w:r w:rsidR="00FF412A">
          <w:rPr>
            <w:noProof/>
            <w:webHidden/>
          </w:rPr>
        </w:r>
        <w:r w:rsidR="00FF412A">
          <w:rPr>
            <w:noProof/>
            <w:webHidden/>
          </w:rPr>
          <w:fldChar w:fldCharType="separate"/>
        </w:r>
        <w:r w:rsidR="00FC7394">
          <w:rPr>
            <w:noProof/>
            <w:webHidden/>
          </w:rPr>
          <w:t>46</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73" w:history="1">
        <w:r w:rsidR="00BB3234" w:rsidRPr="00E57C47">
          <w:rPr>
            <w:rStyle w:val="Hyperlink"/>
            <w:noProof/>
            <w:lang w:val="fr-FR"/>
          </w:rPr>
          <w:t>2.A.6.1. Descrierea tipului și exemple de acțiuni care urmează să fie sprijinite și contribuțiile preconizate la obiectivele specifice, inclusiv, după caz, identificarea principalelor grupuri țintă, a teritoriilor specifice vizate și a tipurilor de beneficiari</w:t>
        </w:r>
        <w:r w:rsidR="00BB3234">
          <w:rPr>
            <w:noProof/>
            <w:webHidden/>
          </w:rPr>
          <w:tab/>
        </w:r>
        <w:r w:rsidR="00FF412A">
          <w:rPr>
            <w:noProof/>
            <w:webHidden/>
          </w:rPr>
          <w:fldChar w:fldCharType="begin"/>
        </w:r>
        <w:r w:rsidR="00BB3234">
          <w:rPr>
            <w:noProof/>
            <w:webHidden/>
          </w:rPr>
          <w:instrText xml:space="preserve"> PAGEREF _Toc394837773 \h </w:instrText>
        </w:r>
        <w:r w:rsidR="00FF412A">
          <w:rPr>
            <w:noProof/>
            <w:webHidden/>
          </w:rPr>
        </w:r>
        <w:r w:rsidR="00FF412A">
          <w:rPr>
            <w:noProof/>
            <w:webHidden/>
          </w:rPr>
          <w:fldChar w:fldCharType="separate"/>
        </w:r>
        <w:r w:rsidR="00FC7394">
          <w:rPr>
            <w:noProof/>
            <w:webHidden/>
          </w:rPr>
          <w:t>46</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74" w:history="1">
        <w:r w:rsidR="00BB3234" w:rsidRPr="00E57C47">
          <w:rPr>
            <w:rStyle w:val="Hyperlink"/>
            <w:noProof/>
            <w:lang w:val="ro-RO" w:eastAsia="fr-BE"/>
          </w:rPr>
          <w:t>2.A.6.2. Principiile directoare pentru selectarea operațiunilor</w:t>
        </w:r>
        <w:r w:rsidR="00BB3234">
          <w:rPr>
            <w:noProof/>
            <w:webHidden/>
          </w:rPr>
          <w:tab/>
        </w:r>
        <w:r w:rsidR="00FF412A">
          <w:rPr>
            <w:noProof/>
            <w:webHidden/>
          </w:rPr>
          <w:fldChar w:fldCharType="begin"/>
        </w:r>
        <w:r w:rsidR="00BB3234">
          <w:rPr>
            <w:noProof/>
            <w:webHidden/>
          </w:rPr>
          <w:instrText xml:space="preserve"> PAGEREF _Toc394837774 \h </w:instrText>
        </w:r>
        <w:r w:rsidR="00FF412A">
          <w:rPr>
            <w:noProof/>
            <w:webHidden/>
          </w:rPr>
        </w:r>
        <w:r w:rsidR="00FF412A">
          <w:rPr>
            <w:noProof/>
            <w:webHidden/>
          </w:rPr>
          <w:fldChar w:fldCharType="separate"/>
        </w:r>
        <w:r w:rsidR="00FC7394">
          <w:rPr>
            <w:noProof/>
            <w:webHidden/>
          </w:rPr>
          <w:t>47</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75" w:history="1">
        <w:r w:rsidR="00BB3234" w:rsidRPr="00E57C47">
          <w:rPr>
            <w:rStyle w:val="Hyperlink"/>
            <w:noProof/>
            <w:lang w:val="ro-RO"/>
          </w:rPr>
          <w:t>2.A.6.3. Utilizarea planificată a instrumentelor financiare</w:t>
        </w:r>
        <w:r w:rsidR="00BB3234">
          <w:rPr>
            <w:noProof/>
            <w:webHidden/>
          </w:rPr>
          <w:tab/>
        </w:r>
        <w:r w:rsidR="00FF412A">
          <w:rPr>
            <w:noProof/>
            <w:webHidden/>
          </w:rPr>
          <w:fldChar w:fldCharType="begin"/>
        </w:r>
        <w:r w:rsidR="00BB3234">
          <w:rPr>
            <w:noProof/>
            <w:webHidden/>
          </w:rPr>
          <w:instrText xml:space="preserve"> PAGEREF _Toc394837775 \h </w:instrText>
        </w:r>
        <w:r w:rsidR="00FF412A">
          <w:rPr>
            <w:noProof/>
            <w:webHidden/>
          </w:rPr>
        </w:r>
        <w:r w:rsidR="00FF412A">
          <w:rPr>
            <w:noProof/>
            <w:webHidden/>
          </w:rPr>
          <w:fldChar w:fldCharType="separate"/>
        </w:r>
        <w:r w:rsidR="00FC7394">
          <w:rPr>
            <w:noProof/>
            <w:webHidden/>
          </w:rPr>
          <w:t>48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76" w:history="1">
        <w:r w:rsidR="00BB3234" w:rsidRPr="00E57C47">
          <w:rPr>
            <w:rStyle w:val="Hyperlink"/>
            <w:noProof/>
            <w:lang w:val="ro-RO"/>
          </w:rPr>
          <w:t>2.A.6.4. Utilizarea planificată a proiectelor majore</w:t>
        </w:r>
        <w:r w:rsidR="00BB3234">
          <w:rPr>
            <w:noProof/>
            <w:webHidden/>
          </w:rPr>
          <w:tab/>
        </w:r>
        <w:r w:rsidR="00FF412A">
          <w:rPr>
            <w:noProof/>
            <w:webHidden/>
          </w:rPr>
          <w:fldChar w:fldCharType="begin"/>
        </w:r>
        <w:r w:rsidR="00BB3234">
          <w:rPr>
            <w:noProof/>
            <w:webHidden/>
          </w:rPr>
          <w:instrText xml:space="preserve"> PAGEREF _Toc394837776 \h </w:instrText>
        </w:r>
        <w:r w:rsidR="00FF412A">
          <w:rPr>
            <w:noProof/>
            <w:webHidden/>
          </w:rPr>
        </w:r>
        <w:r w:rsidR="00FF412A">
          <w:rPr>
            <w:noProof/>
            <w:webHidden/>
          </w:rPr>
          <w:fldChar w:fldCharType="separate"/>
        </w:r>
        <w:r w:rsidR="00FC7394">
          <w:rPr>
            <w:noProof/>
            <w:webHidden/>
          </w:rPr>
          <w:t>48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77" w:history="1">
        <w:r w:rsidR="00BB3234" w:rsidRPr="00E57C47">
          <w:rPr>
            <w:rStyle w:val="Hyperlink"/>
            <w:noProof/>
            <w:lang w:val="ro-RO"/>
          </w:rPr>
          <w:t>2.A.6.5. Indicatori de realizare (pe prioritate de investiții)</w:t>
        </w:r>
        <w:r w:rsidR="00BB3234">
          <w:rPr>
            <w:noProof/>
            <w:webHidden/>
          </w:rPr>
          <w:tab/>
        </w:r>
        <w:r w:rsidR="00FF412A">
          <w:rPr>
            <w:noProof/>
            <w:webHidden/>
          </w:rPr>
          <w:fldChar w:fldCharType="begin"/>
        </w:r>
        <w:r w:rsidR="00BB3234">
          <w:rPr>
            <w:noProof/>
            <w:webHidden/>
          </w:rPr>
          <w:instrText xml:space="preserve"> PAGEREF _Toc394837777 \h </w:instrText>
        </w:r>
        <w:r w:rsidR="00FF412A">
          <w:rPr>
            <w:noProof/>
            <w:webHidden/>
          </w:rPr>
        </w:r>
        <w:r w:rsidR="00FF412A">
          <w:rPr>
            <w:noProof/>
            <w:webHidden/>
          </w:rPr>
          <w:fldChar w:fldCharType="separate"/>
        </w:r>
        <w:r w:rsidR="00FC7394">
          <w:rPr>
            <w:noProof/>
            <w:webHidden/>
          </w:rPr>
          <w:t>48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78" w:history="1">
        <w:r w:rsidR="00BB3234" w:rsidRPr="00E57C47">
          <w:rPr>
            <w:rStyle w:val="Hyperlink"/>
            <w:noProof/>
            <w:lang w:val="fr-FR"/>
          </w:rPr>
          <w:t>Tabelul 4: Indicatori de realizare comuni și specifici programului</w:t>
        </w:r>
        <w:r w:rsidR="00BB3234">
          <w:rPr>
            <w:noProof/>
            <w:webHidden/>
          </w:rPr>
          <w:tab/>
        </w:r>
        <w:r w:rsidR="00FF412A">
          <w:rPr>
            <w:noProof/>
            <w:webHidden/>
          </w:rPr>
          <w:fldChar w:fldCharType="begin"/>
        </w:r>
        <w:r w:rsidR="00BB3234">
          <w:rPr>
            <w:noProof/>
            <w:webHidden/>
          </w:rPr>
          <w:instrText xml:space="preserve"> PAGEREF _Toc394837778 \h </w:instrText>
        </w:r>
        <w:r w:rsidR="00FF412A">
          <w:rPr>
            <w:noProof/>
            <w:webHidden/>
          </w:rPr>
        </w:r>
        <w:r w:rsidR="00FF412A">
          <w:rPr>
            <w:noProof/>
            <w:webHidden/>
          </w:rPr>
          <w:fldChar w:fldCharType="separate"/>
        </w:r>
        <w:r w:rsidR="00FC7394">
          <w:rPr>
            <w:noProof/>
            <w:webHidden/>
          </w:rPr>
          <w:t>48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79" w:history="1">
        <w:r w:rsidR="00BB3234" w:rsidRPr="00E57C47">
          <w:rPr>
            <w:rStyle w:val="Hyperlink"/>
            <w:noProof/>
            <w:lang w:val="en-US"/>
          </w:rPr>
          <w:t>2.A.7. Cadrul de performanță</w:t>
        </w:r>
        <w:r w:rsidR="00BB3234">
          <w:rPr>
            <w:noProof/>
            <w:webHidden/>
          </w:rPr>
          <w:tab/>
        </w:r>
        <w:r w:rsidR="00FF412A">
          <w:rPr>
            <w:noProof/>
            <w:webHidden/>
          </w:rPr>
          <w:fldChar w:fldCharType="begin"/>
        </w:r>
        <w:r w:rsidR="00BB3234">
          <w:rPr>
            <w:noProof/>
            <w:webHidden/>
          </w:rPr>
          <w:instrText xml:space="preserve"> PAGEREF _Toc394837779 \h </w:instrText>
        </w:r>
        <w:r w:rsidR="00FF412A">
          <w:rPr>
            <w:noProof/>
            <w:webHidden/>
          </w:rPr>
        </w:r>
        <w:r w:rsidR="00FF412A">
          <w:rPr>
            <w:noProof/>
            <w:webHidden/>
          </w:rPr>
          <w:fldChar w:fldCharType="separate"/>
        </w:r>
        <w:r w:rsidR="00FC7394">
          <w:rPr>
            <w:noProof/>
            <w:webHidden/>
          </w:rPr>
          <w:t>49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80" w:history="1">
        <w:r w:rsidR="00BB3234" w:rsidRPr="00E57C47">
          <w:rPr>
            <w:rStyle w:val="Hyperlink"/>
            <w:noProof/>
            <w:lang w:val="fr-FR"/>
          </w:rPr>
          <w:t xml:space="preserve">Tabelul 5: Cadrul de performanță al axei prioritare 1 – </w:t>
        </w:r>
        <w:r w:rsidR="00BB3234" w:rsidRPr="00E57C47">
          <w:rPr>
            <w:rStyle w:val="Hyperlink"/>
            <w:noProof/>
            <w:lang w:val="fr-FR" w:eastAsia="fr-FR"/>
          </w:rPr>
          <w:t>O regiune bine conectata</w:t>
        </w:r>
        <w:r w:rsidR="00BB3234">
          <w:rPr>
            <w:noProof/>
            <w:webHidden/>
          </w:rPr>
          <w:tab/>
        </w:r>
        <w:r w:rsidR="00FF412A">
          <w:rPr>
            <w:noProof/>
            <w:webHidden/>
          </w:rPr>
          <w:fldChar w:fldCharType="begin"/>
        </w:r>
        <w:r w:rsidR="00BB3234">
          <w:rPr>
            <w:noProof/>
            <w:webHidden/>
          </w:rPr>
          <w:instrText xml:space="preserve"> PAGEREF _Toc394837780 \h </w:instrText>
        </w:r>
        <w:r w:rsidR="00FF412A">
          <w:rPr>
            <w:noProof/>
            <w:webHidden/>
          </w:rPr>
        </w:r>
        <w:r w:rsidR="00FF412A">
          <w:rPr>
            <w:noProof/>
            <w:webHidden/>
          </w:rPr>
          <w:fldChar w:fldCharType="separate"/>
        </w:r>
        <w:r w:rsidR="00FC7394">
          <w:rPr>
            <w:noProof/>
            <w:webHidden/>
          </w:rPr>
          <w:t>49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81" w:history="1">
        <w:r w:rsidR="00BB3234" w:rsidRPr="00E57C47">
          <w:rPr>
            <w:rStyle w:val="Hyperlink"/>
            <w:noProof/>
            <w:lang w:val="fr-FR"/>
          </w:rPr>
          <w:t>2.A.1Axa prioritară (se repetă pentru fiecare axă prioritară)</w:t>
        </w:r>
        <w:r w:rsidR="00BB3234">
          <w:rPr>
            <w:noProof/>
            <w:webHidden/>
          </w:rPr>
          <w:tab/>
        </w:r>
        <w:r w:rsidR="00FF412A">
          <w:rPr>
            <w:noProof/>
            <w:webHidden/>
          </w:rPr>
          <w:fldChar w:fldCharType="begin"/>
        </w:r>
        <w:r w:rsidR="00BB3234">
          <w:rPr>
            <w:noProof/>
            <w:webHidden/>
          </w:rPr>
          <w:instrText xml:space="preserve"> PAGEREF _Toc394837781 \h </w:instrText>
        </w:r>
        <w:r w:rsidR="00FF412A">
          <w:rPr>
            <w:noProof/>
            <w:webHidden/>
          </w:rPr>
        </w:r>
        <w:r w:rsidR="00FF412A">
          <w:rPr>
            <w:noProof/>
            <w:webHidden/>
          </w:rPr>
          <w:fldChar w:fldCharType="separate"/>
        </w:r>
        <w:r w:rsidR="00FC7394">
          <w:rPr>
            <w:noProof/>
            <w:webHidden/>
          </w:rPr>
          <w:t>50</w:t>
        </w:r>
        <w:r w:rsidR="00FF412A">
          <w:rPr>
            <w:noProof/>
            <w:webHidden/>
          </w:rPr>
          <w:fldChar w:fldCharType="end"/>
        </w:r>
      </w:hyperlink>
    </w:p>
    <w:p w:rsidR="00BB3234" w:rsidRDefault="006D5DA0">
      <w:pPr>
        <w:pStyle w:val="TOC3"/>
        <w:rPr>
          <w:rFonts w:asciiTheme="minorHAnsi" w:eastAsiaTheme="minorEastAsia" w:hAnsiTheme="minorHAnsi" w:cstheme="minorBidi"/>
          <w:noProof/>
          <w:szCs w:val="22"/>
          <w:lang w:val="fr-FR" w:eastAsia="fr-FR"/>
        </w:rPr>
      </w:pPr>
      <w:hyperlink w:anchor="_Toc394837782" w:history="1">
        <w:r w:rsidR="00BB3234" w:rsidRPr="00E57C47">
          <w:rPr>
            <w:rStyle w:val="Hyperlink"/>
            <w:noProof/>
            <w:lang w:val="en-US"/>
          </w:rPr>
          <w:t>AXA PRIORITARĂ 2: O regiune verde</w:t>
        </w:r>
        <w:r w:rsidR="00BB3234">
          <w:rPr>
            <w:noProof/>
            <w:webHidden/>
          </w:rPr>
          <w:tab/>
        </w:r>
        <w:r w:rsidR="00FF412A">
          <w:rPr>
            <w:noProof/>
            <w:webHidden/>
          </w:rPr>
          <w:fldChar w:fldCharType="begin"/>
        </w:r>
        <w:r w:rsidR="00BB3234">
          <w:rPr>
            <w:noProof/>
            <w:webHidden/>
          </w:rPr>
          <w:instrText xml:space="preserve"> PAGEREF _Toc394837782 \h </w:instrText>
        </w:r>
        <w:r w:rsidR="00FF412A">
          <w:rPr>
            <w:noProof/>
            <w:webHidden/>
          </w:rPr>
        </w:r>
        <w:r w:rsidR="00FF412A">
          <w:rPr>
            <w:noProof/>
            <w:webHidden/>
          </w:rPr>
          <w:fldChar w:fldCharType="separate"/>
        </w:r>
        <w:r w:rsidR="00FC7394">
          <w:rPr>
            <w:noProof/>
            <w:webHidden/>
          </w:rPr>
          <w:t>50</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83" w:history="1">
        <w:r w:rsidR="00BB3234" w:rsidRPr="00E57C47">
          <w:rPr>
            <w:rStyle w:val="Hyperlink"/>
            <w:noProof/>
            <w:lang w:val="fr-FR"/>
          </w:rPr>
          <w:t>2.A.2. Justificarea stabilirii unei axe prioritare care acoperă mai mult de un obiectiv tematic (dacă este cazul)</w:t>
        </w:r>
        <w:r w:rsidR="00BB3234">
          <w:rPr>
            <w:noProof/>
            <w:webHidden/>
          </w:rPr>
          <w:tab/>
        </w:r>
        <w:r w:rsidR="00FF412A">
          <w:rPr>
            <w:noProof/>
            <w:webHidden/>
          </w:rPr>
          <w:fldChar w:fldCharType="begin"/>
        </w:r>
        <w:r w:rsidR="00BB3234">
          <w:rPr>
            <w:noProof/>
            <w:webHidden/>
          </w:rPr>
          <w:instrText xml:space="preserve"> PAGEREF _Toc394837783 \h </w:instrText>
        </w:r>
        <w:r w:rsidR="00FF412A">
          <w:rPr>
            <w:noProof/>
            <w:webHidden/>
          </w:rPr>
        </w:r>
        <w:r w:rsidR="00FF412A">
          <w:rPr>
            <w:noProof/>
            <w:webHidden/>
          </w:rPr>
          <w:fldChar w:fldCharType="separate"/>
        </w:r>
        <w:r w:rsidR="00FC7394">
          <w:rPr>
            <w:noProof/>
            <w:webHidden/>
          </w:rPr>
          <w:t>50</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84" w:history="1">
        <w:r w:rsidR="00BB3234" w:rsidRPr="00E57C47">
          <w:rPr>
            <w:rStyle w:val="Hyperlink"/>
            <w:noProof/>
            <w:lang w:val="fr-FR"/>
          </w:rPr>
          <w:t>2.A.3. Fondul și baza de calcul pentru sprijinul Uniunii</w:t>
        </w:r>
        <w:r w:rsidR="00BB3234">
          <w:rPr>
            <w:noProof/>
            <w:webHidden/>
          </w:rPr>
          <w:tab/>
        </w:r>
        <w:r w:rsidR="00FF412A">
          <w:rPr>
            <w:noProof/>
            <w:webHidden/>
          </w:rPr>
          <w:fldChar w:fldCharType="begin"/>
        </w:r>
        <w:r w:rsidR="00BB3234">
          <w:rPr>
            <w:noProof/>
            <w:webHidden/>
          </w:rPr>
          <w:instrText xml:space="preserve"> PAGEREF _Toc394837784 \h </w:instrText>
        </w:r>
        <w:r w:rsidR="00FF412A">
          <w:rPr>
            <w:noProof/>
            <w:webHidden/>
          </w:rPr>
        </w:r>
        <w:r w:rsidR="00FF412A">
          <w:rPr>
            <w:noProof/>
            <w:webHidden/>
          </w:rPr>
          <w:fldChar w:fldCharType="separate"/>
        </w:r>
        <w:r w:rsidR="00FC7394">
          <w:rPr>
            <w:noProof/>
            <w:webHidden/>
          </w:rPr>
          <w:t>50</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85" w:history="1">
        <w:r w:rsidR="00BB3234" w:rsidRPr="00E57C47">
          <w:rPr>
            <w:rStyle w:val="Hyperlink"/>
            <w:noProof/>
            <w:lang w:val="en-US"/>
          </w:rPr>
          <w:t>2.A.4. Prioritatea de investiții</w:t>
        </w:r>
        <w:r w:rsidR="00BB3234">
          <w:rPr>
            <w:noProof/>
            <w:webHidden/>
          </w:rPr>
          <w:tab/>
        </w:r>
        <w:r w:rsidR="00FF412A">
          <w:rPr>
            <w:noProof/>
            <w:webHidden/>
          </w:rPr>
          <w:fldChar w:fldCharType="begin"/>
        </w:r>
        <w:r w:rsidR="00BB3234">
          <w:rPr>
            <w:noProof/>
            <w:webHidden/>
          </w:rPr>
          <w:instrText xml:space="preserve"> PAGEREF _Toc394837785 \h </w:instrText>
        </w:r>
        <w:r w:rsidR="00FF412A">
          <w:rPr>
            <w:noProof/>
            <w:webHidden/>
          </w:rPr>
        </w:r>
        <w:r w:rsidR="00FF412A">
          <w:rPr>
            <w:noProof/>
            <w:webHidden/>
          </w:rPr>
          <w:fldChar w:fldCharType="separate"/>
        </w:r>
        <w:r w:rsidR="00FC7394">
          <w:rPr>
            <w:noProof/>
            <w:webHidden/>
          </w:rPr>
          <w:t>50</w:t>
        </w:r>
        <w:r w:rsidR="00FF412A">
          <w:rPr>
            <w:noProof/>
            <w:webHidden/>
          </w:rPr>
          <w:fldChar w:fldCharType="end"/>
        </w:r>
      </w:hyperlink>
    </w:p>
    <w:p w:rsidR="00BB3234" w:rsidRDefault="006D5DA0">
      <w:pPr>
        <w:pStyle w:val="TOC3"/>
        <w:rPr>
          <w:rFonts w:asciiTheme="minorHAnsi" w:eastAsiaTheme="minorEastAsia" w:hAnsiTheme="minorHAnsi" w:cstheme="minorBidi"/>
          <w:noProof/>
          <w:szCs w:val="22"/>
          <w:lang w:val="fr-FR" w:eastAsia="fr-FR"/>
        </w:rPr>
      </w:pPr>
      <w:hyperlink w:anchor="_Toc394837786" w:history="1">
        <w:r w:rsidR="00BB3234" w:rsidRPr="00E57C47">
          <w:rPr>
            <w:rStyle w:val="Hyperlink"/>
            <w:noProof/>
          </w:rPr>
          <w:t>Prioritatea de investiții 6c: Conservarea, protejarea, promovarea și dezvoltarea patrimoniului natural</w:t>
        </w:r>
        <w:r w:rsidR="00BB3234" w:rsidRPr="00E57C47">
          <w:rPr>
            <w:rStyle w:val="Hyperlink"/>
            <w:noProof/>
            <w:lang w:val="en-US" w:eastAsia="fr-BE"/>
          </w:rPr>
          <w:t xml:space="preserve"> și cultural</w:t>
        </w:r>
        <w:r w:rsidR="00BB3234">
          <w:rPr>
            <w:noProof/>
            <w:webHidden/>
          </w:rPr>
          <w:tab/>
        </w:r>
        <w:r w:rsidR="00FF412A">
          <w:rPr>
            <w:noProof/>
            <w:webHidden/>
          </w:rPr>
          <w:fldChar w:fldCharType="begin"/>
        </w:r>
        <w:r w:rsidR="00BB3234">
          <w:rPr>
            <w:noProof/>
            <w:webHidden/>
          </w:rPr>
          <w:instrText xml:space="preserve"> PAGEREF _Toc394837786 \h </w:instrText>
        </w:r>
        <w:r w:rsidR="00FF412A">
          <w:rPr>
            <w:noProof/>
            <w:webHidden/>
          </w:rPr>
        </w:r>
        <w:r w:rsidR="00FF412A">
          <w:rPr>
            <w:noProof/>
            <w:webHidden/>
          </w:rPr>
          <w:fldChar w:fldCharType="separate"/>
        </w:r>
        <w:r w:rsidR="00FC7394">
          <w:rPr>
            <w:noProof/>
            <w:webHidden/>
          </w:rPr>
          <w:t>50</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87" w:history="1">
        <w:r w:rsidR="00BB3234" w:rsidRPr="00E57C47">
          <w:rPr>
            <w:rStyle w:val="Hyperlink"/>
            <w:noProof/>
            <w:lang w:val="en-US"/>
          </w:rPr>
          <w:t>2.A.5. Obiective specifice corespunzătoare priorității de investiții și rezultate preconizate</w:t>
        </w:r>
        <w:r w:rsidR="00BB3234">
          <w:rPr>
            <w:noProof/>
            <w:webHidden/>
          </w:rPr>
          <w:tab/>
        </w:r>
        <w:r w:rsidR="00FF412A">
          <w:rPr>
            <w:noProof/>
            <w:webHidden/>
          </w:rPr>
          <w:fldChar w:fldCharType="begin"/>
        </w:r>
        <w:r w:rsidR="00BB3234">
          <w:rPr>
            <w:noProof/>
            <w:webHidden/>
          </w:rPr>
          <w:instrText xml:space="preserve"> PAGEREF _Toc394837787 \h </w:instrText>
        </w:r>
        <w:r w:rsidR="00FF412A">
          <w:rPr>
            <w:noProof/>
            <w:webHidden/>
          </w:rPr>
        </w:r>
        <w:r w:rsidR="00FF412A">
          <w:rPr>
            <w:noProof/>
            <w:webHidden/>
          </w:rPr>
          <w:fldChar w:fldCharType="separate"/>
        </w:r>
        <w:r w:rsidR="00FC7394">
          <w:rPr>
            <w:noProof/>
            <w:webHidden/>
          </w:rPr>
          <w:t>51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88" w:history="1">
        <w:r w:rsidR="00BB3234" w:rsidRPr="00E57C47">
          <w:rPr>
            <w:rStyle w:val="Hyperlink"/>
            <w:noProof/>
            <w:lang w:val="fr-FR"/>
          </w:rPr>
          <w:t>Tabelul 3: Indicatori de rezultat specifici programului</w:t>
        </w:r>
        <w:r w:rsidR="00BB3234">
          <w:rPr>
            <w:noProof/>
            <w:webHidden/>
          </w:rPr>
          <w:tab/>
        </w:r>
        <w:r w:rsidR="00FF412A">
          <w:rPr>
            <w:noProof/>
            <w:webHidden/>
          </w:rPr>
          <w:fldChar w:fldCharType="begin"/>
        </w:r>
        <w:r w:rsidR="00BB3234">
          <w:rPr>
            <w:noProof/>
            <w:webHidden/>
          </w:rPr>
          <w:instrText xml:space="preserve"> PAGEREF _Toc394837788 \h </w:instrText>
        </w:r>
        <w:r w:rsidR="00FF412A">
          <w:rPr>
            <w:noProof/>
            <w:webHidden/>
          </w:rPr>
        </w:r>
        <w:r w:rsidR="00FF412A">
          <w:rPr>
            <w:noProof/>
            <w:webHidden/>
          </w:rPr>
          <w:fldChar w:fldCharType="separate"/>
        </w:r>
        <w:r w:rsidR="00FC7394">
          <w:rPr>
            <w:noProof/>
            <w:webHidden/>
          </w:rPr>
          <w:t>52</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89" w:history="1">
        <w:r w:rsidR="00BB3234" w:rsidRPr="00E57C47">
          <w:rPr>
            <w:rStyle w:val="Hyperlink"/>
            <w:noProof/>
            <w:lang w:val="fr-FR"/>
          </w:rPr>
          <w:t>2.A.6. Acțiunile care urmează să fie sprijinite în cadrul priorității de investiții (pe prioritate de investiții)</w:t>
        </w:r>
        <w:r w:rsidR="00BB3234">
          <w:rPr>
            <w:noProof/>
            <w:webHidden/>
          </w:rPr>
          <w:tab/>
        </w:r>
        <w:r w:rsidR="00FF412A">
          <w:rPr>
            <w:noProof/>
            <w:webHidden/>
          </w:rPr>
          <w:fldChar w:fldCharType="begin"/>
        </w:r>
        <w:r w:rsidR="00BB3234">
          <w:rPr>
            <w:noProof/>
            <w:webHidden/>
          </w:rPr>
          <w:instrText xml:space="preserve"> PAGEREF _Toc394837789 \h </w:instrText>
        </w:r>
        <w:r w:rsidR="00FF412A">
          <w:rPr>
            <w:noProof/>
            <w:webHidden/>
          </w:rPr>
        </w:r>
        <w:r w:rsidR="00FF412A">
          <w:rPr>
            <w:noProof/>
            <w:webHidden/>
          </w:rPr>
          <w:fldChar w:fldCharType="separate"/>
        </w:r>
        <w:r w:rsidR="00FC7394">
          <w:rPr>
            <w:noProof/>
            <w:webHidden/>
          </w:rPr>
          <w:t>53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90" w:history="1">
        <w:r w:rsidR="00BB3234" w:rsidRPr="00E57C47">
          <w:rPr>
            <w:rStyle w:val="Hyperlink"/>
            <w:noProof/>
            <w:lang w:val="fr-FR"/>
          </w:rPr>
          <w:t>2.A.6.1. Descrierea tipului și exemple de acțiuni care urmează să fie sprijinite și contribuțiile preconizate la obiectivele specifice, inclusiv, după caz, identificarea principalelor grupuri țintă, a teritoriilor specifice vizate și a tipurilor de beneficiari</w:t>
        </w:r>
        <w:r w:rsidR="00BB3234">
          <w:rPr>
            <w:noProof/>
            <w:webHidden/>
          </w:rPr>
          <w:tab/>
        </w:r>
        <w:r w:rsidR="00FF412A">
          <w:rPr>
            <w:noProof/>
            <w:webHidden/>
          </w:rPr>
          <w:fldChar w:fldCharType="begin"/>
        </w:r>
        <w:r w:rsidR="00BB3234">
          <w:rPr>
            <w:noProof/>
            <w:webHidden/>
          </w:rPr>
          <w:instrText xml:space="preserve"> PAGEREF _Toc394837790 \h </w:instrText>
        </w:r>
        <w:r w:rsidR="00FF412A">
          <w:rPr>
            <w:noProof/>
            <w:webHidden/>
          </w:rPr>
        </w:r>
        <w:r w:rsidR="00FF412A">
          <w:rPr>
            <w:noProof/>
            <w:webHidden/>
          </w:rPr>
          <w:fldChar w:fldCharType="separate"/>
        </w:r>
        <w:r w:rsidR="00FC7394">
          <w:rPr>
            <w:noProof/>
            <w:webHidden/>
          </w:rPr>
          <w:t>53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91" w:history="1">
        <w:r w:rsidR="00BB3234" w:rsidRPr="00E57C47">
          <w:rPr>
            <w:rStyle w:val="Hyperlink"/>
            <w:noProof/>
            <w:lang w:val="en-US"/>
          </w:rPr>
          <w:t>2.A.6.2. Principiile directoare pentru selectarea operațiunilor</w:t>
        </w:r>
        <w:r w:rsidR="00BB3234">
          <w:rPr>
            <w:noProof/>
            <w:webHidden/>
          </w:rPr>
          <w:tab/>
        </w:r>
        <w:r w:rsidR="00FF412A">
          <w:rPr>
            <w:noProof/>
            <w:webHidden/>
          </w:rPr>
          <w:fldChar w:fldCharType="begin"/>
        </w:r>
        <w:r w:rsidR="00BB3234">
          <w:rPr>
            <w:noProof/>
            <w:webHidden/>
          </w:rPr>
          <w:instrText xml:space="preserve"> PAGEREF _Toc394837791 \h </w:instrText>
        </w:r>
        <w:r w:rsidR="00FF412A">
          <w:rPr>
            <w:noProof/>
            <w:webHidden/>
          </w:rPr>
        </w:r>
        <w:r w:rsidR="00FF412A">
          <w:rPr>
            <w:noProof/>
            <w:webHidden/>
          </w:rPr>
          <w:fldChar w:fldCharType="separate"/>
        </w:r>
        <w:r w:rsidR="00FC7394">
          <w:rPr>
            <w:noProof/>
            <w:webHidden/>
          </w:rPr>
          <w:t>54</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92" w:history="1">
        <w:r w:rsidR="00BB3234" w:rsidRPr="00E57C47">
          <w:rPr>
            <w:rStyle w:val="Hyperlink"/>
            <w:noProof/>
            <w:lang w:val="ro-RO"/>
          </w:rPr>
          <w:t>2.A.6.3. Utilizarea planificată a instrumentelor financiare</w:t>
        </w:r>
        <w:r w:rsidR="00BB3234">
          <w:rPr>
            <w:noProof/>
            <w:webHidden/>
          </w:rPr>
          <w:tab/>
        </w:r>
        <w:r w:rsidR="00FF412A">
          <w:rPr>
            <w:noProof/>
            <w:webHidden/>
          </w:rPr>
          <w:fldChar w:fldCharType="begin"/>
        </w:r>
        <w:r w:rsidR="00BB3234">
          <w:rPr>
            <w:noProof/>
            <w:webHidden/>
          </w:rPr>
          <w:instrText xml:space="preserve"> PAGEREF _Toc394837792 \h </w:instrText>
        </w:r>
        <w:r w:rsidR="00FF412A">
          <w:rPr>
            <w:noProof/>
            <w:webHidden/>
          </w:rPr>
        </w:r>
        <w:r w:rsidR="00FF412A">
          <w:rPr>
            <w:noProof/>
            <w:webHidden/>
          </w:rPr>
          <w:fldChar w:fldCharType="separate"/>
        </w:r>
        <w:r w:rsidR="00FC7394">
          <w:rPr>
            <w:noProof/>
            <w:webHidden/>
          </w:rPr>
          <w:t>55</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93" w:history="1">
        <w:r w:rsidR="00BB3234" w:rsidRPr="00E57C47">
          <w:rPr>
            <w:rStyle w:val="Hyperlink"/>
            <w:noProof/>
            <w:lang w:val="ro-RO"/>
          </w:rPr>
          <w:t>2.A.6.4. Utilizarea planificată a proiectelor majore</w:t>
        </w:r>
        <w:r w:rsidR="00BB3234">
          <w:rPr>
            <w:noProof/>
            <w:webHidden/>
          </w:rPr>
          <w:tab/>
        </w:r>
        <w:r w:rsidR="00FF412A">
          <w:rPr>
            <w:noProof/>
            <w:webHidden/>
          </w:rPr>
          <w:fldChar w:fldCharType="begin"/>
        </w:r>
        <w:r w:rsidR="00BB3234">
          <w:rPr>
            <w:noProof/>
            <w:webHidden/>
          </w:rPr>
          <w:instrText xml:space="preserve"> PAGEREF _Toc394837793 \h </w:instrText>
        </w:r>
        <w:r w:rsidR="00FF412A">
          <w:rPr>
            <w:noProof/>
            <w:webHidden/>
          </w:rPr>
        </w:r>
        <w:r w:rsidR="00FF412A">
          <w:rPr>
            <w:noProof/>
            <w:webHidden/>
          </w:rPr>
          <w:fldChar w:fldCharType="separate"/>
        </w:r>
        <w:r w:rsidR="00FC7394">
          <w:rPr>
            <w:noProof/>
            <w:webHidden/>
          </w:rPr>
          <w:t>55</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94" w:history="1">
        <w:r w:rsidR="00BB3234" w:rsidRPr="00E57C47">
          <w:rPr>
            <w:rStyle w:val="Hyperlink"/>
            <w:noProof/>
            <w:lang w:val="ro-RO"/>
          </w:rPr>
          <w:t>2.A.6.5. Indicatori de realizare (pe prioritate de investiții)</w:t>
        </w:r>
        <w:r w:rsidR="00BB3234">
          <w:rPr>
            <w:noProof/>
            <w:webHidden/>
          </w:rPr>
          <w:tab/>
        </w:r>
        <w:r w:rsidR="00FF412A">
          <w:rPr>
            <w:noProof/>
            <w:webHidden/>
          </w:rPr>
          <w:fldChar w:fldCharType="begin"/>
        </w:r>
        <w:r w:rsidR="00BB3234">
          <w:rPr>
            <w:noProof/>
            <w:webHidden/>
          </w:rPr>
          <w:instrText xml:space="preserve"> PAGEREF _Toc394837794 \h </w:instrText>
        </w:r>
        <w:r w:rsidR="00FF412A">
          <w:rPr>
            <w:noProof/>
            <w:webHidden/>
          </w:rPr>
        </w:r>
        <w:r w:rsidR="00FF412A">
          <w:rPr>
            <w:noProof/>
            <w:webHidden/>
          </w:rPr>
          <w:fldChar w:fldCharType="separate"/>
        </w:r>
        <w:r w:rsidR="00FC7394">
          <w:rPr>
            <w:noProof/>
            <w:webHidden/>
          </w:rPr>
          <w:t>55</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95" w:history="1">
        <w:r w:rsidR="00BB3234" w:rsidRPr="00E57C47">
          <w:rPr>
            <w:rStyle w:val="Hyperlink"/>
            <w:noProof/>
            <w:lang w:val="fr-FR"/>
          </w:rPr>
          <w:t>Tabelul 4: Indicatori de realizare comuni și specifici programului</w:t>
        </w:r>
        <w:r w:rsidR="00BB3234">
          <w:rPr>
            <w:noProof/>
            <w:webHidden/>
          </w:rPr>
          <w:tab/>
        </w:r>
        <w:r w:rsidR="00FF412A">
          <w:rPr>
            <w:noProof/>
            <w:webHidden/>
          </w:rPr>
          <w:fldChar w:fldCharType="begin"/>
        </w:r>
        <w:r w:rsidR="00BB3234">
          <w:rPr>
            <w:noProof/>
            <w:webHidden/>
          </w:rPr>
          <w:instrText xml:space="preserve"> PAGEREF _Toc394837795 \h </w:instrText>
        </w:r>
        <w:r w:rsidR="00FF412A">
          <w:rPr>
            <w:noProof/>
            <w:webHidden/>
          </w:rPr>
        </w:r>
        <w:r w:rsidR="00FF412A">
          <w:rPr>
            <w:noProof/>
            <w:webHidden/>
          </w:rPr>
          <w:fldChar w:fldCharType="separate"/>
        </w:r>
        <w:r w:rsidR="00FC7394">
          <w:rPr>
            <w:noProof/>
            <w:webHidden/>
          </w:rPr>
          <w:t>56</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96" w:history="1">
        <w:r w:rsidR="00BB3234" w:rsidRPr="00E57C47">
          <w:rPr>
            <w:rStyle w:val="Hyperlink"/>
            <w:noProof/>
            <w:lang w:val="en-US"/>
          </w:rPr>
          <w:t>2.A.4. Prioritatea de investiții</w:t>
        </w:r>
        <w:r w:rsidR="00BB3234">
          <w:rPr>
            <w:noProof/>
            <w:webHidden/>
          </w:rPr>
          <w:tab/>
        </w:r>
        <w:r w:rsidR="00FF412A">
          <w:rPr>
            <w:noProof/>
            <w:webHidden/>
          </w:rPr>
          <w:fldChar w:fldCharType="begin"/>
        </w:r>
        <w:r w:rsidR="00BB3234">
          <w:rPr>
            <w:noProof/>
            <w:webHidden/>
          </w:rPr>
          <w:instrText xml:space="preserve"> PAGEREF _Toc394837796 \h </w:instrText>
        </w:r>
        <w:r w:rsidR="00FF412A">
          <w:rPr>
            <w:noProof/>
            <w:webHidden/>
          </w:rPr>
        </w:r>
        <w:r w:rsidR="00FF412A">
          <w:rPr>
            <w:noProof/>
            <w:webHidden/>
          </w:rPr>
          <w:fldChar w:fldCharType="separate"/>
        </w:r>
        <w:r w:rsidR="00FC7394">
          <w:rPr>
            <w:noProof/>
            <w:webHidden/>
          </w:rPr>
          <w:t>56</w:t>
        </w:r>
        <w:r w:rsidR="00FF412A">
          <w:rPr>
            <w:noProof/>
            <w:webHidden/>
          </w:rPr>
          <w:fldChar w:fldCharType="end"/>
        </w:r>
      </w:hyperlink>
    </w:p>
    <w:p w:rsidR="00BB3234" w:rsidRDefault="006D5DA0">
      <w:pPr>
        <w:pStyle w:val="TOC3"/>
        <w:rPr>
          <w:rFonts w:asciiTheme="minorHAnsi" w:eastAsiaTheme="minorEastAsia" w:hAnsiTheme="minorHAnsi" w:cstheme="minorBidi"/>
          <w:noProof/>
          <w:szCs w:val="22"/>
          <w:lang w:val="fr-FR" w:eastAsia="fr-FR"/>
        </w:rPr>
      </w:pPr>
      <w:hyperlink w:anchor="_Toc394837797" w:history="1">
        <w:r w:rsidR="00BB3234" w:rsidRPr="00E57C47">
          <w:rPr>
            <w:rStyle w:val="Hyperlink"/>
            <w:noProof/>
          </w:rPr>
          <w:t>Prioritatea de investiții 6d: Protejarea și refacerea biodiversității și a solurilor, precum și promovarea unor servicii ecosistemice, inclusiv prin Natura 2000 și infrastructuri ecologice</w:t>
        </w:r>
        <w:r w:rsidR="00BB3234">
          <w:rPr>
            <w:noProof/>
            <w:webHidden/>
          </w:rPr>
          <w:tab/>
        </w:r>
        <w:r w:rsidR="00FF412A">
          <w:rPr>
            <w:noProof/>
            <w:webHidden/>
          </w:rPr>
          <w:fldChar w:fldCharType="begin"/>
        </w:r>
        <w:r w:rsidR="00BB3234">
          <w:rPr>
            <w:noProof/>
            <w:webHidden/>
          </w:rPr>
          <w:instrText xml:space="preserve"> PAGEREF _Toc394837797 \h </w:instrText>
        </w:r>
        <w:r w:rsidR="00FF412A">
          <w:rPr>
            <w:noProof/>
            <w:webHidden/>
          </w:rPr>
        </w:r>
        <w:r w:rsidR="00FF412A">
          <w:rPr>
            <w:noProof/>
            <w:webHidden/>
          </w:rPr>
          <w:fldChar w:fldCharType="separate"/>
        </w:r>
        <w:r w:rsidR="00FC7394">
          <w:rPr>
            <w:noProof/>
            <w:webHidden/>
          </w:rPr>
          <w:t>56</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98" w:history="1">
        <w:r w:rsidR="00BB3234" w:rsidRPr="00E57C47">
          <w:rPr>
            <w:rStyle w:val="Hyperlink"/>
            <w:noProof/>
            <w:lang w:val="en-US"/>
          </w:rPr>
          <w:t>2.A.5. Obiective specifice corespunzătoare priorității de investiții și rezultate preconizate</w:t>
        </w:r>
        <w:r w:rsidR="00BB3234">
          <w:rPr>
            <w:noProof/>
            <w:webHidden/>
          </w:rPr>
          <w:tab/>
        </w:r>
        <w:r w:rsidR="00FF412A">
          <w:rPr>
            <w:noProof/>
            <w:webHidden/>
          </w:rPr>
          <w:fldChar w:fldCharType="begin"/>
        </w:r>
        <w:r w:rsidR="00BB3234">
          <w:rPr>
            <w:noProof/>
            <w:webHidden/>
          </w:rPr>
          <w:instrText xml:space="preserve"> PAGEREF _Toc394837798 \h </w:instrText>
        </w:r>
        <w:r w:rsidR="00FF412A">
          <w:rPr>
            <w:noProof/>
            <w:webHidden/>
          </w:rPr>
        </w:r>
        <w:r w:rsidR="00FF412A">
          <w:rPr>
            <w:noProof/>
            <w:webHidden/>
          </w:rPr>
          <w:fldChar w:fldCharType="separate"/>
        </w:r>
        <w:r w:rsidR="00FC7394">
          <w:rPr>
            <w:noProof/>
            <w:webHidden/>
          </w:rPr>
          <w:t>57</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799" w:history="1">
        <w:r w:rsidR="00BB3234" w:rsidRPr="00E57C47">
          <w:rPr>
            <w:rStyle w:val="Hyperlink"/>
            <w:noProof/>
            <w:lang w:val="fr-FR"/>
          </w:rPr>
          <w:t>Tabelul 3: Indicatori de rezultat specifici programului (pe obiectiv specific)</w:t>
        </w:r>
        <w:r w:rsidR="00BB3234">
          <w:rPr>
            <w:noProof/>
            <w:webHidden/>
          </w:rPr>
          <w:tab/>
        </w:r>
        <w:r w:rsidR="00FF412A">
          <w:rPr>
            <w:noProof/>
            <w:webHidden/>
          </w:rPr>
          <w:fldChar w:fldCharType="begin"/>
        </w:r>
        <w:r w:rsidR="00BB3234">
          <w:rPr>
            <w:noProof/>
            <w:webHidden/>
          </w:rPr>
          <w:instrText xml:space="preserve"> PAGEREF _Toc394837799 \h </w:instrText>
        </w:r>
        <w:r w:rsidR="00FF412A">
          <w:rPr>
            <w:noProof/>
            <w:webHidden/>
          </w:rPr>
        </w:r>
        <w:r w:rsidR="00FF412A">
          <w:rPr>
            <w:noProof/>
            <w:webHidden/>
          </w:rPr>
          <w:fldChar w:fldCharType="separate"/>
        </w:r>
        <w:r w:rsidR="00FC7394">
          <w:rPr>
            <w:noProof/>
            <w:webHidden/>
          </w:rPr>
          <w:t>58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00" w:history="1">
        <w:r w:rsidR="00BB3234" w:rsidRPr="00E57C47">
          <w:rPr>
            <w:rStyle w:val="Hyperlink"/>
            <w:noProof/>
            <w:lang w:val="fr-FR"/>
          </w:rPr>
          <w:t>2.A.6. Acțiunile care urmează să fie sprijinite în cadrul priorității de investiții (pe prioritate de investiții)</w:t>
        </w:r>
        <w:r w:rsidR="00BB3234">
          <w:rPr>
            <w:noProof/>
            <w:webHidden/>
          </w:rPr>
          <w:tab/>
        </w:r>
        <w:r w:rsidR="00FF412A">
          <w:rPr>
            <w:noProof/>
            <w:webHidden/>
          </w:rPr>
          <w:fldChar w:fldCharType="begin"/>
        </w:r>
        <w:r w:rsidR="00BB3234">
          <w:rPr>
            <w:noProof/>
            <w:webHidden/>
          </w:rPr>
          <w:instrText xml:space="preserve"> PAGEREF _Toc394837800 \h </w:instrText>
        </w:r>
        <w:r w:rsidR="00FF412A">
          <w:rPr>
            <w:noProof/>
            <w:webHidden/>
          </w:rPr>
        </w:r>
        <w:r w:rsidR="00FF412A">
          <w:rPr>
            <w:noProof/>
            <w:webHidden/>
          </w:rPr>
          <w:fldChar w:fldCharType="separate"/>
        </w:r>
        <w:r w:rsidR="00FC7394">
          <w:rPr>
            <w:noProof/>
            <w:webHidden/>
          </w:rPr>
          <w:t>59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01" w:history="1">
        <w:r w:rsidR="00BB3234" w:rsidRPr="00E57C47">
          <w:rPr>
            <w:rStyle w:val="Hyperlink"/>
            <w:noProof/>
            <w:lang w:val="fr-FR"/>
          </w:rPr>
          <w:t>2.A.6.1. Descrierea tipului și exemple de acțiuni care urmează să fie sprijinite și contribuțiile preconizate la obiectivele specifice, inclusiv, după caz, identificarea principalelor grupuri țintă, a teritoriilor specifice vizate și a tipurilor de beneficiari</w:t>
        </w:r>
        <w:r w:rsidR="00BB3234">
          <w:rPr>
            <w:noProof/>
            <w:webHidden/>
          </w:rPr>
          <w:tab/>
        </w:r>
        <w:r w:rsidR="00FF412A">
          <w:rPr>
            <w:noProof/>
            <w:webHidden/>
          </w:rPr>
          <w:fldChar w:fldCharType="begin"/>
        </w:r>
        <w:r w:rsidR="00BB3234">
          <w:rPr>
            <w:noProof/>
            <w:webHidden/>
          </w:rPr>
          <w:instrText xml:space="preserve"> PAGEREF _Toc394837801 \h </w:instrText>
        </w:r>
        <w:r w:rsidR="00FF412A">
          <w:rPr>
            <w:noProof/>
            <w:webHidden/>
          </w:rPr>
        </w:r>
        <w:r w:rsidR="00FF412A">
          <w:rPr>
            <w:noProof/>
            <w:webHidden/>
          </w:rPr>
          <w:fldChar w:fldCharType="separate"/>
        </w:r>
        <w:r w:rsidR="00FC7394">
          <w:rPr>
            <w:noProof/>
            <w:webHidden/>
          </w:rPr>
          <w:t>59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02" w:history="1">
        <w:r w:rsidR="00BB3234" w:rsidRPr="00E57C47">
          <w:rPr>
            <w:rStyle w:val="Hyperlink"/>
            <w:noProof/>
            <w:lang w:val="en-US"/>
          </w:rPr>
          <w:t>2.A.6.2. Principiile directoare pentru selectarea operațiunilor</w:t>
        </w:r>
        <w:r w:rsidR="00BB3234">
          <w:rPr>
            <w:noProof/>
            <w:webHidden/>
          </w:rPr>
          <w:tab/>
        </w:r>
        <w:r w:rsidR="00FF412A">
          <w:rPr>
            <w:noProof/>
            <w:webHidden/>
          </w:rPr>
          <w:fldChar w:fldCharType="begin"/>
        </w:r>
        <w:r w:rsidR="00BB3234">
          <w:rPr>
            <w:noProof/>
            <w:webHidden/>
          </w:rPr>
          <w:instrText xml:space="preserve"> PAGEREF _Toc394837802 \h </w:instrText>
        </w:r>
        <w:r w:rsidR="00FF412A">
          <w:rPr>
            <w:noProof/>
            <w:webHidden/>
          </w:rPr>
        </w:r>
        <w:r w:rsidR="00FF412A">
          <w:rPr>
            <w:noProof/>
            <w:webHidden/>
          </w:rPr>
          <w:fldChar w:fldCharType="separate"/>
        </w:r>
        <w:r w:rsidR="00FC7394">
          <w:rPr>
            <w:noProof/>
            <w:webHidden/>
          </w:rPr>
          <w:t>60</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03" w:history="1">
        <w:r w:rsidR="00BB3234" w:rsidRPr="00E57C47">
          <w:rPr>
            <w:rStyle w:val="Hyperlink"/>
            <w:noProof/>
            <w:lang w:val="ro-RO"/>
          </w:rPr>
          <w:t>2.A.6.3. Utilizarea planificată a instrumentelor financiare (după caz)</w:t>
        </w:r>
        <w:r w:rsidR="00BB3234">
          <w:rPr>
            <w:noProof/>
            <w:webHidden/>
          </w:rPr>
          <w:tab/>
        </w:r>
        <w:r w:rsidR="00FF412A">
          <w:rPr>
            <w:noProof/>
            <w:webHidden/>
          </w:rPr>
          <w:fldChar w:fldCharType="begin"/>
        </w:r>
        <w:r w:rsidR="00BB3234">
          <w:rPr>
            <w:noProof/>
            <w:webHidden/>
          </w:rPr>
          <w:instrText xml:space="preserve"> PAGEREF _Toc394837803 \h </w:instrText>
        </w:r>
        <w:r w:rsidR="00FF412A">
          <w:rPr>
            <w:noProof/>
            <w:webHidden/>
          </w:rPr>
        </w:r>
        <w:r w:rsidR="00FF412A">
          <w:rPr>
            <w:noProof/>
            <w:webHidden/>
          </w:rPr>
          <w:fldChar w:fldCharType="separate"/>
        </w:r>
        <w:r w:rsidR="00FC7394">
          <w:rPr>
            <w:noProof/>
            <w:webHidden/>
          </w:rPr>
          <w:t>61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04" w:history="1">
        <w:r w:rsidR="00BB3234" w:rsidRPr="00E57C47">
          <w:rPr>
            <w:rStyle w:val="Hyperlink"/>
            <w:noProof/>
            <w:lang w:val="ro-RO"/>
          </w:rPr>
          <w:t>2.A.6.4. Utilizarea planificată a proiectelor majore (după caz)</w:t>
        </w:r>
        <w:r w:rsidR="00BB3234">
          <w:rPr>
            <w:noProof/>
            <w:webHidden/>
          </w:rPr>
          <w:tab/>
        </w:r>
        <w:r w:rsidR="00FF412A">
          <w:rPr>
            <w:noProof/>
            <w:webHidden/>
          </w:rPr>
          <w:fldChar w:fldCharType="begin"/>
        </w:r>
        <w:r w:rsidR="00BB3234">
          <w:rPr>
            <w:noProof/>
            <w:webHidden/>
          </w:rPr>
          <w:instrText xml:space="preserve"> PAGEREF _Toc394837804 \h </w:instrText>
        </w:r>
        <w:r w:rsidR="00FF412A">
          <w:rPr>
            <w:noProof/>
            <w:webHidden/>
          </w:rPr>
        </w:r>
        <w:r w:rsidR="00FF412A">
          <w:rPr>
            <w:noProof/>
            <w:webHidden/>
          </w:rPr>
          <w:fldChar w:fldCharType="separate"/>
        </w:r>
        <w:r w:rsidR="00FC7394">
          <w:rPr>
            <w:noProof/>
            <w:webHidden/>
          </w:rPr>
          <w:t>61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05" w:history="1">
        <w:r w:rsidR="00BB3234" w:rsidRPr="00E57C47">
          <w:rPr>
            <w:rStyle w:val="Hyperlink"/>
            <w:noProof/>
            <w:lang w:val="fr-FR"/>
          </w:rPr>
          <w:t>2.A.6.5. Indicatori de realizare (pe prioritate de investiții)</w:t>
        </w:r>
        <w:r w:rsidR="00BB3234">
          <w:rPr>
            <w:noProof/>
            <w:webHidden/>
          </w:rPr>
          <w:tab/>
        </w:r>
        <w:r w:rsidR="00FF412A">
          <w:rPr>
            <w:noProof/>
            <w:webHidden/>
          </w:rPr>
          <w:fldChar w:fldCharType="begin"/>
        </w:r>
        <w:r w:rsidR="00BB3234">
          <w:rPr>
            <w:noProof/>
            <w:webHidden/>
          </w:rPr>
          <w:instrText xml:space="preserve"> PAGEREF _Toc394837805 \h </w:instrText>
        </w:r>
        <w:r w:rsidR="00FF412A">
          <w:rPr>
            <w:noProof/>
            <w:webHidden/>
          </w:rPr>
        </w:r>
        <w:r w:rsidR="00FF412A">
          <w:rPr>
            <w:noProof/>
            <w:webHidden/>
          </w:rPr>
          <w:fldChar w:fldCharType="separate"/>
        </w:r>
        <w:r w:rsidR="00FC7394">
          <w:rPr>
            <w:noProof/>
            <w:webHidden/>
          </w:rPr>
          <w:t>61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06" w:history="1">
        <w:r w:rsidR="00BB3234" w:rsidRPr="00E57C47">
          <w:rPr>
            <w:rStyle w:val="Hyperlink"/>
            <w:noProof/>
            <w:lang w:val="fr-FR"/>
          </w:rPr>
          <w:t>Tabelul 4: Indicatori de realizare comuni și specifici programului</w:t>
        </w:r>
        <w:r w:rsidR="00BB3234">
          <w:rPr>
            <w:noProof/>
            <w:webHidden/>
          </w:rPr>
          <w:tab/>
        </w:r>
        <w:r w:rsidR="00FF412A">
          <w:rPr>
            <w:noProof/>
            <w:webHidden/>
          </w:rPr>
          <w:fldChar w:fldCharType="begin"/>
        </w:r>
        <w:r w:rsidR="00BB3234">
          <w:rPr>
            <w:noProof/>
            <w:webHidden/>
          </w:rPr>
          <w:instrText xml:space="preserve"> PAGEREF _Toc394837806 \h </w:instrText>
        </w:r>
        <w:r w:rsidR="00FF412A">
          <w:rPr>
            <w:noProof/>
            <w:webHidden/>
          </w:rPr>
        </w:r>
        <w:r w:rsidR="00FF412A">
          <w:rPr>
            <w:noProof/>
            <w:webHidden/>
          </w:rPr>
          <w:fldChar w:fldCharType="separate"/>
        </w:r>
        <w:r w:rsidR="00FC7394">
          <w:rPr>
            <w:noProof/>
            <w:webHidden/>
          </w:rPr>
          <w:t>61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07" w:history="1">
        <w:r w:rsidR="00BB3234" w:rsidRPr="00E57C47">
          <w:rPr>
            <w:rStyle w:val="Hyperlink"/>
            <w:noProof/>
            <w:lang w:val="en-US"/>
          </w:rPr>
          <w:t>2.A.7. Cadrul de performanță</w:t>
        </w:r>
        <w:r w:rsidR="00BB3234">
          <w:rPr>
            <w:noProof/>
            <w:webHidden/>
          </w:rPr>
          <w:tab/>
        </w:r>
        <w:r w:rsidR="00FF412A">
          <w:rPr>
            <w:noProof/>
            <w:webHidden/>
          </w:rPr>
          <w:fldChar w:fldCharType="begin"/>
        </w:r>
        <w:r w:rsidR="00BB3234">
          <w:rPr>
            <w:noProof/>
            <w:webHidden/>
          </w:rPr>
          <w:instrText xml:space="preserve"> PAGEREF _Toc394837807 \h </w:instrText>
        </w:r>
        <w:r w:rsidR="00FF412A">
          <w:rPr>
            <w:noProof/>
            <w:webHidden/>
          </w:rPr>
        </w:r>
        <w:r w:rsidR="00FF412A">
          <w:rPr>
            <w:noProof/>
            <w:webHidden/>
          </w:rPr>
          <w:fldChar w:fldCharType="separate"/>
        </w:r>
        <w:r w:rsidR="00FC7394">
          <w:rPr>
            <w:noProof/>
            <w:webHidden/>
          </w:rPr>
          <w:t>62</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08" w:history="1">
        <w:r w:rsidR="00BB3234" w:rsidRPr="00E57C47">
          <w:rPr>
            <w:rStyle w:val="Hyperlink"/>
            <w:noProof/>
            <w:lang w:val="fr-FR"/>
          </w:rPr>
          <w:t>Tabelul 5: Cadrul de performanță al axei prioritare2 – O regiune verde</w:t>
        </w:r>
        <w:r w:rsidR="00BB3234">
          <w:rPr>
            <w:noProof/>
            <w:webHidden/>
          </w:rPr>
          <w:tab/>
        </w:r>
        <w:r w:rsidR="00FF412A">
          <w:rPr>
            <w:noProof/>
            <w:webHidden/>
          </w:rPr>
          <w:fldChar w:fldCharType="begin"/>
        </w:r>
        <w:r w:rsidR="00BB3234">
          <w:rPr>
            <w:noProof/>
            <w:webHidden/>
          </w:rPr>
          <w:instrText xml:space="preserve"> PAGEREF _Toc394837808 \h </w:instrText>
        </w:r>
        <w:r w:rsidR="00FF412A">
          <w:rPr>
            <w:noProof/>
            <w:webHidden/>
          </w:rPr>
        </w:r>
        <w:r w:rsidR="00FF412A">
          <w:rPr>
            <w:noProof/>
            <w:webHidden/>
          </w:rPr>
          <w:fldChar w:fldCharType="separate"/>
        </w:r>
        <w:r w:rsidR="00FC7394">
          <w:rPr>
            <w:noProof/>
            <w:webHidden/>
          </w:rPr>
          <w:t>62</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09" w:history="1">
        <w:r w:rsidR="00BB3234" w:rsidRPr="00E57C47">
          <w:rPr>
            <w:rStyle w:val="Hyperlink"/>
            <w:noProof/>
            <w:lang w:val="fr-FR"/>
          </w:rPr>
          <w:t>2.A.1. Axa prioritară (se repetă pentru fiecare axă prioritară)</w:t>
        </w:r>
        <w:r w:rsidR="00BB3234">
          <w:rPr>
            <w:noProof/>
            <w:webHidden/>
          </w:rPr>
          <w:tab/>
        </w:r>
        <w:r w:rsidR="00FF412A">
          <w:rPr>
            <w:noProof/>
            <w:webHidden/>
          </w:rPr>
          <w:fldChar w:fldCharType="begin"/>
        </w:r>
        <w:r w:rsidR="00BB3234">
          <w:rPr>
            <w:noProof/>
            <w:webHidden/>
          </w:rPr>
          <w:instrText xml:space="preserve"> PAGEREF _Toc394837809 \h </w:instrText>
        </w:r>
        <w:r w:rsidR="00FF412A">
          <w:rPr>
            <w:noProof/>
            <w:webHidden/>
          </w:rPr>
        </w:r>
        <w:r w:rsidR="00FF412A">
          <w:rPr>
            <w:noProof/>
            <w:webHidden/>
          </w:rPr>
          <w:fldChar w:fldCharType="separate"/>
        </w:r>
        <w:r w:rsidR="00FC7394">
          <w:rPr>
            <w:noProof/>
            <w:webHidden/>
          </w:rPr>
          <w:t>63</w:t>
        </w:r>
        <w:r w:rsidR="00FF412A">
          <w:rPr>
            <w:noProof/>
            <w:webHidden/>
          </w:rPr>
          <w:fldChar w:fldCharType="end"/>
        </w:r>
      </w:hyperlink>
    </w:p>
    <w:p w:rsidR="00BB3234" w:rsidRDefault="006D5DA0">
      <w:pPr>
        <w:pStyle w:val="TOC3"/>
        <w:rPr>
          <w:rFonts w:asciiTheme="minorHAnsi" w:eastAsiaTheme="minorEastAsia" w:hAnsiTheme="minorHAnsi" w:cstheme="minorBidi"/>
          <w:noProof/>
          <w:szCs w:val="22"/>
          <w:lang w:val="fr-FR" w:eastAsia="fr-FR"/>
        </w:rPr>
      </w:pPr>
      <w:hyperlink w:anchor="_Toc394837810" w:history="1">
        <w:r w:rsidR="00BB3234" w:rsidRPr="00E57C47">
          <w:rPr>
            <w:rStyle w:val="Hyperlink"/>
            <w:noProof/>
            <w:lang w:val="en-US"/>
          </w:rPr>
          <w:t>Axa prioritară 3: O regiune sigură</w:t>
        </w:r>
        <w:r w:rsidR="00BB3234">
          <w:rPr>
            <w:noProof/>
            <w:webHidden/>
          </w:rPr>
          <w:tab/>
        </w:r>
        <w:r w:rsidR="00FF412A">
          <w:rPr>
            <w:noProof/>
            <w:webHidden/>
          </w:rPr>
          <w:fldChar w:fldCharType="begin"/>
        </w:r>
        <w:r w:rsidR="00BB3234">
          <w:rPr>
            <w:noProof/>
            <w:webHidden/>
          </w:rPr>
          <w:instrText xml:space="preserve"> PAGEREF _Toc394837810 \h </w:instrText>
        </w:r>
        <w:r w:rsidR="00FF412A">
          <w:rPr>
            <w:noProof/>
            <w:webHidden/>
          </w:rPr>
        </w:r>
        <w:r w:rsidR="00FF412A">
          <w:rPr>
            <w:noProof/>
            <w:webHidden/>
          </w:rPr>
          <w:fldChar w:fldCharType="separate"/>
        </w:r>
        <w:r w:rsidR="00FC7394">
          <w:rPr>
            <w:noProof/>
            <w:webHidden/>
          </w:rPr>
          <w:t>63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11" w:history="1">
        <w:r w:rsidR="00BB3234" w:rsidRPr="00E57C47">
          <w:rPr>
            <w:rStyle w:val="Hyperlink"/>
            <w:noProof/>
            <w:lang w:val="fr-FR"/>
          </w:rPr>
          <w:t>2.A.2. Justificarea stabilirii unei axe prioritare care acoperă mai mult de un obiectiv tematic (dacă este cazul)</w:t>
        </w:r>
        <w:r w:rsidR="00BB3234">
          <w:rPr>
            <w:noProof/>
            <w:webHidden/>
          </w:rPr>
          <w:tab/>
        </w:r>
        <w:r w:rsidR="00FF412A">
          <w:rPr>
            <w:noProof/>
            <w:webHidden/>
          </w:rPr>
          <w:fldChar w:fldCharType="begin"/>
        </w:r>
        <w:r w:rsidR="00BB3234">
          <w:rPr>
            <w:noProof/>
            <w:webHidden/>
          </w:rPr>
          <w:instrText xml:space="preserve"> PAGEREF _Toc394837811 \h </w:instrText>
        </w:r>
        <w:r w:rsidR="00FF412A">
          <w:rPr>
            <w:noProof/>
            <w:webHidden/>
          </w:rPr>
        </w:r>
        <w:r w:rsidR="00FF412A">
          <w:rPr>
            <w:noProof/>
            <w:webHidden/>
          </w:rPr>
          <w:fldChar w:fldCharType="separate"/>
        </w:r>
        <w:r w:rsidR="00FC7394">
          <w:rPr>
            <w:noProof/>
            <w:webHidden/>
          </w:rPr>
          <w:t>63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12" w:history="1">
        <w:r w:rsidR="00BB3234" w:rsidRPr="00E57C47">
          <w:rPr>
            <w:rStyle w:val="Hyperlink"/>
            <w:noProof/>
            <w:lang w:val="fr-FR"/>
          </w:rPr>
          <w:t>2.A.3Fondul și baza de calcul pentru sprijinul Uniunii</w:t>
        </w:r>
        <w:r w:rsidR="00BB3234">
          <w:rPr>
            <w:noProof/>
            <w:webHidden/>
          </w:rPr>
          <w:tab/>
        </w:r>
        <w:r w:rsidR="00FF412A">
          <w:rPr>
            <w:noProof/>
            <w:webHidden/>
          </w:rPr>
          <w:fldChar w:fldCharType="begin"/>
        </w:r>
        <w:r w:rsidR="00BB3234">
          <w:rPr>
            <w:noProof/>
            <w:webHidden/>
          </w:rPr>
          <w:instrText xml:space="preserve"> PAGEREF _Toc394837812 \h </w:instrText>
        </w:r>
        <w:r w:rsidR="00FF412A">
          <w:rPr>
            <w:noProof/>
            <w:webHidden/>
          </w:rPr>
        </w:r>
        <w:r w:rsidR="00FF412A">
          <w:rPr>
            <w:noProof/>
            <w:webHidden/>
          </w:rPr>
          <w:fldChar w:fldCharType="separate"/>
        </w:r>
        <w:r w:rsidR="00FC7394">
          <w:rPr>
            <w:noProof/>
            <w:webHidden/>
          </w:rPr>
          <w:t>63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13" w:history="1">
        <w:r w:rsidR="00BB3234" w:rsidRPr="00E57C47">
          <w:rPr>
            <w:rStyle w:val="Hyperlink"/>
            <w:noProof/>
            <w:lang w:val="en-US"/>
          </w:rPr>
          <w:t>2.A.4. Prioritatea de investiții</w:t>
        </w:r>
        <w:r w:rsidR="00BB3234">
          <w:rPr>
            <w:noProof/>
            <w:webHidden/>
          </w:rPr>
          <w:tab/>
        </w:r>
        <w:r w:rsidR="00FF412A">
          <w:rPr>
            <w:noProof/>
            <w:webHidden/>
          </w:rPr>
          <w:fldChar w:fldCharType="begin"/>
        </w:r>
        <w:r w:rsidR="00BB3234">
          <w:rPr>
            <w:noProof/>
            <w:webHidden/>
          </w:rPr>
          <w:instrText xml:space="preserve"> PAGEREF _Toc394837813 \h </w:instrText>
        </w:r>
        <w:r w:rsidR="00FF412A">
          <w:rPr>
            <w:noProof/>
            <w:webHidden/>
          </w:rPr>
        </w:r>
        <w:r w:rsidR="00FF412A">
          <w:rPr>
            <w:noProof/>
            <w:webHidden/>
          </w:rPr>
          <w:fldChar w:fldCharType="separate"/>
        </w:r>
        <w:r w:rsidR="00FC7394">
          <w:rPr>
            <w:noProof/>
            <w:webHidden/>
          </w:rPr>
          <w:t>63</w:t>
        </w:r>
        <w:r w:rsidR="00FF412A">
          <w:rPr>
            <w:noProof/>
            <w:webHidden/>
          </w:rPr>
          <w:fldChar w:fldCharType="end"/>
        </w:r>
      </w:hyperlink>
    </w:p>
    <w:p w:rsidR="00BB3234" w:rsidRDefault="006D5DA0">
      <w:pPr>
        <w:pStyle w:val="TOC3"/>
        <w:rPr>
          <w:rFonts w:asciiTheme="minorHAnsi" w:eastAsiaTheme="minorEastAsia" w:hAnsiTheme="minorHAnsi" w:cstheme="minorBidi"/>
          <w:noProof/>
          <w:szCs w:val="22"/>
          <w:lang w:val="fr-FR" w:eastAsia="fr-FR"/>
        </w:rPr>
      </w:pPr>
      <w:hyperlink w:anchor="_Toc394837814" w:history="1">
        <w:r w:rsidR="00BB3234" w:rsidRPr="00E57C47">
          <w:rPr>
            <w:rStyle w:val="Hyperlink"/>
            <w:noProof/>
          </w:rPr>
          <w:t>Prioritatea de investiții 5b:Promovarea investițiilor destinate abordării unor riscuri specifice, asigurarea rezistenței în fața dezastrelor și dezvoltarea unor sisteme de gestionare a dezastrelor</w:t>
        </w:r>
        <w:r w:rsidR="00BB3234">
          <w:rPr>
            <w:noProof/>
            <w:webHidden/>
          </w:rPr>
          <w:tab/>
        </w:r>
        <w:r w:rsidR="00FF412A">
          <w:rPr>
            <w:noProof/>
            <w:webHidden/>
          </w:rPr>
          <w:fldChar w:fldCharType="begin"/>
        </w:r>
        <w:r w:rsidR="00BB3234">
          <w:rPr>
            <w:noProof/>
            <w:webHidden/>
          </w:rPr>
          <w:instrText xml:space="preserve"> PAGEREF _Toc394837814 \h </w:instrText>
        </w:r>
        <w:r w:rsidR="00FF412A">
          <w:rPr>
            <w:noProof/>
            <w:webHidden/>
          </w:rPr>
        </w:r>
        <w:r w:rsidR="00FF412A">
          <w:rPr>
            <w:noProof/>
            <w:webHidden/>
          </w:rPr>
          <w:fldChar w:fldCharType="separate"/>
        </w:r>
        <w:r w:rsidR="00FC7394">
          <w:rPr>
            <w:noProof/>
            <w:webHidden/>
          </w:rPr>
          <w:t>63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15" w:history="1">
        <w:r w:rsidR="00BB3234" w:rsidRPr="00E57C47">
          <w:rPr>
            <w:rStyle w:val="Hyperlink"/>
            <w:noProof/>
            <w:lang w:val="en-US"/>
          </w:rPr>
          <w:t>2.A.5. Obiective specifice corespunzătoare priorității de investiții și rezultate preconizate</w:t>
        </w:r>
        <w:r w:rsidR="00BB3234">
          <w:rPr>
            <w:noProof/>
            <w:webHidden/>
          </w:rPr>
          <w:tab/>
        </w:r>
        <w:r w:rsidR="00FF412A">
          <w:rPr>
            <w:noProof/>
            <w:webHidden/>
          </w:rPr>
          <w:fldChar w:fldCharType="begin"/>
        </w:r>
        <w:r w:rsidR="00BB3234">
          <w:rPr>
            <w:noProof/>
            <w:webHidden/>
          </w:rPr>
          <w:instrText xml:space="preserve"> PAGEREF _Toc394837815 \h </w:instrText>
        </w:r>
        <w:r w:rsidR="00FF412A">
          <w:rPr>
            <w:noProof/>
            <w:webHidden/>
          </w:rPr>
        </w:r>
        <w:r w:rsidR="00FF412A">
          <w:rPr>
            <w:noProof/>
            <w:webHidden/>
          </w:rPr>
          <w:fldChar w:fldCharType="separate"/>
        </w:r>
        <w:r w:rsidR="00FC7394">
          <w:rPr>
            <w:noProof/>
            <w:webHidden/>
          </w:rPr>
          <w:t>64</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16" w:history="1">
        <w:r w:rsidR="00BB3234" w:rsidRPr="00E57C47">
          <w:rPr>
            <w:rStyle w:val="Hyperlink"/>
            <w:noProof/>
            <w:lang w:val="fr-FR"/>
          </w:rPr>
          <w:t>Tabelul 3: Indicatori de rezultat specifici programului (pe obiectiv specific)</w:t>
        </w:r>
        <w:r w:rsidR="00BB3234">
          <w:rPr>
            <w:noProof/>
            <w:webHidden/>
          </w:rPr>
          <w:tab/>
        </w:r>
        <w:r w:rsidR="00FF412A">
          <w:rPr>
            <w:noProof/>
            <w:webHidden/>
          </w:rPr>
          <w:fldChar w:fldCharType="begin"/>
        </w:r>
        <w:r w:rsidR="00BB3234">
          <w:rPr>
            <w:noProof/>
            <w:webHidden/>
          </w:rPr>
          <w:instrText xml:space="preserve"> PAGEREF _Toc394837816 \h </w:instrText>
        </w:r>
        <w:r w:rsidR="00FF412A">
          <w:rPr>
            <w:noProof/>
            <w:webHidden/>
          </w:rPr>
        </w:r>
        <w:r w:rsidR="00FF412A">
          <w:rPr>
            <w:noProof/>
            <w:webHidden/>
          </w:rPr>
          <w:fldChar w:fldCharType="separate"/>
        </w:r>
        <w:r w:rsidR="00FC7394">
          <w:rPr>
            <w:noProof/>
            <w:webHidden/>
          </w:rPr>
          <w:t>65</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17" w:history="1">
        <w:r w:rsidR="00BB3234" w:rsidRPr="00E57C47">
          <w:rPr>
            <w:rStyle w:val="Hyperlink"/>
            <w:noProof/>
            <w:lang w:val="fr-FR"/>
          </w:rPr>
          <w:t>2.A.6. Acțiunile care urmează să fie sprijinite în cadrul priorității de investiții (pe prioritate de investiții)</w:t>
        </w:r>
        <w:r w:rsidR="00BB3234">
          <w:rPr>
            <w:noProof/>
            <w:webHidden/>
          </w:rPr>
          <w:tab/>
        </w:r>
        <w:r w:rsidR="00FF412A">
          <w:rPr>
            <w:noProof/>
            <w:webHidden/>
          </w:rPr>
          <w:fldChar w:fldCharType="begin"/>
        </w:r>
        <w:r w:rsidR="00BB3234">
          <w:rPr>
            <w:noProof/>
            <w:webHidden/>
          </w:rPr>
          <w:instrText xml:space="preserve"> PAGEREF _Toc394837817 \h </w:instrText>
        </w:r>
        <w:r w:rsidR="00FF412A">
          <w:rPr>
            <w:noProof/>
            <w:webHidden/>
          </w:rPr>
        </w:r>
        <w:r w:rsidR="00FF412A">
          <w:rPr>
            <w:noProof/>
            <w:webHidden/>
          </w:rPr>
          <w:fldChar w:fldCharType="separate"/>
        </w:r>
        <w:r w:rsidR="00FC7394">
          <w:rPr>
            <w:noProof/>
            <w:webHidden/>
          </w:rPr>
          <w:t>66</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18" w:history="1">
        <w:r w:rsidR="00BB3234" w:rsidRPr="00E57C47">
          <w:rPr>
            <w:rStyle w:val="Hyperlink"/>
            <w:noProof/>
            <w:lang w:val="fr-FR"/>
          </w:rPr>
          <w:t>2.A.6.1. Descrierea tipului și exemple de acțiuni care urmează să fie sprijinite și contribuțiile preconizate la obiectivele specifice, inclusiv, după caz, identificarea principalelor grupuri țintă, a teritoriilor specifice vizate și a tipurilor de beneficiari</w:t>
        </w:r>
        <w:r w:rsidR="00BB3234">
          <w:rPr>
            <w:noProof/>
            <w:webHidden/>
          </w:rPr>
          <w:tab/>
        </w:r>
        <w:r w:rsidR="00FF412A">
          <w:rPr>
            <w:noProof/>
            <w:webHidden/>
          </w:rPr>
          <w:fldChar w:fldCharType="begin"/>
        </w:r>
        <w:r w:rsidR="00BB3234">
          <w:rPr>
            <w:noProof/>
            <w:webHidden/>
          </w:rPr>
          <w:instrText xml:space="preserve"> PAGEREF _Toc394837818 \h </w:instrText>
        </w:r>
        <w:r w:rsidR="00FF412A">
          <w:rPr>
            <w:noProof/>
            <w:webHidden/>
          </w:rPr>
        </w:r>
        <w:r w:rsidR="00FF412A">
          <w:rPr>
            <w:noProof/>
            <w:webHidden/>
          </w:rPr>
          <w:fldChar w:fldCharType="separate"/>
        </w:r>
        <w:r w:rsidR="00FC7394">
          <w:rPr>
            <w:noProof/>
            <w:webHidden/>
          </w:rPr>
          <w:t>66</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19" w:history="1">
        <w:r w:rsidR="00BB3234" w:rsidRPr="00E57C47">
          <w:rPr>
            <w:rStyle w:val="Hyperlink"/>
            <w:noProof/>
            <w:lang w:val="ro-RO"/>
          </w:rPr>
          <w:t>2.A.6.3. Utilizarea planificată a instrumentelor financiare (după caz)</w:t>
        </w:r>
        <w:r w:rsidR="00BB3234">
          <w:rPr>
            <w:noProof/>
            <w:webHidden/>
          </w:rPr>
          <w:tab/>
        </w:r>
        <w:r w:rsidR="00FF412A">
          <w:rPr>
            <w:noProof/>
            <w:webHidden/>
          </w:rPr>
          <w:fldChar w:fldCharType="begin"/>
        </w:r>
        <w:r w:rsidR="00BB3234">
          <w:rPr>
            <w:noProof/>
            <w:webHidden/>
          </w:rPr>
          <w:instrText xml:space="preserve"> PAGEREF _Toc394837819 \h </w:instrText>
        </w:r>
        <w:r w:rsidR="00FF412A">
          <w:rPr>
            <w:noProof/>
            <w:webHidden/>
          </w:rPr>
        </w:r>
        <w:r w:rsidR="00FF412A">
          <w:rPr>
            <w:noProof/>
            <w:webHidden/>
          </w:rPr>
          <w:fldChar w:fldCharType="separate"/>
        </w:r>
        <w:r w:rsidR="00FC7394">
          <w:rPr>
            <w:noProof/>
            <w:webHidden/>
          </w:rPr>
          <w:t>68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20" w:history="1">
        <w:r w:rsidR="00BB3234" w:rsidRPr="00E57C47">
          <w:rPr>
            <w:rStyle w:val="Hyperlink"/>
            <w:noProof/>
            <w:lang w:val="ro-RO"/>
          </w:rPr>
          <w:t>2.A.6.4. Utilizarea planificată a proiectelor majore (după caz)</w:t>
        </w:r>
        <w:r w:rsidR="00BB3234">
          <w:rPr>
            <w:noProof/>
            <w:webHidden/>
          </w:rPr>
          <w:tab/>
        </w:r>
        <w:r w:rsidR="00FF412A">
          <w:rPr>
            <w:noProof/>
            <w:webHidden/>
          </w:rPr>
          <w:fldChar w:fldCharType="begin"/>
        </w:r>
        <w:r w:rsidR="00BB3234">
          <w:rPr>
            <w:noProof/>
            <w:webHidden/>
          </w:rPr>
          <w:instrText xml:space="preserve"> PAGEREF _Toc394837820 \h </w:instrText>
        </w:r>
        <w:r w:rsidR="00FF412A">
          <w:rPr>
            <w:noProof/>
            <w:webHidden/>
          </w:rPr>
        </w:r>
        <w:r w:rsidR="00FF412A">
          <w:rPr>
            <w:noProof/>
            <w:webHidden/>
          </w:rPr>
          <w:fldChar w:fldCharType="separate"/>
        </w:r>
        <w:r w:rsidR="00FC7394">
          <w:rPr>
            <w:noProof/>
            <w:webHidden/>
          </w:rPr>
          <w:t>68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21" w:history="1">
        <w:r w:rsidR="00BB3234" w:rsidRPr="00E57C47">
          <w:rPr>
            <w:rStyle w:val="Hyperlink"/>
            <w:noProof/>
            <w:lang w:val="ro-RO"/>
          </w:rPr>
          <w:t>2.A.6.5. Indicatori de realizare (pe prioritate de investiții)</w:t>
        </w:r>
        <w:r w:rsidR="00BB3234">
          <w:rPr>
            <w:noProof/>
            <w:webHidden/>
          </w:rPr>
          <w:tab/>
        </w:r>
        <w:r w:rsidR="00FF412A">
          <w:rPr>
            <w:noProof/>
            <w:webHidden/>
          </w:rPr>
          <w:fldChar w:fldCharType="begin"/>
        </w:r>
        <w:r w:rsidR="00BB3234">
          <w:rPr>
            <w:noProof/>
            <w:webHidden/>
          </w:rPr>
          <w:instrText xml:space="preserve"> PAGEREF _Toc394837821 \h </w:instrText>
        </w:r>
        <w:r w:rsidR="00FF412A">
          <w:rPr>
            <w:noProof/>
            <w:webHidden/>
          </w:rPr>
        </w:r>
        <w:r w:rsidR="00FF412A">
          <w:rPr>
            <w:noProof/>
            <w:webHidden/>
          </w:rPr>
          <w:fldChar w:fldCharType="separate"/>
        </w:r>
        <w:r w:rsidR="00FC7394">
          <w:rPr>
            <w:noProof/>
            <w:webHidden/>
          </w:rPr>
          <w:t>68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22" w:history="1">
        <w:r w:rsidR="00BB3234" w:rsidRPr="00E57C47">
          <w:rPr>
            <w:rStyle w:val="Hyperlink"/>
            <w:noProof/>
            <w:lang w:val="fr-FR"/>
          </w:rPr>
          <w:t>Tabelul 4: Indicatori de realizare comuni și specifici programului</w:t>
        </w:r>
        <w:r w:rsidR="00BB3234">
          <w:rPr>
            <w:noProof/>
            <w:webHidden/>
          </w:rPr>
          <w:tab/>
        </w:r>
        <w:r w:rsidR="00FF412A">
          <w:rPr>
            <w:noProof/>
            <w:webHidden/>
          </w:rPr>
          <w:fldChar w:fldCharType="begin"/>
        </w:r>
        <w:r w:rsidR="00BB3234">
          <w:rPr>
            <w:noProof/>
            <w:webHidden/>
          </w:rPr>
          <w:instrText xml:space="preserve"> PAGEREF _Toc394837822 \h </w:instrText>
        </w:r>
        <w:r w:rsidR="00FF412A">
          <w:rPr>
            <w:noProof/>
            <w:webHidden/>
          </w:rPr>
        </w:r>
        <w:r w:rsidR="00FF412A">
          <w:rPr>
            <w:noProof/>
            <w:webHidden/>
          </w:rPr>
          <w:fldChar w:fldCharType="separate"/>
        </w:r>
        <w:r w:rsidR="00FC7394">
          <w:rPr>
            <w:noProof/>
            <w:webHidden/>
          </w:rPr>
          <w:t>69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23" w:history="1">
        <w:r w:rsidR="00BB3234" w:rsidRPr="00E57C47">
          <w:rPr>
            <w:rStyle w:val="Hyperlink"/>
            <w:noProof/>
            <w:lang w:val="en-US"/>
          </w:rPr>
          <w:t>2.A.7. Cadrul de performanță</w:t>
        </w:r>
        <w:r w:rsidR="00BB3234">
          <w:rPr>
            <w:noProof/>
            <w:webHidden/>
          </w:rPr>
          <w:tab/>
        </w:r>
        <w:r w:rsidR="00FF412A">
          <w:rPr>
            <w:noProof/>
            <w:webHidden/>
          </w:rPr>
          <w:fldChar w:fldCharType="begin"/>
        </w:r>
        <w:r w:rsidR="00BB3234">
          <w:rPr>
            <w:noProof/>
            <w:webHidden/>
          </w:rPr>
          <w:instrText xml:space="preserve"> PAGEREF _Toc394837823 \h </w:instrText>
        </w:r>
        <w:r w:rsidR="00FF412A">
          <w:rPr>
            <w:noProof/>
            <w:webHidden/>
          </w:rPr>
        </w:r>
        <w:r w:rsidR="00FF412A">
          <w:rPr>
            <w:noProof/>
            <w:webHidden/>
          </w:rPr>
          <w:fldChar w:fldCharType="separate"/>
        </w:r>
        <w:r w:rsidR="00FC7394">
          <w:rPr>
            <w:noProof/>
            <w:webHidden/>
          </w:rPr>
          <w:t>70</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24" w:history="1">
        <w:r w:rsidR="00BB3234" w:rsidRPr="00E57C47">
          <w:rPr>
            <w:rStyle w:val="Hyperlink"/>
            <w:noProof/>
            <w:lang w:val="fr-FR"/>
          </w:rPr>
          <w:t>Tabelul 5: Cadrul de performanță al axei prioritare 3 – O regiune sigură</w:t>
        </w:r>
        <w:r w:rsidR="00BB3234">
          <w:rPr>
            <w:noProof/>
            <w:webHidden/>
          </w:rPr>
          <w:tab/>
        </w:r>
        <w:r w:rsidR="00FF412A">
          <w:rPr>
            <w:noProof/>
            <w:webHidden/>
          </w:rPr>
          <w:fldChar w:fldCharType="begin"/>
        </w:r>
        <w:r w:rsidR="00BB3234">
          <w:rPr>
            <w:noProof/>
            <w:webHidden/>
          </w:rPr>
          <w:instrText xml:space="preserve"> PAGEREF _Toc394837824 \h </w:instrText>
        </w:r>
        <w:r w:rsidR="00FF412A">
          <w:rPr>
            <w:noProof/>
            <w:webHidden/>
          </w:rPr>
        </w:r>
        <w:r w:rsidR="00FF412A">
          <w:rPr>
            <w:noProof/>
            <w:webHidden/>
          </w:rPr>
          <w:fldChar w:fldCharType="separate"/>
        </w:r>
        <w:r w:rsidR="00FC7394">
          <w:rPr>
            <w:noProof/>
            <w:webHidden/>
          </w:rPr>
          <w:t>70</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25" w:history="1">
        <w:r w:rsidR="00BB3234" w:rsidRPr="00E57C47">
          <w:rPr>
            <w:rStyle w:val="Hyperlink"/>
            <w:noProof/>
            <w:lang w:val="fr-FR"/>
          </w:rPr>
          <w:t>2.A.1.Axa prioritară (se repetă pentru fiecare axă prioritară)</w:t>
        </w:r>
        <w:r w:rsidR="00BB3234">
          <w:rPr>
            <w:noProof/>
            <w:webHidden/>
          </w:rPr>
          <w:tab/>
        </w:r>
        <w:r w:rsidR="00FF412A">
          <w:rPr>
            <w:noProof/>
            <w:webHidden/>
          </w:rPr>
          <w:fldChar w:fldCharType="begin"/>
        </w:r>
        <w:r w:rsidR="00BB3234">
          <w:rPr>
            <w:noProof/>
            <w:webHidden/>
          </w:rPr>
          <w:instrText xml:space="preserve"> PAGEREF _Toc394837825 \h </w:instrText>
        </w:r>
        <w:r w:rsidR="00FF412A">
          <w:rPr>
            <w:noProof/>
            <w:webHidden/>
          </w:rPr>
        </w:r>
        <w:r w:rsidR="00FF412A">
          <w:rPr>
            <w:noProof/>
            <w:webHidden/>
          </w:rPr>
          <w:fldChar w:fldCharType="separate"/>
        </w:r>
        <w:r w:rsidR="00FC7394">
          <w:rPr>
            <w:noProof/>
            <w:webHidden/>
          </w:rPr>
          <w:t>71</w:t>
        </w:r>
        <w:r w:rsidR="00FF412A">
          <w:rPr>
            <w:noProof/>
            <w:webHidden/>
          </w:rPr>
          <w:fldChar w:fldCharType="end"/>
        </w:r>
      </w:hyperlink>
    </w:p>
    <w:p w:rsidR="00BB3234" w:rsidRDefault="006D5DA0">
      <w:pPr>
        <w:pStyle w:val="TOC3"/>
        <w:rPr>
          <w:rFonts w:asciiTheme="minorHAnsi" w:eastAsiaTheme="minorEastAsia" w:hAnsiTheme="minorHAnsi" w:cstheme="minorBidi"/>
          <w:noProof/>
          <w:szCs w:val="22"/>
          <w:lang w:val="fr-FR" w:eastAsia="fr-FR"/>
        </w:rPr>
      </w:pPr>
      <w:hyperlink w:anchor="_Toc394837826" w:history="1">
        <w:r w:rsidR="00BB3234" w:rsidRPr="00E57C47">
          <w:rPr>
            <w:rStyle w:val="Hyperlink"/>
            <w:noProof/>
            <w:lang w:val="fr-FR"/>
          </w:rPr>
          <w:t>Axa prioritară 4: O regiune calificatăși inclusivă</w:t>
        </w:r>
        <w:r w:rsidR="00BB3234">
          <w:rPr>
            <w:noProof/>
            <w:webHidden/>
          </w:rPr>
          <w:tab/>
        </w:r>
        <w:r w:rsidR="00FF412A">
          <w:rPr>
            <w:noProof/>
            <w:webHidden/>
          </w:rPr>
          <w:fldChar w:fldCharType="begin"/>
        </w:r>
        <w:r w:rsidR="00BB3234">
          <w:rPr>
            <w:noProof/>
            <w:webHidden/>
          </w:rPr>
          <w:instrText xml:space="preserve"> PAGEREF _Toc394837826 \h </w:instrText>
        </w:r>
        <w:r w:rsidR="00FF412A">
          <w:rPr>
            <w:noProof/>
            <w:webHidden/>
          </w:rPr>
        </w:r>
        <w:r w:rsidR="00FF412A">
          <w:rPr>
            <w:noProof/>
            <w:webHidden/>
          </w:rPr>
          <w:fldChar w:fldCharType="separate"/>
        </w:r>
        <w:r w:rsidR="00FC7394">
          <w:rPr>
            <w:noProof/>
            <w:webHidden/>
          </w:rPr>
          <w:t>71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27" w:history="1">
        <w:r w:rsidR="00BB3234" w:rsidRPr="00E57C47">
          <w:rPr>
            <w:rStyle w:val="Hyperlink"/>
            <w:noProof/>
            <w:lang w:val="fr-FR"/>
          </w:rPr>
          <w:t>2.A.2. Justificarea stabilirii unei axe prioritare care acoperă mai mult de un obiectiv tematic</w:t>
        </w:r>
        <w:r w:rsidR="00BB3234">
          <w:rPr>
            <w:noProof/>
            <w:webHidden/>
          </w:rPr>
          <w:tab/>
        </w:r>
        <w:r w:rsidR="00FF412A">
          <w:rPr>
            <w:noProof/>
            <w:webHidden/>
          </w:rPr>
          <w:fldChar w:fldCharType="begin"/>
        </w:r>
        <w:r w:rsidR="00BB3234">
          <w:rPr>
            <w:noProof/>
            <w:webHidden/>
          </w:rPr>
          <w:instrText xml:space="preserve"> PAGEREF _Toc394837827 \h </w:instrText>
        </w:r>
        <w:r w:rsidR="00FF412A">
          <w:rPr>
            <w:noProof/>
            <w:webHidden/>
          </w:rPr>
        </w:r>
        <w:r w:rsidR="00FF412A">
          <w:rPr>
            <w:noProof/>
            <w:webHidden/>
          </w:rPr>
          <w:fldChar w:fldCharType="separate"/>
        </w:r>
        <w:r w:rsidR="00FC7394">
          <w:rPr>
            <w:noProof/>
            <w:webHidden/>
          </w:rPr>
          <w:t>71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28" w:history="1">
        <w:r w:rsidR="00BB3234" w:rsidRPr="00E57C47">
          <w:rPr>
            <w:rStyle w:val="Hyperlink"/>
            <w:noProof/>
            <w:lang w:val="fr-FR"/>
          </w:rPr>
          <w:t>2.A.3. Fondul și baza de calcul pentru sprijinul Uniunii</w:t>
        </w:r>
        <w:r w:rsidR="00BB3234">
          <w:rPr>
            <w:noProof/>
            <w:webHidden/>
          </w:rPr>
          <w:tab/>
        </w:r>
        <w:r w:rsidR="00FF412A">
          <w:rPr>
            <w:noProof/>
            <w:webHidden/>
          </w:rPr>
          <w:fldChar w:fldCharType="begin"/>
        </w:r>
        <w:r w:rsidR="00BB3234">
          <w:rPr>
            <w:noProof/>
            <w:webHidden/>
          </w:rPr>
          <w:instrText xml:space="preserve"> PAGEREF _Toc394837828 \h </w:instrText>
        </w:r>
        <w:r w:rsidR="00FF412A">
          <w:rPr>
            <w:noProof/>
            <w:webHidden/>
          </w:rPr>
        </w:r>
        <w:r w:rsidR="00FF412A">
          <w:rPr>
            <w:noProof/>
            <w:webHidden/>
          </w:rPr>
          <w:fldChar w:fldCharType="separate"/>
        </w:r>
        <w:r w:rsidR="00FC7394">
          <w:rPr>
            <w:noProof/>
            <w:webHidden/>
          </w:rPr>
          <w:t>71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29" w:history="1">
        <w:r w:rsidR="00BB3234" w:rsidRPr="00E57C47">
          <w:rPr>
            <w:rStyle w:val="Hyperlink"/>
            <w:noProof/>
            <w:lang w:val="en-US"/>
          </w:rPr>
          <w:t>2.A.4. Prioritatea de investiții</w:t>
        </w:r>
        <w:r w:rsidR="00BB3234">
          <w:rPr>
            <w:noProof/>
            <w:webHidden/>
          </w:rPr>
          <w:tab/>
        </w:r>
        <w:r w:rsidR="00FF412A">
          <w:rPr>
            <w:noProof/>
            <w:webHidden/>
          </w:rPr>
          <w:fldChar w:fldCharType="begin"/>
        </w:r>
        <w:r w:rsidR="00BB3234">
          <w:rPr>
            <w:noProof/>
            <w:webHidden/>
          </w:rPr>
          <w:instrText xml:space="preserve"> PAGEREF _Toc394837829 \h </w:instrText>
        </w:r>
        <w:r w:rsidR="00FF412A">
          <w:rPr>
            <w:noProof/>
            <w:webHidden/>
          </w:rPr>
        </w:r>
        <w:r w:rsidR="00FF412A">
          <w:rPr>
            <w:noProof/>
            <w:webHidden/>
          </w:rPr>
          <w:fldChar w:fldCharType="separate"/>
        </w:r>
        <w:r w:rsidR="00FC7394">
          <w:rPr>
            <w:noProof/>
            <w:webHidden/>
          </w:rPr>
          <w:t>71</w:t>
        </w:r>
        <w:r w:rsidR="00FF412A">
          <w:rPr>
            <w:noProof/>
            <w:webHidden/>
          </w:rPr>
          <w:fldChar w:fldCharType="end"/>
        </w:r>
      </w:hyperlink>
    </w:p>
    <w:p w:rsidR="00BB3234" w:rsidRDefault="006D5DA0">
      <w:pPr>
        <w:pStyle w:val="TOC3"/>
        <w:rPr>
          <w:rFonts w:asciiTheme="minorHAnsi" w:eastAsiaTheme="minorEastAsia" w:hAnsiTheme="minorHAnsi" w:cstheme="minorBidi"/>
          <w:noProof/>
          <w:szCs w:val="22"/>
          <w:lang w:val="fr-FR" w:eastAsia="fr-FR"/>
        </w:rPr>
      </w:pPr>
      <w:hyperlink w:anchor="_Toc394837830" w:history="1">
        <w:r w:rsidR="00BB3234" w:rsidRPr="00E57C47">
          <w:rPr>
            <w:rStyle w:val="Hyperlink"/>
            <w:noProof/>
            <w:lang w:val="en-US"/>
          </w:rPr>
          <w:t>Prioritatea de investiții 8.i: Promovarea sustenabilității și calității locurilor de muncă și sprijinirea mobilității forței de muncă prin integrarea piețelor forței de muncă transfrontaliere, inclusiv mobilitatea transfrontalieră, inițiativele comune locale în domeniul ocupării forței de muncă, servicii de informare și de consiliere și formarea comună</w:t>
        </w:r>
        <w:r w:rsidR="00BB3234">
          <w:rPr>
            <w:noProof/>
            <w:webHidden/>
          </w:rPr>
          <w:tab/>
        </w:r>
        <w:r w:rsidR="00FF412A">
          <w:rPr>
            <w:noProof/>
            <w:webHidden/>
          </w:rPr>
          <w:fldChar w:fldCharType="begin"/>
        </w:r>
        <w:r w:rsidR="00BB3234">
          <w:rPr>
            <w:noProof/>
            <w:webHidden/>
          </w:rPr>
          <w:instrText xml:space="preserve"> PAGEREF _Toc394837830 \h </w:instrText>
        </w:r>
        <w:r w:rsidR="00FF412A">
          <w:rPr>
            <w:noProof/>
            <w:webHidden/>
          </w:rPr>
        </w:r>
        <w:r w:rsidR="00FF412A">
          <w:rPr>
            <w:noProof/>
            <w:webHidden/>
          </w:rPr>
          <w:fldChar w:fldCharType="separate"/>
        </w:r>
        <w:r w:rsidR="00FC7394">
          <w:rPr>
            <w:noProof/>
            <w:webHidden/>
          </w:rPr>
          <w:t>71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31" w:history="1">
        <w:r w:rsidR="00BB3234" w:rsidRPr="00E57C47">
          <w:rPr>
            <w:rStyle w:val="Hyperlink"/>
            <w:noProof/>
            <w:lang w:val="en-US"/>
          </w:rPr>
          <w:t>2.A.5. Obiective specifice corespunzătoare priorității de investiții și rezultate preconizate</w:t>
        </w:r>
        <w:r w:rsidR="00BB3234">
          <w:rPr>
            <w:noProof/>
            <w:webHidden/>
          </w:rPr>
          <w:tab/>
        </w:r>
        <w:r w:rsidR="00FF412A">
          <w:rPr>
            <w:noProof/>
            <w:webHidden/>
          </w:rPr>
          <w:fldChar w:fldCharType="begin"/>
        </w:r>
        <w:r w:rsidR="00BB3234">
          <w:rPr>
            <w:noProof/>
            <w:webHidden/>
          </w:rPr>
          <w:instrText xml:space="preserve"> PAGEREF _Toc394837831 \h </w:instrText>
        </w:r>
        <w:r w:rsidR="00FF412A">
          <w:rPr>
            <w:noProof/>
            <w:webHidden/>
          </w:rPr>
        </w:r>
        <w:r w:rsidR="00FF412A">
          <w:rPr>
            <w:noProof/>
            <w:webHidden/>
          </w:rPr>
          <w:fldChar w:fldCharType="separate"/>
        </w:r>
        <w:r w:rsidR="00FC7394">
          <w:rPr>
            <w:noProof/>
            <w:webHidden/>
          </w:rPr>
          <w:t>72</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32" w:history="1">
        <w:r w:rsidR="00BB3234" w:rsidRPr="00E57C47">
          <w:rPr>
            <w:rStyle w:val="Hyperlink"/>
            <w:noProof/>
            <w:lang w:val="fr-FR"/>
          </w:rPr>
          <w:t>Tabelul 3: Indicatori de rezultat specifici programului</w:t>
        </w:r>
        <w:r w:rsidR="00BB3234">
          <w:rPr>
            <w:noProof/>
            <w:webHidden/>
          </w:rPr>
          <w:tab/>
        </w:r>
        <w:r w:rsidR="00FF412A">
          <w:rPr>
            <w:noProof/>
            <w:webHidden/>
          </w:rPr>
          <w:fldChar w:fldCharType="begin"/>
        </w:r>
        <w:r w:rsidR="00BB3234">
          <w:rPr>
            <w:noProof/>
            <w:webHidden/>
          </w:rPr>
          <w:instrText xml:space="preserve"> PAGEREF _Toc394837832 \h </w:instrText>
        </w:r>
        <w:r w:rsidR="00FF412A">
          <w:rPr>
            <w:noProof/>
            <w:webHidden/>
          </w:rPr>
        </w:r>
        <w:r w:rsidR="00FF412A">
          <w:rPr>
            <w:noProof/>
            <w:webHidden/>
          </w:rPr>
          <w:fldChar w:fldCharType="separate"/>
        </w:r>
        <w:r w:rsidR="00FC7394">
          <w:rPr>
            <w:noProof/>
            <w:webHidden/>
          </w:rPr>
          <w:t>73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33" w:history="1">
        <w:r w:rsidR="00BB3234" w:rsidRPr="00E57C47">
          <w:rPr>
            <w:rStyle w:val="Hyperlink"/>
            <w:noProof/>
            <w:lang w:val="fr-FR"/>
          </w:rPr>
          <w:t>2.A.6. Acțiunile care urmează să fie sprijinite în cadrul priorității de investiții (pe prioritate de investiții)</w:t>
        </w:r>
        <w:r w:rsidR="00BB3234">
          <w:rPr>
            <w:noProof/>
            <w:webHidden/>
          </w:rPr>
          <w:tab/>
        </w:r>
        <w:r w:rsidR="00FF412A">
          <w:rPr>
            <w:noProof/>
            <w:webHidden/>
          </w:rPr>
          <w:fldChar w:fldCharType="begin"/>
        </w:r>
        <w:r w:rsidR="00BB3234">
          <w:rPr>
            <w:noProof/>
            <w:webHidden/>
          </w:rPr>
          <w:instrText xml:space="preserve"> PAGEREF _Toc394837833 \h </w:instrText>
        </w:r>
        <w:r w:rsidR="00FF412A">
          <w:rPr>
            <w:noProof/>
            <w:webHidden/>
          </w:rPr>
        </w:r>
        <w:r w:rsidR="00FF412A">
          <w:rPr>
            <w:noProof/>
            <w:webHidden/>
          </w:rPr>
          <w:fldChar w:fldCharType="separate"/>
        </w:r>
        <w:r w:rsidR="00FC7394">
          <w:rPr>
            <w:noProof/>
            <w:webHidden/>
          </w:rPr>
          <w:t>74</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34" w:history="1">
        <w:r w:rsidR="00BB3234" w:rsidRPr="00E57C47">
          <w:rPr>
            <w:rStyle w:val="Hyperlink"/>
            <w:noProof/>
            <w:lang w:val="fr-FR"/>
          </w:rPr>
          <w:t>2.A.6.1. Descrierea tipului și exemple de acțiuni care urmează să fie sprijinite și contribuțiile preconizate la obiectivele specifice, inclusiv, după caz, identificarea principalelor grupuri țintă, a teritoriilor specifice vizate și a tipurilor de beneficiari</w:t>
        </w:r>
        <w:r w:rsidR="00BB3234">
          <w:rPr>
            <w:noProof/>
            <w:webHidden/>
          </w:rPr>
          <w:tab/>
        </w:r>
        <w:r w:rsidR="00FF412A">
          <w:rPr>
            <w:noProof/>
            <w:webHidden/>
          </w:rPr>
          <w:fldChar w:fldCharType="begin"/>
        </w:r>
        <w:r w:rsidR="00BB3234">
          <w:rPr>
            <w:noProof/>
            <w:webHidden/>
          </w:rPr>
          <w:instrText xml:space="preserve"> PAGEREF _Toc394837834 \h </w:instrText>
        </w:r>
        <w:r w:rsidR="00FF412A">
          <w:rPr>
            <w:noProof/>
            <w:webHidden/>
          </w:rPr>
        </w:r>
        <w:r w:rsidR="00FF412A">
          <w:rPr>
            <w:noProof/>
            <w:webHidden/>
          </w:rPr>
          <w:fldChar w:fldCharType="separate"/>
        </w:r>
        <w:r w:rsidR="00FC7394">
          <w:rPr>
            <w:noProof/>
            <w:webHidden/>
          </w:rPr>
          <w:t>74</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35" w:history="1">
        <w:r w:rsidR="00BB3234" w:rsidRPr="00E57C47">
          <w:rPr>
            <w:rStyle w:val="Hyperlink"/>
            <w:noProof/>
            <w:lang w:val="ro-RO" w:eastAsia="fr-BE"/>
          </w:rPr>
          <w:t>2.A.6.2. Principiile directoare pentru selectarea operațiunilor</w:t>
        </w:r>
        <w:r w:rsidR="00BB3234">
          <w:rPr>
            <w:noProof/>
            <w:webHidden/>
          </w:rPr>
          <w:tab/>
        </w:r>
        <w:r w:rsidR="00FF412A">
          <w:rPr>
            <w:noProof/>
            <w:webHidden/>
          </w:rPr>
          <w:fldChar w:fldCharType="begin"/>
        </w:r>
        <w:r w:rsidR="00BB3234">
          <w:rPr>
            <w:noProof/>
            <w:webHidden/>
          </w:rPr>
          <w:instrText xml:space="preserve"> PAGEREF _Toc394837835 \h </w:instrText>
        </w:r>
        <w:r w:rsidR="00FF412A">
          <w:rPr>
            <w:noProof/>
            <w:webHidden/>
          </w:rPr>
        </w:r>
        <w:r w:rsidR="00FF412A">
          <w:rPr>
            <w:noProof/>
            <w:webHidden/>
          </w:rPr>
          <w:fldChar w:fldCharType="separate"/>
        </w:r>
        <w:r w:rsidR="00FC7394">
          <w:rPr>
            <w:noProof/>
            <w:webHidden/>
          </w:rPr>
          <w:t>76</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36" w:history="1">
        <w:r w:rsidR="00BB3234" w:rsidRPr="00E57C47">
          <w:rPr>
            <w:rStyle w:val="Hyperlink"/>
            <w:noProof/>
            <w:lang w:val="ro-RO"/>
          </w:rPr>
          <w:t>2.A.6.3. Utilizarea planificată a instrumentelor financiare (după caz)</w:t>
        </w:r>
        <w:r w:rsidR="00BB3234">
          <w:rPr>
            <w:noProof/>
            <w:webHidden/>
          </w:rPr>
          <w:tab/>
        </w:r>
        <w:r w:rsidR="00FF412A">
          <w:rPr>
            <w:noProof/>
            <w:webHidden/>
          </w:rPr>
          <w:fldChar w:fldCharType="begin"/>
        </w:r>
        <w:r w:rsidR="00BB3234">
          <w:rPr>
            <w:noProof/>
            <w:webHidden/>
          </w:rPr>
          <w:instrText xml:space="preserve"> PAGEREF _Toc394837836 \h </w:instrText>
        </w:r>
        <w:r w:rsidR="00FF412A">
          <w:rPr>
            <w:noProof/>
            <w:webHidden/>
          </w:rPr>
        </w:r>
        <w:r w:rsidR="00FF412A">
          <w:rPr>
            <w:noProof/>
            <w:webHidden/>
          </w:rPr>
          <w:fldChar w:fldCharType="separate"/>
        </w:r>
        <w:r w:rsidR="00FC7394">
          <w:rPr>
            <w:noProof/>
            <w:webHidden/>
          </w:rPr>
          <w:t>77</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37" w:history="1">
        <w:r w:rsidR="00BB3234" w:rsidRPr="00E57C47">
          <w:rPr>
            <w:rStyle w:val="Hyperlink"/>
            <w:noProof/>
            <w:lang w:val="ro-RO"/>
          </w:rPr>
          <w:t>2.A.6.4. Utilizarea planificată a proiectelor majore (după caz)</w:t>
        </w:r>
        <w:r w:rsidR="00BB3234">
          <w:rPr>
            <w:noProof/>
            <w:webHidden/>
          </w:rPr>
          <w:tab/>
        </w:r>
        <w:r w:rsidR="00FF412A">
          <w:rPr>
            <w:noProof/>
            <w:webHidden/>
          </w:rPr>
          <w:fldChar w:fldCharType="begin"/>
        </w:r>
        <w:r w:rsidR="00BB3234">
          <w:rPr>
            <w:noProof/>
            <w:webHidden/>
          </w:rPr>
          <w:instrText xml:space="preserve"> PAGEREF _Toc394837837 \h </w:instrText>
        </w:r>
        <w:r w:rsidR="00FF412A">
          <w:rPr>
            <w:noProof/>
            <w:webHidden/>
          </w:rPr>
        </w:r>
        <w:r w:rsidR="00FF412A">
          <w:rPr>
            <w:noProof/>
            <w:webHidden/>
          </w:rPr>
          <w:fldChar w:fldCharType="separate"/>
        </w:r>
        <w:r w:rsidR="00FC7394">
          <w:rPr>
            <w:noProof/>
            <w:webHidden/>
          </w:rPr>
          <w:t>77</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38" w:history="1">
        <w:r w:rsidR="00BB3234" w:rsidRPr="00E57C47">
          <w:rPr>
            <w:rStyle w:val="Hyperlink"/>
            <w:noProof/>
            <w:lang w:val="ro-RO"/>
          </w:rPr>
          <w:t>2.A.6.5. Indicatori de realizare (pe prioritate de investiții)</w:t>
        </w:r>
        <w:r w:rsidR="00BB3234">
          <w:rPr>
            <w:noProof/>
            <w:webHidden/>
          </w:rPr>
          <w:tab/>
        </w:r>
        <w:r w:rsidR="00FF412A">
          <w:rPr>
            <w:noProof/>
            <w:webHidden/>
          </w:rPr>
          <w:fldChar w:fldCharType="begin"/>
        </w:r>
        <w:r w:rsidR="00BB3234">
          <w:rPr>
            <w:noProof/>
            <w:webHidden/>
          </w:rPr>
          <w:instrText xml:space="preserve"> PAGEREF _Toc394837838 \h </w:instrText>
        </w:r>
        <w:r w:rsidR="00FF412A">
          <w:rPr>
            <w:noProof/>
            <w:webHidden/>
          </w:rPr>
        </w:r>
        <w:r w:rsidR="00FF412A">
          <w:rPr>
            <w:noProof/>
            <w:webHidden/>
          </w:rPr>
          <w:fldChar w:fldCharType="separate"/>
        </w:r>
        <w:r w:rsidR="00FC7394">
          <w:rPr>
            <w:noProof/>
            <w:webHidden/>
          </w:rPr>
          <w:t>77</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39" w:history="1">
        <w:r w:rsidR="00BB3234" w:rsidRPr="00E57C47">
          <w:rPr>
            <w:rStyle w:val="Hyperlink"/>
            <w:noProof/>
            <w:lang w:val="fr-FR"/>
          </w:rPr>
          <w:t>Tabelul 4: Indicatori de realizare comuni și specifici programului</w:t>
        </w:r>
        <w:r w:rsidR="00BB3234">
          <w:rPr>
            <w:noProof/>
            <w:webHidden/>
          </w:rPr>
          <w:tab/>
        </w:r>
        <w:r w:rsidR="00FF412A">
          <w:rPr>
            <w:noProof/>
            <w:webHidden/>
          </w:rPr>
          <w:fldChar w:fldCharType="begin"/>
        </w:r>
        <w:r w:rsidR="00BB3234">
          <w:rPr>
            <w:noProof/>
            <w:webHidden/>
          </w:rPr>
          <w:instrText xml:space="preserve"> PAGEREF _Toc394837839 \h </w:instrText>
        </w:r>
        <w:r w:rsidR="00FF412A">
          <w:rPr>
            <w:noProof/>
            <w:webHidden/>
          </w:rPr>
        </w:r>
        <w:r w:rsidR="00FF412A">
          <w:rPr>
            <w:noProof/>
            <w:webHidden/>
          </w:rPr>
          <w:fldChar w:fldCharType="separate"/>
        </w:r>
        <w:r w:rsidR="00FC7394">
          <w:rPr>
            <w:noProof/>
            <w:webHidden/>
          </w:rPr>
          <w:t>77</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40" w:history="1">
        <w:r w:rsidR="00BB3234" w:rsidRPr="00E57C47">
          <w:rPr>
            <w:rStyle w:val="Hyperlink"/>
            <w:noProof/>
            <w:lang w:val="en-US"/>
          </w:rPr>
          <w:t>2.A.7. Cadrul de performanță</w:t>
        </w:r>
        <w:r w:rsidR="00BB3234">
          <w:rPr>
            <w:noProof/>
            <w:webHidden/>
          </w:rPr>
          <w:tab/>
        </w:r>
        <w:r w:rsidR="00FF412A">
          <w:rPr>
            <w:noProof/>
            <w:webHidden/>
          </w:rPr>
          <w:fldChar w:fldCharType="begin"/>
        </w:r>
        <w:r w:rsidR="00BB3234">
          <w:rPr>
            <w:noProof/>
            <w:webHidden/>
          </w:rPr>
          <w:instrText xml:space="preserve"> PAGEREF _Toc394837840 \h </w:instrText>
        </w:r>
        <w:r w:rsidR="00FF412A">
          <w:rPr>
            <w:noProof/>
            <w:webHidden/>
          </w:rPr>
        </w:r>
        <w:r w:rsidR="00FF412A">
          <w:rPr>
            <w:noProof/>
            <w:webHidden/>
          </w:rPr>
          <w:fldChar w:fldCharType="separate"/>
        </w:r>
        <w:r w:rsidR="00FC7394">
          <w:rPr>
            <w:noProof/>
            <w:webHidden/>
          </w:rPr>
          <w:t>78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41" w:history="1">
        <w:r w:rsidR="00BB3234" w:rsidRPr="00E57C47">
          <w:rPr>
            <w:rStyle w:val="Hyperlink"/>
            <w:noProof/>
            <w:lang w:val="en-US"/>
          </w:rPr>
          <w:t xml:space="preserve">Tabelul 5: Cadrul de performanță al axei prioritare4 – </w:t>
        </w:r>
        <w:r w:rsidR="00BB3234" w:rsidRPr="00E57C47">
          <w:rPr>
            <w:rStyle w:val="Hyperlink"/>
            <w:noProof/>
            <w:lang w:val="fr-FR"/>
          </w:rPr>
          <w:t>O regiune calificatăși inclusivă</w:t>
        </w:r>
        <w:r w:rsidR="00BB3234">
          <w:rPr>
            <w:noProof/>
            <w:webHidden/>
          </w:rPr>
          <w:tab/>
        </w:r>
        <w:r w:rsidR="00FF412A">
          <w:rPr>
            <w:noProof/>
            <w:webHidden/>
          </w:rPr>
          <w:fldChar w:fldCharType="begin"/>
        </w:r>
        <w:r w:rsidR="00BB3234">
          <w:rPr>
            <w:noProof/>
            <w:webHidden/>
          </w:rPr>
          <w:instrText xml:space="preserve"> PAGEREF _Toc394837841 \h </w:instrText>
        </w:r>
        <w:r w:rsidR="00FF412A">
          <w:rPr>
            <w:noProof/>
            <w:webHidden/>
          </w:rPr>
        </w:r>
        <w:r w:rsidR="00FF412A">
          <w:rPr>
            <w:noProof/>
            <w:webHidden/>
          </w:rPr>
          <w:fldChar w:fldCharType="separate"/>
        </w:r>
        <w:r w:rsidR="00FC7394">
          <w:rPr>
            <w:noProof/>
            <w:webHidden/>
          </w:rPr>
          <w:t>78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42" w:history="1">
        <w:r w:rsidR="00BB3234" w:rsidRPr="00E57C47">
          <w:rPr>
            <w:rStyle w:val="Hyperlink"/>
            <w:noProof/>
            <w:lang w:val="fr-FR"/>
          </w:rPr>
          <w:t>2.A.1. Axa prioritară (se repetă pentru fiecare axă prioritară)</w:t>
        </w:r>
        <w:r w:rsidR="00BB3234">
          <w:rPr>
            <w:noProof/>
            <w:webHidden/>
          </w:rPr>
          <w:tab/>
        </w:r>
        <w:r w:rsidR="00FF412A">
          <w:rPr>
            <w:noProof/>
            <w:webHidden/>
          </w:rPr>
          <w:fldChar w:fldCharType="begin"/>
        </w:r>
        <w:r w:rsidR="00BB3234">
          <w:rPr>
            <w:noProof/>
            <w:webHidden/>
          </w:rPr>
          <w:instrText xml:space="preserve"> PAGEREF _Toc394837842 \h </w:instrText>
        </w:r>
        <w:r w:rsidR="00FF412A">
          <w:rPr>
            <w:noProof/>
            <w:webHidden/>
          </w:rPr>
        </w:r>
        <w:r w:rsidR="00FF412A">
          <w:rPr>
            <w:noProof/>
            <w:webHidden/>
          </w:rPr>
          <w:fldChar w:fldCharType="separate"/>
        </w:r>
        <w:r w:rsidR="00FC7394">
          <w:rPr>
            <w:noProof/>
            <w:webHidden/>
          </w:rPr>
          <w:t>79</w:t>
        </w:r>
        <w:r w:rsidR="00FF412A">
          <w:rPr>
            <w:noProof/>
            <w:webHidden/>
          </w:rPr>
          <w:fldChar w:fldCharType="end"/>
        </w:r>
      </w:hyperlink>
    </w:p>
    <w:p w:rsidR="00BB3234" w:rsidRDefault="006D5DA0">
      <w:pPr>
        <w:pStyle w:val="TOC3"/>
        <w:rPr>
          <w:rFonts w:asciiTheme="minorHAnsi" w:eastAsiaTheme="minorEastAsia" w:hAnsiTheme="minorHAnsi" w:cstheme="minorBidi"/>
          <w:noProof/>
          <w:szCs w:val="22"/>
          <w:lang w:val="fr-FR" w:eastAsia="fr-FR"/>
        </w:rPr>
      </w:pPr>
      <w:hyperlink w:anchor="_Toc394837843" w:history="1">
        <w:r w:rsidR="00BB3234" w:rsidRPr="00E57C47">
          <w:rPr>
            <w:rStyle w:val="Hyperlink"/>
            <w:noProof/>
            <w:lang w:val="en-US"/>
          </w:rPr>
          <w:t xml:space="preserve">Axa prioritară 5: </w:t>
        </w:r>
        <w:r w:rsidR="00BB3234" w:rsidRPr="00E57C47">
          <w:rPr>
            <w:rStyle w:val="Hyperlink"/>
            <w:noProof/>
          </w:rPr>
          <w:t>O regiune eficientă</w:t>
        </w:r>
        <w:r w:rsidR="00BB3234">
          <w:rPr>
            <w:noProof/>
            <w:webHidden/>
          </w:rPr>
          <w:tab/>
        </w:r>
        <w:r w:rsidR="00FF412A">
          <w:rPr>
            <w:noProof/>
            <w:webHidden/>
          </w:rPr>
          <w:fldChar w:fldCharType="begin"/>
        </w:r>
        <w:r w:rsidR="00BB3234">
          <w:rPr>
            <w:noProof/>
            <w:webHidden/>
          </w:rPr>
          <w:instrText xml:space="preserve"> PAGEREF _Toc394837843 \h </w:instrText>
        </w:r>
        <w:r w:rsidR="00FF412A">
          <w:rPr>
            <w:noProof/>
            <w:webHidden/>
          </w:rPr>
        </w:r>
        <w:r w:rsidR="00FF412A">
          <w:rPr>
            <w:noProof/>
            <w:webHidden/>
          </w:rPr>
          <w:fldChar w:fldCharType="separate"/>
        </w:r>
        <w:r w:rsidR="00FC7394">
          <w:rPr>
            <w:noProof/>
            <w:webHidden/>
          </w:rPr>
          <w:t>79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44" w:history="1">
        <w:r w:rsidR="00BB3234" w:rsidRPr="00E57C47">
          <w:rPr>
            <w:rStyle w:val="Hyperlink"/>
            <w:noProof/>
            <w:lang w:val="fr-FR"/>
          </w:rPr>
          <w:t>2.A.2. Justificarea stabilirii unei axe prioritare care acoperă mai mult de un obiectiv tematic (dacă este cazul)</w:t>
        </w:r>
        <w:r w:rsidR="00BB3234">
          <w:rPr>
            <w:noProof/>
            <w:webHidden/>
          </w:rPr>
          <w:tab/>
        </w:r>
        <w:r w:rsidR="00FF412A">
          <w:rPr>
            <w:noProof/>
            <w:webHidden/>
          </w:rPr>
          <w:fldChar w:fldCharType="begin"/>
        </w:r>
        <w:r w:rsidR="00BB3234">
          <w:rPr>
            <w:noProof/>
            <w:webHidden/>
          </w:rPr>
          <w:instrText xml:space="preserve"> PAGEREF _Toc394837844 \h </w:instrText>
        </w:r>
        <w:r w:rsidR="00FF412A">
          <w:rPr>
            <w:noProof/>
            <w:webHidden/>
          </w:rPr>
        </w:r>
        <w:r w:rsidR="00FF412A">
          <w:rPr>
            <w:noProof/>
            <w:webHidden/>
          </w:rPr>
          <w:fldChar w:fldCharType="separate"/>
        </w:r>
        <w:r w:rsidR="00FC7394">
          <w:rPr>
            <w:noProof/>
            <w:webHidden/>
          </w:rPr>
          <w:t>79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45" w:history="1">
        <w:r w:rsidR="00BB3234" w:rsidRPr="00E57C47">
          <w:rPr>
            <w:rStyle w:val="Hyperlink"/>
            <w:noProof/>
            <w:lang w:val="fr-FR"/>
          </w:rPr>
          <w:t>2.A.3. Fondul și baza de calcul pentru sprijinul Uniunii</w:t>
        </w:r>
        <w:r w:rsidR="00BB3234">
          <w:rPr>
            <w:noProof/>
            <w:webHidden/>
          </w:rPr>
          <w:tab/>
        </w:r>
        <w:r w:rsidR="00FF412A">
          <w:rPr>
            <w:noProof/>
            <w:webHidden/>
          </w:rPr>
          <w:fldChar w:fldCharType="begin"/>
        </w:r>
        <w:r w:rsidR="00BB3234">
          <w:rPr>
            <w:noProof/>
            <w:webHidden/>
          </w:rPr>
          <w:instrText xml:space="preserve"> PAGEREF _Toc394837845 \h </w:instrText>
        </w:r>
        <w:r w:rsidR="00FF412A">
          <w:rPr>
            <w:noProof/>
            <w:webHidden/>
          </w:rPr>
        </w:r>
        <w:r w:rsidR="00FF412A">
          <w:rPr>
            <w:noProof/>
            <w:webHidden/>
          </w:rPr>
          <w:fldChar w:fldCharType="separate"/>
        </w:r>
        <w:r w:rsidR="00FC7394">
          <w:rPr>
            <w:noProof/>
            <w:webHidden/>
          </w:rPr>
          <w:t>79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46" w:history="1">
        <w:r w:rsidR="00BB3234" w:rsidRPr="00E57C47">
          <w:rPr>
            <w:rStyle w:val="Hyperlink"/>
            <w:noProof/>
            <w:lang w:val="fr-FR"/>
          </w:rPr>
          <w:t>2.A.4. Prioritatea de investiții (se repetă pentru fiecare prioritate de investiții în cadrul unei axe prioritare)</w:t>
        </w:r>
        <w:r w:rsidR="00BB3234">
          <w:rPr>
            <w:noProof/>
            <w:webHidden/>
          </w:rPr>
          <w:tab/>
        </w:r>
        <w:r w:rsidR="00FF412A">
          <w:rPr>
            <w:noProof/>
            <w:webHidden/>
          </w:rPr>
          <w:fldChar w:fldCharType="begin"/>
        </w:r>
        <w:r w:rsidR="00BB3234">
          <w:rPr>
            <w:noProof/>
            <w:webHidden/>
          </w:rPr>
          <w:instrText xml:space="preserve"> PAGEREF _Toc394837846 \h </w:instrText>
        </w:r>
        <w:r w:rsidR="00FF412A">
          <w:rPr>
            <w:noProof/>
            <w:webHidden/>
          </w:rPr>
        </w:r>
        <w:r w:rsidR="00FF412A">
          <w:rPr>
            <w:noProof/>
            <w:webHidden/>
          </w:rPr>
          <w:fldChar w:fldCharType="separate"/>
        </w:r>
        <w:r w:rsidR="00FC7394">
          <w:rPr>
            <w:noProof/>
            <w:webHidden/>
          </w:rPr>
          <w:t>80</w:t>
        </w:r>
        <w:r w:rsidR="00FF412A">
          <w:rPr>
            <w:noProof/>
            <w:webHidden/>
          </w:rPr>
          <w:fldChar w:fldCharType="end"/>
        </w:r>
      </w:hyperlink>
    </w:p>
    <w:p w:rsidR="00BB3234" w:rsidRDefault="006D5DA0">
      <w:pPr>
        <w:pStyle w:val="TOC3"/>
        <w:rPr>
          <w:rFonts w:asciiTheme="minorHAnsi" w:eastAsiaTheme="minorEastAsia" w:hAnsiTheme="minorHAnsi" w:cstheme="minorBidi"/>
          <w:noProof/>
          <w:szCs w:val="22"/>
          <w:lang w:val="fr-FR" w:eastAsia="fr-FR"/>
        </w:rPr>
      </w:pPr>
      <w:hyperlink w:anchor="_Toc394837847" w:history="1">
        <w:r w:rsidR="00BB3234" w:rsidRPr="00E57C47">
          <w:rPr>
            <w:rStyle w:val="Hyperlink"/>
            <w:noProof/>
            <w:lang w:val="fr-FR"/>
          </w:rPr>
          <w:t>Prioritatea de investiții 11.iv:  Consolidarea capacității instituționale a autorităților publice și a părților interesate și o administrație publică eficientă prin promovarea cooperării juridice și administrative și a cooperării între cetățeni și instituții</w:t>
        </w:r>
        <w:r w:rsidR="00BB3234">
          <w:rPr>
            <w:noProof/>
            <w:webHidden/>
          </w:rPr>
          <w:tab/>
        </w:r>
        <w:r w:rsidR="00FF412A">
          <w:rPr>
            <w:noProof/>
            <w:webHidden/>
          </w:rPr>
          <w:fldChar w:fldCharType="begin"/>
        </w:r>
        <w:r w:rsidR="00BB3234">
          <w:rPr>
            <w:noProof/>
            <w:webHidden/>
          </w:rPr>
          <w:instrText xml:space="preserve"> PAGEREF _Toc394837847 \h </w:instrText>
        </w:r>
        <w:r w:rsidR="00FF412A">
          <w:rPr>
            <w:noProof/>
            <w:webHidden/>
          </w:rPr>
        </w:r>
        <w:r w:rsidR="00FF412A">
          <w:rPr>
            <w:noProof/>
            <w:webHidden/>
          </w:rPr>
          <w:fldChar w:fldCharType="separate"/>
        </w:r>
        <w:r w:rsidR="00FC7394">
          <w:rPr>
            <w:noProof/>
            <w:webHidden/>
          </w:rPr>
          <w:t>80</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48" w:history="1">
        <w:r w:rsidR="00BB3234" w:rsidRPr="00E57C47">
          <w:rPr>
            <w:rStyle w:val="Hyperlink"/>
            <w:noProof/>
            <w:lang w:val="fr-FR"/>
          </w:rPr>
          <w:t>2.A.5. Obiective specifice corespunzătoare priorității de investiții și rezultate preconizate</w:t>
        </w:r>
        <w:r w:rsidR="00BB3234">
          <w:rPr>
            <w:noProof/>
            <w:webHidden/>
          </w:rPr>
          <w:tab/>
        </w:r>
        <w:r w:rsidR="00FF412A">
          <w:rPr>
            <w:noProof/>
            <w:webHidden/>
          </w:rPr>
          <w:fldChar w:fldCharType="begin"/>
        </w:r>
        <w:r w:rsidR="00BB3234">
          <w:rPr>
            <w:noProof/>
            <w:webHidden/>
          </w:rPr>
          <w:instrText xml:space="preserve"> PAGEREF _Toc394837848 \h </w:instrText>
        </w:r>
        <w:r w:rsidR="00FF412A">
          <w:rPr>
            <w:noProof/>
            <w:webHidden/>
          </w:rPr>
        </w:r>
        <w:r w:rsidR="00FF412A">
          <w:rPr>
            <w:noProof/>
            <w:webHidden/>
          </w:rPr>
          <w:fldChar w:fldCharType="separate"/>
        </w:r>
        <w:r w:rsidR="00FC7394">
          <w:rPr>
            <w:noProof/>
            <w:webHidden/>
          </w:rPr>
          <w:t>80</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49" w:history="1">
        <w:r w:rsidR="00BB3234" w:rsidRPr="00E57C47">
          <w:rPr>
            <w:rStyle w:val="Hyperlink"/>
            <w:noProof/>
            <w:lang w:val="fr-FR"/>
          </w:rPr>
          <w:t>Tabelul 3: Indicatori de rezultat specifici programului (pe obiectiv specific)</w:t>
        </w:r>
        <w:r w:rsidR="00BB3234">
          <w:rPr>
            <w:noProof/>
            <w:webHidden/>
          </w:rPr>
          <w:tab/>
        </w:r>
        <w:r w:rsidR="00FF412A">
          <w:rPr>
            <w:noProof/>
            <w:webHidden/>
          </w:rPr>
          <w:fldChar w:fldCharType="begin"/>
        </w:r>
        <w:r w:rsidR="00BB3234">
          <w:rPr>
            <w:noProof/>
            <w:webHidden/>
          </w:rPr>
          <w:instrText xml:space="preserve"> PAGEREF _Toc394837849 \h </w:instrText>
        </w:r>
        <w:r w:rsidR="00FF412A">
          <w:rPr>
            <w:noProof/>
            <w:webHidden/>
          </w:rPr>
        </w:r>
        <w:r w:rsidR="00FF412A">
          <w:rPr>
            <w:noProof/>
            <w:webHidden/>
          </w:rPr>
          <w:fldChar w:fldCharType="separate"/>
        </w:r>
        <w:r w:rsidR="00FC7394">
          <w:rPr>
            <w:noProof/>
            <w:webHidden/>
          </w:rPr>
          <w:t>81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50" w:history="1">
        <w:r w:rsidR="00BB3234" w:rsidRPr="00E57C47">
          <w:rPr>
            <w:rStyle w:val="Hyperlink"/>
            <w:noProof/>
            <w:lang w:val="fr-FR"/>
          </w:rPr>
          <w:t>2.A.6. Acțiunile care urmează să fie sprijinite în cadrul priorității de investiții (pe prioritate de investiții)</w:t>
        </w:r>
        <w:r w:rsidR="00BB3234">
          <w:rPr>
            <w:noProof/>
            <w:webHidden/>
          </w:rPr>
          <w:tab/>
        </w:r>
        <w:r w:rsidR="00FF412A">
          <w:rPr>
            <w:noProof/>
            <w:webHidden/>
          </w:rPr>
          <w:fldChar w:fldCharType="begin"/>
        </w:r>
        <w:r w:rsidR="00BB3234">
          <w:rPr>
            <w:noProof/>
            <w:webHidden/>
          </w:rPr>
          <w:instrText xml:space="preserve"> PAGEREF _Toc394837850 \h </w:instrText>
        </w:r>
        <w:r w:rsidR="00FF412A">
          <w:rPr>
            <w:noProof/>
            <w:webHidden/>
          </w:rPr>
        </w:r>
        <w:r w:rsidR="00FF412A">
          <w:rPr>
            <w:noProof/>
            <w:webHidden/>
          </w:rPr>
          <w:fldChar w:fldCharType="separate"/>
        </w:r>
        <w:r w:rsidR="00FC7394">
          <w:rPr>
            <w:noProof/>
            <w:webHidden/>
          </w:rPr>
          <w:t>82</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51" w:history="1">
        <w:r w:rsidR="00BB3234" w:rsidRPr="00E57C47">
          <w:rPr>
            <w:rStyle w:val="Hyperlink"/>
            <w:noProof/>
            <w:lang w:val="fr-FR"/>
          </w:rPr>
          <w:t>2.A.6.1. Descrierea tipului și exemple de acțiuni care urmează să fie sprijinite și contribuțiile preconizate la obiectivele specifice, inclusiv, după caz, identificarea principalelor grupuri țintă, a teritoriilor specifice vizate și a tipurilor de beneficiary</w:t>
        </w:r>
        <w:r w:rsidR="00BB3234">
          <w:rPr>
            <w:noProof/>
            <w:webHidden/>
          </w:rPr>
          <w:tab/>
        </w:r>
        <w:r w:rsidR="00FF412A">
          <w:rPr>
            <w:noProof/>
            <w:webHidden/>
          </w:rPr>
          <w:fldChar w:fldCharType="begin"/>
        </w:r>
        <w:r w:rsidR="00BB3234">
          <w:rPr>
            <w:noProof/>
            <w:webHidden/>
          </w:rPr>
          <w:instrText xml:space="preserve"> PAGEREF _Toc394837851 \h </w:instrText>
        </w:r>
        <w:r w:rsidR="00FF412A">
          <w:rPr>
            <w:noProof/>
            <w:webHidden/>
          </w:rPr>
        </w:r>
        <w:r w:rsidR="00FF412A">
          <w:rPr>
            <w:noProof/>
            <w:webHidden/>
          </w:rPr>
          <w:fldChar w:fldCharType="separate"/>
        </w:r>
        <w:r w:rsidR="00FC7394">
          <w:rPr>
            <w:noProof/>
            <w:webHidden/>
          </w:rPr>
          <w:t>82</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52" w:history="1">
        <w:r w:rsidR="00BB3234" w:rsidRPr="00E57C47">
          <w:rPr>
            <w:rStyle w:val="Hyperlink"/>
            <w:noProof/>
            <w:lang w:val="en-US"/>
          </w:rPr>
          <w:t>2.A.6.2. Principiile directoare pentru selectarea operațiunilor</w:t>
        </w:r>
        <w:r w:rsidR="00BB3234">
          <w:rPr>
            <w:noProof/>
            <w:webHidden/>
          </w:rPr>
          <w:tab/>
        </w:r>
        <w:r w:rsidR="00FF412A">
          <w:rPr>
            <w:noProof/>
            <w:webHidden/>
          </w:rPr>
          <w:fldChar w:fldCharType="begin"/>
        </w:r>
        <w:r w:rsidR="00BB3234">
          <w:rPr>
            <w:noProof/>
            <w:webHidden/>
          </w:rPr>
          <w:instrText xml:space="preserve"> PAGEREF _Toc394837852 \h </w:instrText>
        </w:r>
        <w:r w:rsidR="00FF412A">
          <w:rPr>
            <w:noProof/>
            <w:webHidden/>
          </w:rPr>
        </w:r>
        <w:r w:rsidR="00FF412A">
          <w:rPr>
            <w:noProof/>
            <w:webHidden/>
          </w:rPr>
          <w:fldChar w:fldCharType="separate"/>
        </w:r>
        <w:r w:rsidR="00FC7394">
          <w:rPr>
            <w:noProof/>
            <w:webHidden/>
          </w:rPr>
          <w:t>84</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53" w:history="1">
        <w:r w:rsidR="00BB3234" w:rsidRPr="00E57C47">
          <w:rPr>
            <w:rStyle w:val="Hyperlink"/>
            <w:noProof/>
            <w:lang w:val="ro-RO"/>
          </w:rPr>
          <w:t>2.A.6.3. Utilizarea planificată a instrumentelor financiare</w:t>
        </w:r>
        <w:r w:rsidR="00BB3234">
          <w:rPr>
            <w:noProof/>
            <w:webHidden/>
          </w:rPr>
          <w:tab/>
        </w:r>
        <w:r w:rsidR="00FF412A">
          <w:rPr>
            <w:noProof/>
            <w:webHidden/>
          </w:rPr>
          <w:fldChar w:fldCharType="begin"/>
        </w:r>
        <w:r w:rsidR="00BB3234">
          <w:rPr>
            <w:noProof/>
            <w:webHidden/>
          </w:rPr>
          <w:instrText xml:space="preserve"> PAGEREF _Toc394837853 \h </w:instrText>
        </w:r>
        <w:r w:rsidR="00FF412A">
          <w:rPr>
            <w:noProof/>
            <w:webHidden/>
          </w:rPr>
        </w:r>
        <w:r w:rsidR="00FF412A">
          <w:rPr>
            <w:noProof/>
            <w:webHidden/>
          </w:rPr>
          <w:fldChar w:fldCharType="separate"/>
        </w:r>
        <w:r w:rsidR="00FC7394">
          <w:rPr>
            <w:noProof/>
            <w:webHidden/>
          </w:rPr>
          <w:t>84</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54" w:history="1">
        <w:r w:rsidR="00BB3234" w:rsidRPr="00E57C47">
          <w:rPr>
            <w:rStyle w:val="Hyperlink"/>
            <w:noProof/>
            <w:lang w:val="ro-RO"/>
          </w:rPr>
          <w:t>2.A.6.4. Utilizarea planificată a proiectelor majore</w:t>
        </w:r>
        <w:r w:rsidR="00BB3234">
          <w:rPr>
            <w:noProof/>
            <w:webHidden/>
          </w:rPr>
          <w:tab/>
        </w:r>
        <w:r w:rsidR="00FF412A">
          <w:rPr>
            <w:noProof/>
            <w:webHidden/>
          </w:rPr>
          <w:fldChar w:fldCharType="begin"/>
        </w:r>
        <w:r w:rsidR="00BB3234">
          <w:rPr>
            <w:noProof/>
            <w:webHidden/>
          </w:rPr>
          <w:instrText xml:space="preserve"> PAGEREF _Toc394837854 \h </w:instrText>
        </w:r>
        <w:r w:rsidR="00FF412A">
          <w:rPr>
            <w:noProof/>
            <w:webHidden/>
          </w:rPr>
        </w:r>
        <w:r w:rsidR="00FF412A">
          <w:rPr>
            <w:noProof/>
            <w:webHidden/>
          </w:rPr>
          <w:fldChar w:fldCharType="separate"/>
        </w:r>
        <w:r w:rsidR="00FC7394">
          <w:rPr>
            <w:noProof/>
            <w:webHidden/>
          </w:rPr>
          <w:t>84</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55" w:history="1">
        <w:r w:rsidR="00BB3234" w:rsidRPr="00E57C47">
          <w:rPr>
            <w:rStyle w:val="Hyperlink"/>
            <w:noProof/>
            <w:lang w:val="ro-RO"/>
          </w:rPr>
          <w:t>2.A.6.5. Indicatori de realizare (pe prioritate de investiții)</w:t>
        </w:r>
        <w:r w:rsidR="00BB3234">
          <w:rPr>
            <w:noProof/>
            <w:webHidden/>
          </w:rPr>
          <w:tab/>
        </w:r>
        <w:r w:rsidR="00FF412A">
          <w:rPr>
            <w:noProof/>
            <w:webHidden/>
          </w:rPr>
          <w:fldChar w:fldCharType="begin"/>
        </w:r>
        <w:r w:rsidR="00BB3234">
          <w:rPr>
            <w:noProof/>
            <w:webHidden/>
          </w:rPr>
          <w:instrText xml:space="preserve"> PAGEREF _Toc394837855 \h </w:instrText>
        </w:r>
        <w:r w:rsidR="00FF412A">
          <w:rPr>
            <w:noProof/>
            <w:webHidden/>
          </w:rPr>
        </w:r>
        <w:r w:rsidR="00FF412A">
          <w:rPr>
            <w:noProof/>
            <w:webHidden/>
          </w:rPr>
          <w:fldChar w:fldCharType="separate"/>
        </w:r>
        <w:r w:rsidR="00FC7394">
          <w:rPr>
            <w:noProof/>
            <w:webHidden/>
          </w:rPr>
          <w:t>84</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56" w:history="1">
        <w:r w:rsidR="00BB3234" w:rsidRPr="00E57C47">
          <w:rPr>
            <w:rStyle w:val="Hyperlink"/>
            <w:noProof/>
            <w:lang w:val="fr-FR"/>
          </w:rPr>
          <w:t>Tabelul 4: Indicatori de realizare comuni și specifici programului</w:t>
        </w:r>
        <w:r w:rsidR="00BB3234">
          <w:rPr>
            <w:noProof/>
            <w:webHidden/>
          </w:rPr>
          <w:tab/>
        </w:r>
        <w:r w:rsidR="00FF412A">
          <w:rPr>
            <w:noProof/>
            <w:webHidden/>
          </w:rPr>
          <w:fldChar w:fldCharType="begin"/>
        </w:r>
        <w:r w:rsidR="00BB3234">
          <w:rPr>
            <w:noProof/>
            <w:webHidden/>
          </w:rPr>
          <w:instrText xml:space="preserve"> PAGEREF _Toc394837856 \h </w:instrText>
        </w:r>
        <w:r w:rsidR="00FF412A">
          <w:rPr>
            <w:noProof/>
            <w:webHidden/>
          </w:rPr>
        </w:r>
        <w:r w:rsidR="00FF412A">
          <w:rPr>
            <w:noProof/>
            <w:webHidden/>
          </w:rPr>
          <w:fldChar w:fldCharType="separate"/>
        </w:r>
        <w:r w:rsidR="00FC7394">
          <w:rPr>
            <w:noProof/>
            <w:webHidden/>
          </w:rPr>
          <w:t>85</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57" w:history="1">
        <w:r w:rsidR="00BB3234" w:rsidRPr="00E57C47">
          <w:rPr>
            <w:rStyle w:val="Hyperlink"/>
            <w:noProof/>
            <w:lang w:val="en-US"/>
          </w:rPr>
          <w:t>2.A.7. Cadrul de performanță</w:t>
        </w:r>
        <w:r w:rsidR="00BB3234">
          <w:rPr>
            <w:noProof/>
            <w:webHidden/>
          </w:rPr>
          <w:tab/>
        </w:r>
        <w:r w:rsidR="00FF412A">
          <w:rPr>
            <w:noProof/>
            <w:webHidden/>
          </w:rPr>
          <w:fldChar w:fldCharType="begin"/>
        </w:r>
        <w:r w:rsidR="00BB3234">
          <w:rPr>
            <w:noProof/>
            <w:webHidden/>
          </w:rPr>
          <w:instrText xml:space="preserve"> PAGEREF _Toc394837857 \h </w:instrText>
        </w:r>
        <w:r w:rsidR="00FF412A">
          <w:rPr>
            <w:noProof/>
            <w:webHidden/>
          </w:rPr>
        </w:r>
        <w:r w:rsidR="00FF412A">
          <w:rPr>
            <w:noProof/>
            <w:webHidden/>
          </w:rPr>
          <w:fldChar w:fldCharType="separate"/>
        </w:r>
        <w:r w:rsidR="00FC7394">
          <w:rPr>
            <w:noProof/>
            <w:webHidden/>
          </w:rPr>
          <w:t>86</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58" w:history="1">
        <w:r w:rsidR="00BB3234" w:rsidRPr="00E57C47">
          <w:rPr>
            <w:rStyle w:val="Hyperlink"/>
            <w:noProof/>
            <w:lang w:val="fr-FR"/>
          </w:rPr>
          <w:t>Tabelul 5: Cadrul de performanță al axei prioritare 5 – O regiune eficientă</w:t>
        </w:r>
        <w:r w:rsidR="00BB3234">
          <w:rPr>
            <w:noProof/>
            <w:webHidden/>
          </w:rPr>
          <w:tab/>
        </w:r>
        <w:r w:rsidR="00FF412A">
          <w:rPr>
            <w:noProof/>
            <w:webHidden/>
          </w:rPr>
          <w:fldChar w:fldCharType="begin"/>
        </w:r>
        <w:r w:rsidR="00BB3234">
          <w:rPr>
            <w:noProof/>
            <w:webHidden/>
          </w:rPr>
          <w:instrText xml:space="preserve"> PAGEREF _Toc394837858 \h </w:instrText>
        </w:r>
        <w:r w:rsidR="00FF412A">
          <w:rPr>
            <w:noProof/>
            <w:webHidden/>
          </w:rPr>
        </w:r>
        <w:r w:rsidR="00FF412A">
          <w:rPr>
            <w:noProof/>
            <w:webHidden/>
          </w:rPr>
          <w:fldChar w:fldCharType="separate"/>
        </w:r>
        <w:r w:rsidR="00FC7394">
          <w:rPr>
            <w:noProof/>
            <w:webHidden/>
          </w:rPr>
          <w:t>86</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59" w:history="1">
        <w:r w:rsidR="00BB3234" w:rsidRPr="00E57C47">
          <w:rPr>
            <w:rStyle w:val="Hyperlink"/>
            <w:noProof/>
            <w:lang w:val="en-US"/>
          </w:rPr>
          <w:t>2.A.8. Categoriile de intervenție</w:t>
        </w:r>
        <w:r w:rsidR="00BB3234">
          <w:rPr>
            <w:noProof/>
            <w:webHidden/>
          </w:rPr>
          <w:tab/>
        </w:r>
        <w:r w:rsidR="00FF412A">
          <w:rPr>
            <w:noProof/>
            <w:webHidden/>
          </w:rPr>
          <w:fldChar w:fldCharType="begin"/>
        </w:r>
        <w:r w:rsidR="00BB3234">
          <w:rPr>
            <w:noProof/>
            <w:webHidden/>
          </w:rPr>
          <w:instrText xml:space="preserve"> PAGEREF _Toc394837859 \h </w:instrText>
        </w:r>
        <w:r w:rsidR="00FF412A">
          <w:rPr>
            <w:noProof/>
            <w:webHidden/>
          </w:rPr>
        </w:r>
        <w:r w:rsidR="00FF412A">
          <w:rPr>
            <w:noProof/>
            <w:webHidden/>
          </w:rPr>
          <w:fldChar w:fldCharType="separate"/>
        </w:r>
        <w:r w:rsidR="00FC7394">
          <w:rPr>
            <w:noProof/>
            <w:webHidden/>
          </w:rPr>
          <w:t>87</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60" w:history="1">
        <w:r w:rsidR="00BB3234" w:rsidRPr="00E57C47">
          <w:rPr>
            <w:rStyle w:val="Hyperlink"/>
            <w:noProof/>
            <w:lang w:val="fr-FR" w:eastAsia="fr-FR"/>
          </w:rPr>
          <w:t>Tabelul 6: Dimensiunea 1 Domeniul de intervenție</w:t>
        </w:r>
        <w:r w:rsidR="00BB3234">
          <w:rPr>
            <w:noProof/>
            <w:webHidden/>
          </w:rPr>
          <w:tab/>
        </w:r>
        <w:r w:rsidR="00FF412A">
          <w:rPr>
            <w:noProof/>
            <w:webHidden/>
          </w:rPr>
          <w:fldChar w:fldCharType="begin"/>
        </w:r>
        <w:r w:rsidR="00BB3234">
          <w:rPr>
            <w:noProof/>
            <w:webHidden/>
          </w:rPr>
          <w:instrText xml:space="preserve"> PAGEREF _Toc394837860 \h </w:instrText>
        </w:r>
        <w:r w:rsidR="00FF412A">
          <w:rPr>
            <w:noProof/>
            <w:webHidden/>
          </w:rPr>
        </w:r>
        <w:r w:rsidR="00FF412A">
          <w:rPr>
            <w:noProof/>
            <w:webHidden/>
          </w:rPr>
          <w:fldChar w:fldCharType="separate"/>
        </w:r>
        <w:r w:rsidR="00FC7394">
          <w:rPr>
            <w:noProof/>
            <w:webHidden/>
          </w:rPr>
          <w:t>87</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61" w:history="1">
        <w:r w:rsidR="00BB3234" w:rsidRPr="00E57C47">
          <w:rPr>
            <w:rStyle w:val="Hyperlink"/>
            <w:noProof/>
            <w:lang w:val="fr-FR"/>
          </w:rPr>
          <w:t>Tabelul 7: Dimensiunea 2 Forma de finanțare</w:t>
        </w:r>
        <w:r w:rsidR="00BB3234">
          <w:rPr>
            <w:noProof/>
            <w:webHidden/>
          </w:rPr>
          <w:tab/>
        </w:r>
        <w:r w:rsidR="00FF412A">
          <w:rPr>
            <w:noProof/>
            <w:webHidden/>
          </w:rPr>
          <w:fldChar w:fldCharType="begin"/>
        </w:r>
        <w:r w:rsidR="00BB3234">
          <w:rPr>
            <w:noProof/>
            <w:webHidden/>
          </w:rPr>
          <w:instrText xml:space="preserve"> PAGEREF _Toc394837861 \h </w:instrText>
        </w:r>
        <w:r w:rsidR="00FF412A">
          <w:rPr>
            <w:noProof/>
            <w:webHidden/>
          </w:rPr>
        </w:r>
        <w:r w:rsidR="00FF412A">
          <w:rPr>
            <w:noProof/>
            <w:webHidden/>
          </w:rPr>
          <w:fldChar w:fldCharType="separate"/>
        </w:r>
        <w:r w:rsidR="00FC7394">
          <w:rPr>
            <w:noProof/>
            <w:webHidden/>
          </w:rPr>
          <w:t>88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62" w:history="1">
        <w:r w:rsidR="00BB3234" w:rsidRPr="00E57C47">
          <w:rPr>
            <w:rStyle w:val="Hyperlink"/>
            <w:noProof/>
            <w:lang w:val="fr-FR"/>
          </w:rPr>
          <w:t>Tabelul 8: Dimensiunea 3 Tipul de teritoriu</w:t>
        </w:r>
        <w:r w:rsidR="00BB3234">
          <w:rPr>
            <w:noProof/>
            <w:webHidden/>
          </w:rPr>
          <w:tab/>
        </w:r>
        <w:r w:rsidR="00FF412A">
          <w:rPr>
            <w:noProof/>
            <w:webHidden/>
          </w:rPr>
          <w:fldChar w:fldCharType="begin"/>
        </w:r>
        <w:r w:rsidR="00BB3234">
          <w:rPr>
            <w:noProof/>
            <w:webHidden/>
          </w:rPr>
          <w:instrText xml:space="preserve"> PAGEREF _Toc394837862 \h </w:instrText>
        </w:r>
        <w:r w:rsidR="00FF412A">
          <w:rPr>
            <w:noProof/>
            <w:webHidden/>
          </w:rPr>
        </w:r>
        <w:r w:rsidR="00FF412A">
          <w:rPr>
            <w:noProof/>
            <w:webHidden/>
          </w:rPr>
          <w:fldChar w:fldCharType="separate"/>
        </w:r>
        <w:r w:rsidR="00FC7394">
          <w:rPr>
            <w:noProof/>
            <w:webHidden/>
          </w:rPr>
          <w:t>88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63" w:history="1">
        <w:r w:rsidR="00BB3234" w:rsidRPr="00E57C47">
          <w:rPr>
            <w:rStyle w:val="Hyperlink"/>
            <w:noProof/>
            <w:lang w:val="fr-FR"/>
          </w:rPr>
          <w:t>Tabelul 9: Dimensiunea 6 Mecanismele teritoriale de furnizare</w:t>
        </w:r>
        <w:r w:rsidR="00BB3234">
          <w:rPr>
            <w:noProof/>
            <w:webHidden/>
          </w:rPr>
          <w:tab/>
        </w:r>
        <w:r w:rsidR="00FF412A">
          <w:rPr>
            <w:noProof/>
            <w:webHidden/>
          </w:rPr>
          <w:fldChar w:fldCharType="begin"/>
        </w:r>
        <w:r w:rsidR="00BB3234">
          <w:rPr>
            <w:noProof/>
            <w:webHidden/>
          </w:rPr>
          <w:instrText xml:space="preserve"> PAGEREF _Toc394837863 \h </w:instrText>
        </w:r>
        <w:r w:rsidR="00FF412A">
          <w:rPr>
            <w:noProof/>
            <w:webHidden/>
          </w:rPr>
        </w:r>
        <w:r w:rsidR="00FF412A">
          <w:rPr>
            <w:noProof/>
            <w:webHidden/>
          </w:rPr>
          <w:fldChar w:fldCharType="separate"/>
        </w:r>
        <w:r w:rsidR="00FC7394">
          <w:rPr>
            <w:noProof/>
            <w:webHidden/>
          </w:rPr>
          <w:t>88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64" w:history="1">
        <w:r w:rsidR="00BB3234" w:rsidRPr="00E57C47">
          <w:rPr>
            <w:rStyle w:val="Hyperlink"/>
            <w:noProof/>
            <w:lang w:val="en-US"/>
          </w:rPr>
          <w:t xml:space="preserve">2.A.9. Dacă este cazul, un rezumat al utilizării planificate pentru asistența tehnică, inclusiv acțiunile de consolidare a capacității administrative a autorităților implicate în managementul și controlul programelor și beneficiarilor și, dacă este necesar, acțiunile de sporire a capacității </w:t>
        </w:r>
        <w:r w:rsidR="00BB3234" w:rsidRPr="00E57C47">
          <w:rPr>
            <w:rStyle w:val="Hyperlink"/>
            <w:noProof/>
            <w:lang w:val="en-US"/>
          </w:rPr>
          <w:lastRenderedPageBreak/>
          <w:t>administrative a partenerilor relevanți care participă la implementarea programelor (după caz)</w:t>
        </w:r>
        <w:r w:rsidR="00BB3234">
          <w:rPr>
            <w:noProof/>
            <w:webHidden/>
          </w:rPr>
          <w:tab/>
        </w:r>
        <w:r w:rsidR="00FF412A">
          <w:rPr>
            <w:noProof/>
            <w:webHidden/>
          </w:rPr>
          <w:fldChar w:fldCharType="begin"/>
        </w:r>
        <w:r w:rsidR="00BB3234">
          <w:rPr>
            <w:noProof/>
            <w:webHidden/>
          </w:rPr>
          <w:instrText xml:space="preserve"> PAGEREF _Toc394837864 \h </w:instrText>
        </w:r>
        <w:r w:rsidR="00FF412A">
          <w:rPr>
            <w:noProof/>
            <w:webHidden/>
          </w:rPr>
        </w:r>
        <w:r w:rsidR="00FF412A">
          <w:rPr>
            <w:noProof/>
            <w:webHidden/>
          </w:rPr>
          <w:fldChar w:fldCharType="separate"/>
        </w:r>
        <w:r w:rsidR="00FC7394">
          <w:rPr>
            <w:noProof/>
            <w:webHidden/>
          </w:rPr>
          <w:t>88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65" w:history="1">
        <w:r w:rsidR="00BB3234" w:rsidRPr="00E57C47">
          <w:rPr>
            <w:rStyle w:val="Hyperlink"/>
            <w:noProof/>
            <w:lang w:val="fr-FR"/>
          </w:rPr>
          <w:t>2.B. Descriere a axelor prioritare pentru asistența tehnică</w:t>
        </w:r>
        <w:r w:rsidR="00BB3234">
          <w:rPr>
            <w:noProof/>
            <w:webHidden/>
          </w:rPr>
          <w:tab/>
        </w:r>
        <w:r w:rsidR="00FF412A">
          <w:rPr>
            <w:noProof/>
            <w:webHidden/>
          </w:rPr>
          <w:fldChar w:fldCharType="begin"/>
        </w:r>
        <w:r w:rsidR="00BB3234">
          <w:rPr>
            <w:noProof/>
            <w:webHidden/>
          </w:rPr>
          <w:instrText xml:space="preserve"> PAGEREF _Toc394837865 \h </w:instrText>
        </w:r>
        <w:r w:rsidR="00FF412A">
          <w:rPr>
            <w:noProof/>
            <w:webHidden/>
          </w:rPr>
        </w:r>
        <w:r w:rsidR="00FF412A">
          <w:rPr>
            <w:noProof/>
            <w:webHidden/>
          </w:rPr>
          <w:fldChar w:fldCharType="separate"/>
        </w:r>
        <w:r w:rsidR="00FC7394">
          <w:rPr>
            <w:noProof/>
            <w:webHidden/>
          </w:rPr>
          <w:t>88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66" w:history="1">
        <w:r w:rsidR="00BB3234" w:rsidRPr="00E57C47">
          <w:rPr>
            <w:rStyle w:val="Hyperlink"/>
            <w:noProof/>
            <w:lang w:val="en-US"/>
          </w:rPr>
          <w:t>2.B.1. Axa prioritară</w:t>
        </w:r>
        <w:r w:rsidR="00BB3234">
          <w:rPr>
            <w:noProof/>
            <w:webHidden/>
          </w:rPr>
          <w:tab/>
        </w:r>
        <w:r w:rsidR="00FF412A">
          <w:rPr>
            <w:noProof/>
            <w:webHidden/>
          </w:rPr>
          <w:fldChar w:fldCharType="begin"/>
        </w:r>
        <w:r w:rsidR="00BB3234">
          <w:rPr>
            <w:noProof/>
            <w:webHidden/>
          </w:rPr>
          <w:instrText xml:space="preserve"> PAGEREF _Toc394837866 \h </w:instrText>
        </w:r>
        <w:r w:rsidR="00FF412A">
          <w:rPr>
            <w:noProof/>
            <w:webHidden/>
          </w:rPr>
        </w:r>
        <w:r w:rsidR="00FF412A">
          <w:rPr>
            <w:noProof/>
            <w:webHidden/>
          </w:rPr>
          <w:fldChar w:fldCharType="separate"/>
        </w:r>
        <w:r w:rsidR="00FC7394">
          <w:rPr>
            <w:noProof/>
            <w:webHidden/>
          </w:rPr>
          <w:t>88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67" w:history="1">
        <w:r w:rsidR="00BB3234" w:rsidRPr="00E57C47">
          <w:rPr>
            <w:rStyle w:val="Hyperlink"/>
            <w:noProof/>
            <w:lang w:val="fr-FR"/>
          </w:rPr>
          <w:t>2.B.2. Fondul și baza de calcul pentru sprijinul Uniunii</w:t>
        </w:r>
        <w:r w:rsidR="00BB3234">
          <w:rPr>
            <w:noProof/>
            <w:webHidden/>
          </w:rPr>
          <w:tab/>
        </w:r>
        <w:r w:rsidR="00FF412A">
          <w:rPr>
            <w:noProof/>
            <w:webHidden/>
          </w:rPr>
          <w:fldChar w:fldCharType="begin"/>
        </w:r>
        <w:r w:rsidR="00BB3234">
          <w:rPr>
            <w:noProof/>
            <w:webHidden/>
          </w:rPr>
          <w:instrText xml:space="preserve"> PAGEREF _Toc394837867 \h </w:instrText>
        </w:r>
        <w:r w:rsidR="00FF412A">
          <w:rPr>
            <w:noProof/>
            <w:webHidden/>
          </w:rPr>
        </w:r>
        <w:r w:rsidR="00FF412A">
          <w:rPr>
            <w:noProof/>
            <w:webHidden/>
          </w:rPr>
          <w:fldChar w:fldCharType="separate"/>
        </w:r>
        <w:r w:rsidR="00FC7394">
          <w:rPr>
            <w:noProof/>
            <w:webHidden/>
          </w:rPr>
          <w:t>89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68" w:history="1">
        <w:r w:rsidR="00BB3234" w:rsidRPr="00E57C47">
          <w:rPr>
            <w:rStyle w:val="Hyperlink"/>
            <w:noProof/>
            <w:lang w:val="en-US"/>
          </w:rPr>
          <w:t>2.B.3. Obiective specifice și rezultatele preconizate</w:t>
        </w:r>
        <w:r w:rsidR="00BB3234">
          <w:rPr>
            <w:noProof/>
            <w:webHidden/>
          </w:rPr>
          <w:tab/>
        </w:r>
        <w:r w:rsidR="00FF412A">
          <w:rPr>
            <w:noProof/>
            <w:webHidden/>
          </w:rPr>
          <w:fldChar w:fldCharType="begin"/>
        </w:r>
        <w:r w:rsidR="00BB3234">
          <w:rPr>
            <w:noProof/>
            <w:webHidden/>
          </w:rPr>
          <w:instrText xml:space="preserve"> PAGEREF _Toc394837868 \h </w:instrText>
        </w:r>
        <w:r w:rsidR="00FF412A">
          <w:rPr>
            <w:noProof/>
            <w:webHidden/>
          </w:rPr>
        </w:r>
        <w:r w:rsidR="00FF412A">
          <w:rPr>
            <w:noProof/>
            <w:webHidden/>
          </w:rPr>
          <w:fldChar w:fldCharType="separate"/>
        </w:r>
        <w:r w:rsidR="00FC7394">
          <w:rPr>
            <w:noProof/>
            <w:webHidden/>
          </w:rPr>
          <w:t>89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69" w:history="1">
        <w:r w:rsidR="00BB3234" w:rsidRPr="00E57C47">
          <w:rPr>
            <w:rStyle w:val="Hyperlink"/>
            <w:noProof/>
            <w:lang w:val="fr-FR"/>
          </w:rPr>
          <w:t>2.B.4. Indicatori de rezultat</w:t>
        </w:r>
        <w:r w:rsidR="00BB3234">
          <w:rPr>
            <w:noProof/>
            <w:webHidden/>
          </w:rPr>
          <w:tab/>
        </w:r>
        <w:r w:rsidR="00FF412A">
          <w:rPr>
            <w:noProof/>
            <w:webHidden/>
          </w:rPr>
          <w:fldChar w:fldCharType="begin"/>
        </w:r>
        <w:r w:rsidR="00BB3234">
          <w:rPr>
            <w:noProof/>
            <w:webHidden/>
          </w:rPr>
          <w:instrText xml:space="preserve"> PAGEREF _Toc394837869 \h </w:instrText>
        </w:r>
        <w:r w:rsidR="00FF412A">
          <w:rPr>
            <w:noProof/>
            <w:webHidden/>
          </w:rPr>
        </w:r>
        <w:r w:rsidR="00FF412A">
          <w:rPr>
            <w:noProof/>
            <w:webHidden/>
          </w:rPr>
          <w:fldChar w:fldCharType="separate"/>
        </w:r>
        <w:r w:rsidR="00FC7394">
          <w:rPr>
            <w:noProof/>
            <w:webHidden/>
          </w:rPr>
          <w:t>89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70" w:history="1">
        <w:r w:rsidR="00BB3234" w:rsidRPr="00E57C47">
          <w:rPr>
            <w:rStyle w:val="Hyperlink"/>
            <w:noProof/>
            <w:lang w:val="fr-FR"/>
          </w:rPr>
          <w:t>2.B.5. Acțiunile care urmează să fie sprijinite și contribuția lor preconizată la obiectivele specifice (pe axă prioritară)</w:t>
        </w:r>
        <w:r w:rsidR="00BB3234">
          <w:rPr>
            <w:noProof/>
            <w:webHidden/>
          </w:rPr>
          <w:tab/>
        </w:r>
        <w:r w:rsidR="00FF412A">
          <w:rPr>
            <w:noProof/>
            <w:webHidden/>
          </w:rPr>
          <w:fldChar w:fldCharType="begin"/>
        </w:r>
        <w:r w:rsidR="00BB3234">
          <w:rPr>
            <w:noProof/>
            <w:webHidden/>
          </w:rPr>
          <w:instrText xml:space="preserve"> PAGEREF _Toc394837870 \h </w:instrText>
        </w:r>
        <w:r w:rsidR="00FF412A">
          <w:rPr>
            <w:noProof/>
            <w:webHidden/>
          </w:rPr>
        </w:r>
        <w:r w:rsidR="00FF412A">
          <w:rPr>
            <w:noProof/>
            <w:webHidden/>
          </w:rPr>
          <w:fldChar w:fldCharType="separate"/>
        </w:r>
        <w:r w:rsidR="00FC7394">
          <w:rPr>
            <w:noProof/>
            <w:webHidden/>
          </w:rPr>
          <w:t>89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71" w:history="1">
        <w:r w:rsidR="00BB3234" w:rsidRPr="00E57C47">
          <w:rPr>
            <w:rStyle w:val="Hyperlink"/>
            <w:noProof/>
            <w:lang w:val="fr-FR"/>
          </w:rPr>
          <w:t>2.B.5.1. Descrierea acțiunilor care urmează să fie sprijinite și contribuția anticipată a acestora la obiectivele specifice</w:t>
        </w:r>
        <w:r w:rsidR="00BB3234">
          <w:rPr>
            <w:noProof/>
            <w:webHidden/>
          </w:rPr>
          <w:tab/>
        </w:r>
        <w:r w:rsidR="00FF412A">
          <w:rPr>
            <w:noProof/>
            <w:webHidden/>
          </w:rPr>
          <w:fldChar w:fldCharType="begin"/>
        </w:r>
        <w:r w:rsidR="00BB3234">
          <w:rPr>
            <w:noProof/>
            <w:webHidden/>
          </w:rPr>
          <w:instrText xml:space="preserve"> PAGEREF _Toc394837871 \h </w:instrText>
        </w:r>
        <w:r w:rsidR="00FF412A">
          <w:rPr>
            <w:noProof/>
            <w:webHidden/>
          </w:rPr>
        </w:r>
        <w:r w:rsidR="00FF412A">
          <w:rPr>
            <w:noProof/>
            <w:webHidden/>
          </w:rPr>
          <w:fldChar w:fldCharType="separate"/>
        </w:r>
        <w:r w:rsidR="00FC7394">
          <w:rPr>
            <w:noProof/>
            <w:webHidden/>
          </w:rPr>
          <w:t>89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72" w:history="1">
        <w:r w:rsidR="00BB3234" w:rsidRPr="00E57C47">
          <w:rPr>
            <w:rStyle w:val="Hyperlink"/>
            <w:noProof/>
            <w:lang w:val="fr-FR"/>
          </w:rPr>
          <w:t>2.B.5.2Indicatorii de realizare a căror contribuție la rezultate este anticipată (pe axă prioritară)</w:t>
        </w:r>
        <w:r w:rsidR="00BB3234">
          <w:rPr>
            <w:noProof/>
            <w:webHidden/>
          </w:rPr>
          <w:tab/>
        </w:r>
        <w:r w:rsidR="00FF412A">
          <w:rPr>
            <w:noProof/>
            <w:webHidden/>
          </w:rPr>
          <w:fldChar w:fldCharType="begin"/>
        </w:r>
        <w:r w:rsidR="00BB3234">
          <w:rPr>
            <w:noProof/>
            <w:webHidden/>
          </w:rPr>
          <w:instrText xml:space="preserve"> PAGEREF _Toc394837872 \h </w:instrText>
        </w:r>
        <w:r w:rsidR="00FF412A">
          <w:rPr>
            <w:noProof/>
            <w:webHidden/>
          </w:rPr>
        </w:r>
        <w:r w:rsidR="00FF412A">
          <w:rPr>
            <w:noProof/>
            <w:webHidden/>
          </w:rPr>
          <w:fldChar w:fldCharType="separate"/>
        </w:r>
        <w:r w:rsidR="00FC7394">
          <w:rPr>
            <w:noProof/>
            <w:webHidden/>
          </w:rPr>
          <w:t>91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73" w:history="1">
        <w:r w:rsidR="00BB3234" w:rsidRPr="00E57C47">
          <w:rPr>
            <w:rStyle w:val="Hyperlink"/>
            <w:noProof/>
            <w:lang w:val="en-US"/>
          </w:rPr>
          <w:t>Tabelul 11: Indicatorii de realizare</w:t>
        </w:r>
        <w:r w:rsidR="00BB3234">
          <w:rPr>
            <w:noProof/>
            <w:webHidden/>
          </w:rPr>
          <w:tab/>
        </w:r>
        <w:r w:rsidR="00FF412A">
          <w:rPr>
            <w:noProof/>
            <w:webHidden/>
          </w:rPr>
          <w:fldChar w:fldCharType="begin"/>
        </w:r>
        <w:r w:rsidR="00BB3234">
          <w:rPr>
            <w:noProof/>
            <w:webHidden/>
          </w:rPr>
          <w:instrText xml:space="preserve"> PAGEREF _Toc394837873 \h </w:instrText>
        </w:r>
        <w:r w:rsidR="00FF412A">
          <w:rPr>
            <w:noProof/>
            <w:webHidden/>
          </w:rPr>
        </w:r>
        <w:r w:rsidR="00FF412A">
          <w:rPr>
            <w:noProof/>
            <w:webHidden/>
          </w:rPr>
          <w:fldChar w:fldCharType="separate"/>
        </w:r>
        <w:r w:rsidR="00FC7394">
          <w:rPr>
            <w:noProof/>
            <w:webHidden/>
          </w:rPr>
          <w:t>91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74" w:history="1">
        <w:r w:rsidR="00BB3234" w:rsidRPr="00E57C47">
          <w:rPr>
            <w:rStyle w:val="Hyperlink"/>
            <w:noProof/>
            <w:lang w:val="en-US"/>
          </w:rPr>
          <w:t>2.B.6. Categoriile de intervenție</w:t>
        </w:r>
        <w:r w:rsidR="00BB3234">
          <w:rPr>
            <w:noProof/>
            <w:webHidden/>
          </w:rPr>
          <w:tab/>
        </w:r>
        <w:r w:rsidR="00FF412A">
          <w:rPr>
            <w:noProof/>
            <w:webHidden/>
          </w:rPr>
          <w:fldChar w:fldCharType="begin"/>
        </w:r>
        <w:r w:rsidR="00BB3234">
          <w:rPr>
            <w:noProof/>
            <w:webHidden/>
          </w:rPr>
          <w:instrText xml:space="preserve"> PAGEREF _Toc394837874 \h </w:instrText>
        </w:r>
        <w:r w:rsidR="00FF412A">
          <w:rPr>
            <w:noProof/>
            <w:webHidden/>
          </w:rPr>
        </w:r>
        <w:r w:rsidR="00FF412A">
          <w:rPr>
            <w:noProof/>
            <w:webHidden/>
          </w:rPr>
          <w:fldChar w:fldCharType="separate"/>
        </w:r>
        <w:r w:rsidR="00FC7394">
          <w:rPr>
            <w:noProof/>
            <w:webHidden/>
          </w:rPr>
          <w:t>91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75" w:history="1">
        <w:r w:rsidR="00BB3234" w:rsidRPr="00E57C47">
          <w:rPr>
            <w:rStyle w:val="Hyperlink"/>
            <w:noProof/>
            <w:lang w:val="en-US"/>
          </w:rPr>
          <w:t>Tabelele 12-14: Categoriile de intervenție</w:t>
        </w:r>
        <w:r w:rsidR="00BB3234">
          <w:rPr>
            <w:noProof/>
            <w:webHidden/>
          </w:rPr>
          <w:tab/>
        </w:r>
        <w:r w:rsidR="00FF412A">
          <w:rPr>
            <w:noProof/>
            <w:webHidden/>
          </w:rPr>
          <w:fldChar w:fldCharType="begin"/>
        </w:r>
        <w:r w:rsidR="00BB3234">
          <w:rPr>
            <w:noProof/>
            <w:webHidden/>
          </w:rPr>
          <w:instrText xml:space="preserve"> PAGEREF _Toc394837875 \h </w:instrText>
        </w:r>
        <w:r w:rsidR="00FF412A">
          <w:rPr>
            <w:noProof/>
            <w:webHidden/>
          </w:rPr>
        </w:r>
        <w:r w:rsidR="00FF412A">
          <w:rPr>
            <w:noProof/>
            <w:webHidden/>
          </w:rPr>
          <w:fldChar w:fldCharType="separate"/>
        </w:r>
        <w:r w:rsidR="00FC7394">
          <w:rPr>
            <w:noProof/>
            <w:webHidden/>
          </w:rPr>
          <w:t>91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76" w:history="1">
        <w:r w:rsidR="00BB3234" w:rsidRPr="00E57C47">
          <w:rPr>
            <w:rStyle w:val="Hyperlink"/>
            <w:noProof/>
            <w:lang w:val="fr-FR"/>
          </w:rPr>
          <w:t>Tabelul 12: Dimensiunea 1 Domeniul de intervenție</w:t>
        </w:r>
        <w:r w:rsidR="00BB3234">
          <w:rPr>
            <w:noProof/>
            <w:webHidden/>
          </w:rPr>
          <w:tab/>
        </w:r>
        <w:r w:rsidR="00FF412A">
          <w:rPr>
            <w:noProof/>
            <w:webHidden/>
          </w:rPr>
          <w:fldChar w:fldCharType="begin"/>
        </w:r>
        <w:r w:rsidR="00BB3234">
          <w:rPr>
            <w:noProof/>
            <w:webHidden/>
          </w:rPr>
          <w:instrText xml:space="preserve"> PAGEREF _Toc394837876 \h </w:instrText>
        </w:r>
        <w:r w:rsidR="00FF412A">
          <w:rPr>
            <w:noProof/>
            <w:webHidden/>
          </w:rPr>
        </w:r>
        <w:r w:rsidR="00FF412A">
          <w:rPr>
            <w:noProof/>
            <w:webHidden/>
          </w:rPr>
          <w:fldChar w:fldCharType="separate"/>
        </w:r>
        <w:r w:rsidR="00FC7394">
          <w:rPr>
            <w:noProof/>
            <w:webHidden/>
          </w:rPr>
          <w:t>91</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77" w:history="1">
        <w:r w:rsidR="00BB3234" w:rsidRPr="00E57C47">
          <w:rPr>
            <w:rStyle w:val="Hyperlink"/>
            <w:noProof/>
            <w:lang w:val="fr-FR"/>
          </w:rPr>
          <w:t>Tabelul 13: Dimensiunea 2 Forma de finanțare</w:t>
        </w:r>
        <w:r w:rsidR="00BB3234">
          <w:rPr>
            <w:noProof/>
            <w:webHidden/>
          </w:rPr>
          <w:tab/>
        </w:r>
        <w:r w:rsidR="00FF412A">
          <w:rPr>
            <w:noProof/>
            <w:webHidden/>
          </w:rPr>
          <w:fldChar w:fldCharType="begin"/>
        </w:r>
        <w:r w:rsidR="00BB3234">
          <w:rPr>
            <w:noProof/>
            <w:webHidden/>
          </w:rPr>
          <w:instrText xml:space="preserve"> PAGEREF _Toc394837877 \h </w:instrText>
        </w:r>
        <w:r w:rsidR="00FF412A">
          <w:rPr>
            <w:noProof/>
            <w:webHidden/>
          </w:rPr>
        </w:r>
        <w:r w:rsidR="00FF412A">
          <w:rPr>
            <w:noProof/>
            <w:webHidden/>
          </w:rPr>
          <w:fldChar w:fldCharType="separate"/>
        </w:r>
        <w:r w:rsidR="00FC7394">
          <w:rPr>
            <w:noProof/>
            <w:webHidden/>
          </w:rPr>
          <w:t>92</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78" w:history="1">
        <w:r w:rsidR="00BB3234" w:rsidRPr="00E57C47">
          <w:rPr>
            <w:rStyle w:val="Hyperlink"/>
            <w:noProof/>
            <w:lang w:val="fr-FR"/>
          </w:rPr>
          <w:t>Tabelul 14: Dimensiunea 3 Tipul de teritoriu</w:t>
        </w:r>
        <w:r w:rsidR="00BB3234">
          <w:rPr>
            <w:noProof/>
            <w:webHidden/>
          </w:rPr>
          <w:tab/>
        </w:r>
        <w:r w:rsidR="00FF412A">
          <w:rPr>
            <w:noProof/>
            <w:webHidden/>
          </w:rPr>
          <w:fldChar w:fldCharType="begin"/>
        </w:r>
        <w:r w:rsidR="00BB3234">
          <w:rPr>
            <w:noProof/>
            <w:webHidden/>
          </w:rPr>
          <w:instrText xml:space="preserve"> PAGEREF _Toc394837878 \h </w:instrText>
        </w:r>
        <w:r w:rsidR="00FF412A">
          <w:rPr>
            <w:noProof/>
            <w:webHidden/>
          </w:rPr>
        </w:r>
        <w:r w:rsidR="00FF412A">
          <w:rPr>
            <w:noProof/>
            <w:webHidden/>
          </w:rPr>
          <w:fldChar w:fldCharType="separate"/>
        </w:r>
        <w:r w:rsidR="00FC7394">
          <w:rPr>
            <w:noProof/>
            <w:webHidden/>
          </w:rPr>
          <w:t>92</w:t>
        </w:r>
        <w:r w:rsidR="00FF412A">
          <w:rPr>
            <w:noProof/>
            <w:webHidden/>
          </w:rPr>
          <w:fldChar w:fldCharType="end"/>
        </w:r>
      </w:hyperlink>
    </w:p>
    <w:p w:rsidR="00BB3234" w:rsidRDefault="006D5DA0">
      <w:pPr>
        <w:pStyle w:val="TOC1"/>
        <w:tabs>
          <w:tab w:val="right" w:leader="dot" w:pos="9350"/>
        </w:tabs>
        <w:rPr>
          <w:rFonts w:asciiTheme="minorHAnsi" w:eastAsiaTheme="minorEastAsia" w:hAnsiTheme="minorHAnsi" w:cstheme="minorBidi"/>
          <w:noProof/>
          <w:sz w:val="22"/>
          <w:szCs w:val="22"/>
          <w:lang w:val="fr-FR" w:eastAsia="fr-FR"/>
        </w:rPr>
      </w:pPr>
      <w:hyperlink w:anchor="_Toc394837879" w:history="1">
        <w:r w:rsidR="00BB3234" w:rsidRPr="00E57C47">
          <w:rPr>
            <w:rStyle w:val="Hyperlink"/>
            <w:noProof/>
          </w:rPr>
          <w:t>Secțiunea 3.  Plan de finanțare</w:t>
        </w:r>
        <w:r w:rsidR="00BB3234">
          <w:rPr>
            <w:noProof/>
            <w:webHidden/>
          </w:rPr>
          <w:tab/>
        </w:r>
        <w:r w:rsidR="00FF412A">
          <w:rPr>
            <w:noProof/>
            <w:webHidden/>
          </w:rPr>
          <w:fldChar w:fldCharType="begin"/>
        </w:r>
        <w:r w:rsidR="00BB3234">
          <w:rPr>
            <w:noProof/>
            <w:webHidden/>
          </w:rPr>
          <w:instrText xml:space="preserve"> PAGEREF _Toc394837879 \h </w:instrText>
        </w:r>
        <w:r w:rsidR="00FF412A">
          <w:rPr>
            <w:noProof/>
            <w:webHidden/>
          </w:rPr>
        </w:r>
        <w:r w:rsidR="00FF412A">
          <w:rPr>
            <w:noProof/>
            <w:webHidden/>
          </w:rPr>
          <w:fldChar w:fldCharType="separate"/>
        </w:r>
        <w:r w:rsidR="00FC7394">
          <w:rPr>
            <w:noProof/>
            <w:webHidden/>
          </w:rPr>
          <w:t>93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80" w:history="1">
        <w:r w:rsidR="00BB3234" w:rsidRPr="00E57C47">
          <w:rPr>
            <w:rStyle w:val="Hyperlink"/>
            <w:noProof/>
            <w:lang w:val="fr-FR"/>
          </w:rPr>
          <w:t>3.1. Alocare financiară din FEDR (în EUR)</w:t>
        </w:r>
        <w:r w:rsidR="00BB3234">
          <w:rPr>
            <w:noProof/>
            <w:webHidden/>
          </w:rPr>
          <w:tab/>
        </w:r>
        <w:r w:rsidR="00FF412A">
          <w:rPr>
            <w:noProof/>
            <w:webHidden/>
          </w:rPr>
          <w:fldChar w:fldCharType="begin"/>
        </w:r>
        <w:r w:rsidR="00BB3234">
          <w:rPr>
            <w:noProof/>
            <w:webHidden/>
          </w:rPr>
          <w:instrText xml:space="preserve"> PAGEREF _Toc394837880 \h </w:instrText>
        </w:r>
        <w:r w:rsidR="00FF412A">
          <w:rPr>
            <w:noProof/>
            <w:webHidden/>
          </w:rPr>
        </w:r>
        <w:r w:rsidR="00FF412A">
          <w:rPr>
            <w:noProof/>
            <w:webHidden/>
          </w:rPr>
          <w:fldChar w:fldCharType="separate"/>
        </w:r>
        <w:r w:rsidR="00FC7394">
          <w:rPr>
            <w:noProof/>
            <w:webHidden/>
          </w:rPr>
          <w:t>93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81" w:history="1">
        <w:r w:rsidR="00BB3234" w:rsidRPr="00E57C47">
          <w:rPr>
            <w:rStyle w:val="Hyperlink"/>
            <w:noProof/>
          </w:rPr>
          <w:t>Tabelul 15</w:t>
        </w:r>
        <w:r w:rsidR="00BB3234">
          <w:rPr>
            <w:noProof/>
            <w:webHidden/>
          </w:rPr>
          <w:tab/>
        </w:r>
        <w:r w:rsidR="00FF412A">
          <w:rPr>
            <w:noProof/>
            <w:webHidden/>
          </w:rPr>
          <w:fldChar w:fldCharType="begin"/>
        </w:r>
        <w:r w:rsidR="00BB3234">
          <w:rPr>
            <w:noProof/>
            <w:webHidden/>
          </w:rPr>
          <w:instrText xml:space="preserve"> PAGEREF _Toc394837881 \h </w:instrText>
        </w:r>
        <w:r w:rsidR="00FF412A">
          <w:rPr>
            <w:noProof/>
            <w:webHidden/>
          </w:rPr>
        </w:r>
        <w:r w:rsidR="00FF412A">
          <w:rPr>
            <w:noProof/>
            <w:webHidden/>
          </w:rPr>
          <w:fldChar w:fldCharType="separate"/>
        </w:r>
        <w:r w:rsidR="00FC7394">
          <w:rPr>
            <w:noProof/>
            <w:webHidden/>
          </w:rPr>
          <w:t>93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82" w:history="1">
        <w:r w:rsidR="00BB3234" w:rsidRPr="00E57C47">
          <w:rPr>
            <w:rStyle w:val="Hyperlink"/>
            <w:noProof/>
            <w:lang w:val="fr-FR"/>
          </w:rPr>
          <w:t>3.2.A. Alocare financiară totală din FEDR și cofinanțare națională (în EUR)</w:t>
        </w:r>
        <w:r w:rsidR="00BB3234">
          <w:rPr>
            <w:noProof/>
            <w:webHidden/>
          </w:rPr>
          <w:tab/>
        </w:r>
        <w:r w:rsidR="00FF412A">
          <w:rPr>
            <w:noProof/>
            <w:webHidden/>
          </w:rPr>
          <w:fldChar w:fldCharType="begin"/>
        </w:r>
        <w:r w:rsidR="00BB3234">
          <w:rPr>
            <w:noProof/>
            <w:webHidden/>
          </w:rPr>
          <w:instrText xml:space="preserve"> PAGEREF _Toc394837882 \h </w:instrText>
        </w:r>
        <w:r w:rsidR="00FF412A">
          <w:rPr>
            <w:noProof/>
            <w:webHidden/>
          </w:rPr>
        </w:r>
        <w:r w:rsidR="00FF412A">
          <w:rPr>
            <w:noProof/>
            <w:webHidden/>
          </w:rPr>
          <w:fldChar w:fldCharType="separate"/>
        </w:r>
        <w:r w:rsidR="00FC7394">
          <w:rPr>
            <w:noProof/>
            <w:webHidden/>
          </w:rPr>
          <w:t>93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83" w:history="1">
        <w:r w:rsidR="00BB3234" w:rsidRPr="00E57C47">
          <w:rPr>
            <w:rStyle w:val="Hyperlink"/>
            <w:noProof/>
            <w:lang w:val="fr-FR"/>
          </w:rPr>
          <w:t>Tabelul 16 : Plan de finan</w:t>
        </w:r>
        <w:r w:rsidR="00BB3234" w:rsidRPr="00E57C47">
          <w:rPr>
            <w:rStyle w:val="Hyperlink"/>
            <w:noProof/>
            <w:lang w:val="ro-RO"/>
          </w:rPr>
          <w:t>ţare</w:t>
        </w:r>
        <w:r w:rsidR="00BB3234">
          <w:rPr>
            <w:noProof/>
            <w:webHidden/>
          </w:rPr>
          <w:tab/>
        </w:r>
        <w:r w:rsidR="00FF412A">
          <w:rPr>
            <w:noProof/>
            <w:webHidden/>
          </w:rPr>
          <w:fldChar w:fldCharType="begin"/>
        </w:r>
        <w:r w:rsidR="00BB3234">
          <w:rPr>
            <w:noProof/>
            <w:webHidden/>
          </w:rPr>
          <w:instrText xml:space="preserve"> PAGEREF _Toc394837883 \h </w:instrText>
        </w:r>
        <w:r w:rsidR="00FF412A">
          <w:rPr>
            <w:noProof/>
            <w:webHidden/>
          </w:rPr>
        </w:r>
        <w:r w:rsidR="00FF412A">
          <w:rPr>
            <w:noProof/>
            <w:webHidden/>
          </w:rPr>
          <w:fldChar w:fldCharType="separate"/>
        </w:r>
        <w:r w:rsidR="00FC7394">
          <w:rPr>
            <w:noProof/>
            <w:webHidden/>
          </w:rPr>
          <w:t>94</w:t>
        </w:r>
        <w:r w:rsidR="00FF412A">
          <w:rPr>
            <w:noProof/>
            <w:webHidden/>
          </w:rPr>
          <w:fldChar w:fldCharType="end"/>
        </w:r>
      </w:hyperlink>
    </w:p>
    <w:p w:rsidR="00BB3234" w:rsidRDefault="006D5DA0">
      <w:pPr>
        <w:pStyle w:val="TOC2"/>
        <w:tabs>
          <w:tab w:val="left" w:pos="1100"/>
          <w:tab w:val="right" w:leader="dot" w:pos="9350"/>
        </w:tabs>
        <w:rPr>
          <w:rFonts w:asciiTheme="minorHAnsi" w:eastAsiaTheme="minorEastAsia" w:hAnsiTheme="minorHAnsi" w:cstheme="minorBidi"/>
          <w:noProof/>
          <w:sz w:val="22"/>
          <w:szCs w:val="22"/>
          <w:lang w:val="fr-FR" w:eastAsia="fr-FR"/>
        </w:rPr>
      </w:pPr>
      <w:hyperlink w:anchor="_Toc394837884" w:history="1">
        <w:r w:rsidR="00BB3234" w:rsidRPr="00E57C47">
          <w:rPr>
            <w:rStyle w:val="Hyperlink"/>
            <w:noProof/>
            <w:lang w:val="en-US"/>
          </w:rPr>
          <w:t>3.2.B.</w:t>
        </w:r>
        <w:r w:rsidR="00BB3234">
          <w:rPr>
            <w:rFonts w:asciiTheme="minorHAnsi" w:eastAsiaTheme="minorEastAsia" w:hAnsiTheme="minorHAnsi" w:cstheme="minorBidi"/>
            <w:noProof/>
            <w:sz w:val="22"/>
            <w:szCs w:val="22"/>
            <w:lang w:val="fr-FR" w:eastAsia="fr-FR"/>
          </w:rPr>
          <w:tab/>
        </w:r>
        <w:r w:rsidR="00BB3234" w:rsidRPr="00E57C47">
          <w:rPr>
            <w:rStyle w:val="Hyperlink"/>
            <w:noProof/>
            <w:lang w:val="en-US"/>
          </w:rPr>
          <w:t>Defalcarea pe axã prioritarã şi obiectiv tematic</w:t>
        </w:r>
        <w:r w:rsidR="00BB3234">
          <w:rPr>
            <w:noProof/>
            <w:webHidden/>
          </w:rPr>
          <w:tab/>
        </w:r>
        <w:r w:rsidR="00FF412A">
          <w:rPr>
            <w:noProof/>
            <w:webHidden/>
          </w:rPr>
          <w:fldChar w:fldCharType="begin"/>
        </w:r>
        <w:r w:rsidR="00BB3234">
          <w:rPr>
            <w:noProof/>
            <w:webHidden/>
          </w:rPr>
          <w:instrText xml:space="preserve"> PAGEREF _Toc394837884 \h </w:instrText>
        </w:r>
        <w:r w:rsidR="00FF412A">
          <w:rPr>
            <w:noProof/>
            <w:webHidden/>
          </w:rPr>
        </w:r>
        <w:r w:rsidR="00FF412A">
          <w:rPr>
            <w:noProof/>
            <w:webHidden/>
          </w:rPr>
          <w:fldChar w:fldCharType="separate"/>
        </w:r>
        <w:r w:rsidR="00FC7394">
          <w:rPr>
            <w:noProof/>
            <w:webHidden/>
          </w:rPr>
          <w:t>96</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85" w:history="1">
        <w:r w:rsidR="00BB3234" w:rsidRPr="00E57C47">
          <w:rPr>
            <w:rStyle w:val="Hyperlink"/>
            <w:noProof/>
          </w:rPr>
          <w:t>Tabelul 17</w:t>
        </w:r>
        <w:r w:rsidR="00BB3234">
          <w:rPr>
            <w:noProof/>
            <w:webHidden/>
          </w:rPr>
          <w:tab/>
        </w:r>
        <w:r w:rsidR="00FF412A">
          <w:rPr>
            <w:noProof/>
            <w:webHidden/>
          </w:rPr>
          <w:fldChar w:fldCharType="begin"/>
        </w:r>
        <w:r w:rsidR="00BB3234">
          <w:rPr>
            <w:noProof/>
            <w:webHidden/>
          </w:rPr>
          <w:instrText xml:space="preserve"> PAGEREF _Toc394837885 \h </w:instrText>
        </w:r>
        <w:r w:rsidR="00FF412A">
          <w:rPr>
            <w:noProof/>
            <w:webHidden/>
          </w:rPr>
        </w:r>
        <w:r w:rsidR="00FF412A">
          <w:rPr>
            <w:noProof/>
            <w:webHidden/>
          </w:rPr>
          <w:fldChar w:fldCharType="separate"/>
        </w:r>
        <w:r w:rsidR="00FC7394">
          <w:rPr>
            <w:noProof/>
            <w:webHidden/>
          </w:rPr>
          <w:t>96</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86" w:history="1">
        <w:r w:rsidR="00BB3234" w:rsidRPr="00E57C47">
          <w:rPr>
            <w:rStyle w:val="Hyperlink"/>
            <w:noProof/>
          </w:rPr>
          <w:t>Tabelul 18: Valoarea indicativă a sprijinului care urmează să fie utilizat pentru obiectivele aferente schimbărilor climatice</w:t>
        </w:r>
        <w:r w:rsidR="00BB3234">
          <w:rPr>
            <w:noProof/>
            <w:webHidden/>
          </w:rPr>
          <w:tab/>
        </w:r>
        <w:r w:rsidR="00FF412A">
          <w:rPr>
            <w:noProof/>
            <w:webHidden/>
          </w:rPr>
          <w:fldChar w:fldCharType="begin"/>
        </w:r>
        <w:r w:rsidR="00BB3234">
          <w:rPr>
            <w:noProof/>
            <w:webHidden/>
          </w:rPr>
          <w:instrText xml:space="preserve"> PAGEREF _Toc394837886 \h </w:instrText>
        </w:r>
        <w:r w:rsidR="00FF412A">
          <w:rPr>
            <w:noProof/>
            <w:webHidden/>
          </w:rPr>
        </w:r>
        <w:r w:rsidR="00FF412A">
          <w:rPr>
            <w:noProof/>
            <w:webHidden/>
          </w:rPr>
          <w:fldChar w:fldCharType="separate"/>
        </w:r>
        <w:r w:rsidR="00FC7394">
          <w:rPr>
            <w:noProof/>
            <w:webHidden/>
          </w:rPr>
          <w:t>97</w:t>
        </w:r>
        <w:r w:rsidR="00FF412A">
          <w:rPr>
            <w:noProof/>
            <w:webHidden/>
          </w:rPr>
          <w:fldChar w:fldCharType="end"/>
        </w:r>
      </w:hyperlink>
    </w:p>
    <w:p w:rsidR="00BB3234" w:rsidRDefault="006D5DA0">
      <w:pPr>
        <w:pStyle w:val="TOC1"/>
        <w:tabs>
          <w:tab w:val="right" w:leader="dot" w:pos="9350"/>
        </w:tabs>
        <w:rPr>
          <w:rFonts w:asciiTheme="minorHAnsi" w:eastAsiaTheme="minorEastAsia" w:hAnsiTheme="minorHAnsi" w:cstheme="minorBidi"/>
          <w:noProof/>
          <w:sz w:val="22"/>
          <w:szCs w:val="22"/>
          <w:lang w:val="fr-FR" w:eastAsia="fr-FR"/>
        </w:rPr>
      </w:pPr>
      <w:hyperlink w:anchor="_Toc394837887" w:history="1">
        <w:r w:rsidR="00BB3234" w:rsidRPr="00E57C47">
          <w:rPr>
            <w:rStyle w:val="Hyperlink"/>
            <w:noProof/>
          </w:rPr>
          <w:t>SECŢIUNEA 4: ABORDARE INTEGRATĂ A DEZVOLTĂRII TERITORIALE</w:t>
        </w:r>
        <w:r w:rsidR="00BB3234">
          <w:rPr>
            <w:noProof/>
            <w:webHidden/>
          </w:rPr>
          <w:tab/>
        </w:r>
        <w:r w:rsidR="00FF412A">
          <w:rPr>
            <w:noProof/>
            <w:webHidden/>
          </w:rPr>
          <w:fldChar w:fldCharType="begin"/>
        </w:r>
        <w:r w:rsidR="00BB3234">
          <w:rPr>
            <w:noProof/>
            <w:webHidden/>
          </w:rPr>
          <w:instrText xml:space="preserve"> PAGEREF _Toc394837887 \h </w:instrText>
        </w:r>
        <w:r w:rsidR="00FF412A">
          <w:rPr>
            <w:noProof/>
            <w:webHidden/>
          </w:rPr>
        </w:r>
        <w:r w:rsidR="00FF412A">
          <w:rPr>
            <w:noProof/>
            <w:webHidden/>
          </w:rPr>
          <w:fldChar w:fldCharType="separate"/>
        </w:r>
        <w:r w:rsidR="00FC7394">
          <w:rPr>
            <w:noProof/>
            <w:webHidden/>
          </w:rPr>
          <w:t>98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88" w:history="1">
        <w:r w:rsidR="00BB3234" w:rsidRPr="00E57C47">
          <w:rPr>
            <w:rStyle w:val="Hyperlink"/>
            <w:noProof/>
            <w:lang w:val="fr-FR"/>
          </w:rPr>
          <w:t>Prioritatea 5 (TO11): O puternicã capacitate instituţionalã este necesarã pentru a face faţã provocãrilor care iau naştere din tendintele de fond actuale legate de schimbãrile de climat, globalizare, dinamica demografica şi lipsa fondurilor publice. Aceastã prioritate a programului va promova dezvoltarea unei cooperãri strategice pentru a compensa lipsa unei mase critice care caracterizează multe activităţi publice şi private în zona Programului.4.1. Dezvoltare locală plasată sub responsabilitatea comunității (după caz)</w:t>
        </w:r>
        <w:r w:rsidR="00BB3234">
          <w:rPr>
            <w:noProof/>
            <w:webHidden/>
          </w:rPr>
          <w:tab/>
        </w:r>
        <w:r w:rsidR="00FF412A">
          <w:rPr>
            <w:noProof/>
            <w:webHidden/>
          </w:rPr>
          <w:fldChar w:fldCharType="begin"/>
        </w:r>
        <w:r w:rsidR="00BB3234">
          <w:rPr>
            <w:noProof/>
            <w:webHidden/>
          </w:rPr>
          <w:instrText xml:space="preserve"> PAGEREF _Toc394837888 \h </w:instrText>
        </w:r>
        <w:r w:rsidR="00FF412A">
          <w:rPr>
            <w:noProof/>
            <w:webHidden/>
          </w:rPr>
        </w:r>
        <w:r w:rsidR="00FF412A">
          <w:rPr>
            <w:noProof/>
            <w:webHidden/>
          </w:rPr>
          <w:fldChar w:fldCharType="separate"/>
        </w:r>
        <w:r w:rsidR="00FC7394">
          <w:rPr>
            <w:noProof/>
            <w:webHidden/>
          </w:rPr>
          <w:t>99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89" w:history="1">
        <w:r w:rsidR="00BB3234" w:rsidRPr="00E57C47">
          <w:rPr>
            <w:rStyle w:val="Hyperlink"/>
            <w:noProof/>
            <w:lang w:val="fr-FR"/>
          </w:rPr>
          <w:t>4.2. Acțiuni integrate pentru dezvoltare urbană durabilă (după caz)</w:t>
        </w:r>
        <w:r w:rsidR="00BB3234">
          <w:rPr>
            <w:noProof/>
            <w:webHidden/>
          </w:rPr>
          <w:tab/>
        </w:r>
        <w:r w:rsidR="00FF412A">
          <w:rPr>
            <w:noProof/>
            <w:webHidden/>
          </w:rPr>
          <w:fldChar w:fldCharType="begin"/>
        </w:r>
        <w:r w:rsidR="00BB3234">
          <w:rPr>
            <w:noProof/>
            <w:webHidden/>
          </w:rPr>
          <w:instrText xml:space="preserve"> PAGEREF _Toc394837889 \h </w:instrText>
        </w:r>
        <w:r w:rsidR="00FF412A">
          <w:rPr>
            <w:noProof/>
            <w:webHidden/>
          </w:rPr>
        </w:r>
        <w:r w:rsidR="00FF412A">
          <w:rPr>
            <w:noProof/>
            <w:webHidden/>
          </w:rPr>
          <w:fldChar w:fldCharType="separate"/>
        </w:r>
        <w:r w:rsidR="00FC7394">
          <w:rPr>
            <w:noProof/>
            <w:webHidden/>
          </w:rPr>
          <w:t>99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90" w:history="1">
        <w:r w:rsidR="00BB3234" w:rsidRPr="00E57C47">
          <w:rPr>
            <w:rStyle w:val="Hyperlink"/>
            <w:noProof/>
          </w:rPr>
          <w:t>Tabelul 19: Acțiuni integrate pentru dezvoltarea urbană durabilă – volume indicative ale sprijinului FEDR</w:t>
        </w:r>
        <w:r w:rsidR="00BB3234">
          <w:rPr>
            <w:noProof/>
            <w:webHidden/>
          </w:rPr>
          <w:tab/>
        </w:r>
        <w:r w:rsidR="00FF412A">
          <w:rPr>
            <w:noProof/>
            <w:webHidden/>
          </w:rPr>
          <w:fldChar w:fldCharType="begin"/>
        </w:r>
        <w:r w:rsidR="00BB3234">
          <w:rPr>
            <w:noProof/>
            <w:webHidden/>
          </w:rPr>
          <w:instrText xml:space="preserve"> PAGEREF _Toc394837890 \h </w:instrText>
        </w:r>
        <w:r w:rsidR="00FF412A">
          <w:rPr>
            <w:noProof/>
            <w:webHidden/>
          </w:rPr>
        </w:r>
        <w:r w:rsidR="00FF412A">
          <w:rPr>
            <w:noProof/>
            <w:webHidden/>
          </w:rPr>
          <w:fldChar w:fldCharType="separate"/>
        </w:r>
        <w:r w:rsidR="00FC7394">
          <w:rPr>
            <w:noProof/>
            <w:webHidden/>
          </w:rPr>
          <w:t>99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91" w:history="1">
        <w:r w:rsidR="00BB3234" w:rsidRPr="00E57C47">
          <w:rPr>
            <w:rStyle w:val="Hyperlink"/>
            <w:noProof/>
          </w:rPr>
          <w:t>4.3. Investiția teritorială integrată (ITI) (după caz)</w:t>
        </w:r>
        <w:r w:rsidR="00BB3234">
          <w:rPr>
            <w:noProof/>
            <w:webHidden/>
          </w:rPr>
          <w:tab/>
        </w:r>
        <w:r w:rsidR="00FF412A">
          <w:rPr>
            <w:noProof/>
            <w:webHidden/>
          </w:rPr>
          <w:fldChar w:fldCharType="begin"/>
        </w:r>
        <w:r w:rsidR="00BB3234">
          <w:rPr>
            <w:noProof/>
            <w:webHidden/>
          </w:rPr>
          <w:instrText xml:space="preserve"> PAGEREF _Toc394837891 \h </w:instrText>
        </w:r>
        <w:r w:rsidR="00FF412A">
          <w:rPr>
            <w:noProof/>
            <w:webHidden/>
          </w:rPr>
        </w:r>
        <w:r w:rsidR="00FF412A">
          <w:rPr>
            <w:noProof/>
            <w:webHidden/>
          </w:rPr>
          <w:fldChar w:fldCharType="separate"/>
        </w:r>
        <w:r w:rsidR="00FC7394">
          <w:rPr>
            <w:noProof/>
            <w:webHidden/>
          </w:rPr>
          <w:t>99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92" w:history="1">
        <w:r w:rsidR="00BB3234" w:rsidRPr="00E57C47">
          <w:rPr>
            <w:rStyle w:val="Hyperlink"/>
            <w:noProof/>
          </w:rPr>
          <w:t>Tabelul 20: Alocare financiară indicativă pentru ITI, cu excepția celor menționate la punctul 4.2 (valoarea totală)</w:t>
        </w:r>
        <w:r w:rsidR="00BB3234">
          <w:rPr>
            <w:noProof/>
            <w:webHidden/>
          </w:rPr>
          <w:tab/>
        </w:r>
        <w:r w:rsidR="00FF412A">
          <w:rPr>
            <w:noProof/>
            <w:webHidden/>
          </w:rPr>
          <w:fldChar w:fldCharType="begin"/>
        </w:r>
        <w:r w:rsidR="00BB3234">
          <w:rPr>
            <w:noProof/>
            <w:webHidden/>
          </w:rPr>
          <w:instrText xml:space="preserve"> PAGEREF _Toc394837892 \h </w:instrText>
        </w:r>
        <w:r w:rsidR="00FF412A">
          <w:rPr>
            <w:noProof/>
            <w:webHidden/>
          </w:rPr>
        </w:r>
        <w:r w:rsidR="00FF412A">
          <w:rPr>
            <w:noProof/>
            <w:webHidden/>
          </w:rPr>
          <w:fldChar w:fldCharType="separate"/>
        </w:r>
        <w:r w:rsidR="00FC7394">
          <w:rPr>
            <w:noProof/>
            <w:webHidden/>
          </w:rPr>
          <w:t>99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93" w:history="1">
        <w:r w:rsidR="00BB3234" w:rsidRPr="00E57C47">
          <w:rPr>
            <w:rStyle w:val="Hyperlink"/>
            <w:noProof/>
            <w:lang w:val="fr-FR"/>
          </w:rPr>
          <w:t>4.4. Contribuția intervențiilor planificate în cadrul programului la strategii macroregionale și la strategiile aferente bazinelor maritime, în funcție de nevoile zonei vizate de program definite de statul membru (după caz)</w:t>
        </w:r>
        <w:r w:rsidR="00BB3234">
          <w:rPr>
            <w:noProof/>
            <w:webHidden/>
          </w:rPr>
          <w:tab/>
        </w:r>
        <w:r w:rsidR="00FF412A">
          <w:rPr>
            <w:noProof/>
            <w:webHidden/>
          </w:rPr>
          <w:fldChar w:fldCharType="begin"/>
        </w:r>
        <w:r w:rsidR="00BB3234">
          <w:rPr>
            <w:noProof/>
            <w:webHidden/>
          </w:rPr>
          <w:instrText xml:space="preserve"> PAGEREF _Toc394837893 \h </w:instrText>
        </w:r>
        <w:r w:rsidR="00FF412A">
          <w:rPr>
            <w:noProof/>
            <w:webHidden/>
          </w:rPr>
        </w:r>
        <w:r w:rsidR="00FF412A">
          <w:rPr>
            <w:noProof/>
            <w:webHidden/>
          </w:rPr>
          <w:fldChar w:fldCharType="separate"/>
        </w:r>
        <w:r w:rsidR="00FC7394">
          <w:rPr>
            <w:noProof/>
            <w:webHidden/>
          </w:rPr>
          <w:t>100</w:t>
        </w:r>
        <w:r w:rsidR="00FF412A">
          <w:rPr>
            <w:noProof/>
            <w:webHidden/>
          </w:rPr>
          <w:fldChar w:fldCharType="end"/>
        </w:r>
      </w:hyperlink>
    </w:p>
    <w:p w:rsidR="00BB3234" w:rsidRDefault="006D5DA0">
      <w:pPr>
        <w:pStyle w:val="TOC1"/>
        <w:tabs>
          <w:tab w:val="right" w:leader="dot" w:pos="9350"/>
        </w:tabs>
        <w:rPr>
          <w:rFonts w:asciiTheme="minorHAnsi" w:eastAsiaTheme="minorEastAsia" w:hAnsiTheme="minorHAnsi" w:cstheme="minorBidi"/>
          <w:noProof/>
          <w:sz w:val="22"/>
          <w:szCs w:val="22"/>
          <w:lang w:val="fr-FR" w:eastAsia="fr-FR"/>
        </w:rPr>
      </w:pPr>
      <w:hyperlink w:anchor="_Toc394837894" w:history="1">
        <w:r w:rsidR="00BB3234" w:rsidRPr="00E57C47">
          <w:rPr>
            <w:rStyle w:val="Hyperlink"/>
            <w:noProof/>
            <w:lang w:val="fr-FR"/>
          </w:rPr>
          <w:t>SECŢIUNEA 5. PREVEDERI DE IMPLEMENTARE A PROGRAMULUI DE COOPERARE</w:t>
        </w:r>
        <w:r w:rsidR="00BB3234">
          <w:rPr>
            <w:noProof/>
            <w:webHidden/>
          </w:rPr>
          <w:tab/>
        </w:r>
        <w:r w:rsidR="00FF412A">
          <w:rPr>
            <w:noProof/>
            <w:webHidden/>
          </w:rPr>
          <w:fldChar w:fldCharType="begin"/>
        </w:r>
        <w:r w:rsidR="00BB3234">
          <w:rPr>
            <w:noProof/>
            <w:webHidden/>
          </w:rPr>
          <w:instrText xml:space="preserve"> PAGEREF _Toc394837894 \h </w:instrText>
        </w:r>
        <w:r w:rsidR="00FF412A">
          <w:rPr>
            <w:noProof/>
            <w:webHidden/>
          </w:rPr>
        </w:r>
        <w:r w:rsidR="00FF412A">
          <w:rPr>
            <w:noProof/>
            <w:webHidden/>
          </w:rPr>
          <w:fldChar w:fldCharType="separate"/>
        </w:r>
        <w:r w:rsidR="00FC7394">
          <w:rPr>
            <w:noProof/>
            <w:webHidden/>
          </w:rPr>
          <w:t>103</w:t>
        </w:r>
        <w:r w:rsidR="00FF412A">
          <w:rPr>
            <w:noProof/>
            <w:webHidden/>
          </w:rPr>
          <w:fldChar w:fldCharType="end"/>
        </w:r>
      </w:hyperlink>
    </w:p>
    <w:p w:rsidR="00BB3234" w:rsidRDefault="006D5DA0">
      <w:pPr>
        <w:pStyle w:val="TOC2"/>
        <w:tabs>
          <w:tab w:val="left" w:pos="851"/>
          <w:tab w:val="right" w:leader="dot" w:pos="9350"/>
        </w:tabs>
        <w:rPr>
          <w:rFonts w:asciiTheme="minorHAnsi" w:eastAsiaTheme="minorEastAsia" w:hAnsiTheme="minorHAnsi" w:cstheme="minorBidi"/>
          <w:noProof/>
          <w:sz w:val="22"/>
          <w:szCs w:val="22"/>
          <w:lang w:val="fr-FR" w:eastAsia="fr-FR"/>
        </w:rPr>
      </w:pPr>
      <w:hyperlink w:anchor="_Toc394837895" w:history="1">
        <w:r w:rsidR="00BB3234" w:rsidRPr="00E57C47">
          <w:rPr>
            <w:rStyle w:val="Hyperlink"/>
            <w:noProof/>
            <w:lang w:val="fr-FR"/>
          </w:rPr>
          <w:t>5.1.</w:t>
        </w:r>
        <w:r w:rsidR="00BB3234">
          <w:rPr>
            <w:rFonts w:asciiTheme="minorHAnsi" w:eastAsiaTheme="minorEastAsia" w:hAnsiTheme="minorHAnsi" w:cstheme="minorBidi"/>
            <w:noProof/>
            <w:sz w:val="22"/>
            <w:szCs w:val="22"/>
            <w:lang w:val="fr-FR" w:eastAsia="fr-FR"/>
          </w:rPr>
          <w:tab/>
        </w:r>
        <w:r w:rsidR="00BB3234" w:rsidRPr="00E57C47">
          <w:rPr>
            <w:rStyle w:val="Hyperlink"/>
            <w:noProof/>
            <w:lang w:val="fr-FR"/>
          </w:rPr>
          <w:t>Autorități și organisme relevante</w:t>
        </w:r>
        <w:r w:rsidR="00BB3234">
          <w:rPr>
            <w:noProof/>
            <w:webHidden/>
          </w:rPr>
          <w:tab/>
        </w:r>
        <w:r w:rsidR="00FF412A">
          <w:rPr>
            <w:noProof/>
            <w:webHidden/>
          </w:rPr>
          <w:fldChar w:fldCharType="begin"/>
        </w:r>
        <w:r w:rsidR="00BB3234">
          <w:rPr>
            <w:noProof/>
            <w:webHidden/>
          </w:rPr>
          <w:instrText xml:space="preserve"> PAGEREF _Toc394837895 \h </w:instrText>
        </w:r>
        <w:r w:rsidR="00FF412A">
          <w:rPr>
            <w:noProof/>
            <w:webHidden/>
          </w:rPr>
        </w:r>
        <w:r w:rsidR="00FF412A">
          <w:rPr>
            <w:noProof/>
            <w:webHidden/>
          </w:rPr>
          <w:fldChar w:fldCharType="separate"/>
        </w:r>
        <w:r w:rsidR="00FC7394">
          <w:rPr>
            <w:noProof/>
            <w:webHidden/>
          </w:rPr>
          <w:t>103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96" w:history="1">
        <w:r w:rsidR="00BB3234" w:rsidRPr="00E57C47">
          <w:rPr>
            <w:rStyle w:val="Hyperlink"/>
            <w:noProof/>
            <w:lang w:val="fr-FR"/>
          </w:rPr>
          <w:t>Tabelul 21: Autoritățile implicate în program</w:t>
        </w:r>
        <w:r w:rsidR="00BB3234">
          <w:rPr>
            <w:noProof/>
            <w:webHidden/>
          </w:rPr>
          <w:tab/>
        </w:r>
        <w:r w:rsidR="00FF412A">
          <w:rPr>
            <w:noProof/>
            <w:webHidden/>
          </w:rPr>
          <w:fldChar w:fldCharType="begin"/>
        </w:r>
        <w:r w:rsidR="00BB3234">
          <w:rPr>
            <w:noProof/>
            <w:webHidden/>
          </w:rPr>
          <w:instrText xml:space="preserve"> PAGEREF _Toc394837896 \h </w:instrText>
        </w:r>
        <w:r w:rsidR="00FF412A">
          <w:rPr>
            <w:noProof/>
            <w:webHidden/>
          </w:rPr>
        </w:r>
        <w:r w:rsidR="00FF412A">
          <w:rPr>
            <w:noProof/>
            <w:webHidden/>
          </w:rPr>
          <w:fldChar w:fldCharType="separate"/>
        </w:r>
        <w:r w:rsidR="00FC7394">
          <w:rPr>
            <w:noProof/>
            <w:webHidden/>
          </w:rPr>
          <w:t>103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97" w:history="1">
        <w:r w:rsidR="00BB3234" w:rsidRPr="00E57C47">
          <w:rPr>
            <w:rStyle w:val="Hyperlink"/>
            <w:noProof/>
            <w:lang w:val="fr-FR"/>
          </w:rPr>
          <w:t>Tabelul 22: Organismul sau organismele care îndeplinesc sarcinile de verificare și control</w:t>
        </w:r>
        <w:r w:rsidR="00BB3234">
          <w:rPr>
            <w:noProof/>
            <w:webHidden/>
          </w:rPr>
          <w:tab/>
        </w:r>
        <w:r w:rsidR="00FF412A">
          <w:rPr>
            <w:noProof/>
            <w:webHidden/>
          </w:rPr>
          <w:fldChar w:fldCharType="begin"/>
        </w:r>
        <w:r w:rsidR="00BB3234">
          <w:rPr>
            <w:noProof/>
            <w:webHidden/>
          </w:rPr>
          <w:instrText xml:space="preserve"> PAGEREF _Toc394837897 \h </w:instrText>
        </w:r>
        <w:r w:rsidR="00FF412A">
          <w:rPr>
            <w:noProof/>
            <w:webHidden/>
          </w:rPr>
        </w:r>
        <w:r w:rsidR="00FF412A">
          <w:rPr>
            <w:noProof/>
            <w:webHidden/>
          </w:rPr>
          <w:fldChar w:fldCharType="separate"/>
        </w:r>
        <w:r w:rsidR="00FC7394">
          <w:rPr>
            <w:noProof/>
            <w:webHidden/>
          </w:rPr>
          <w:t>103</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98" w:history="1">
        <w:r w:rsidR="00BB3234" w:rsidRPr="00E57C47">
          <w:rPr>
            <w:rStyle w:val="Hyperlink"/>
            <w:noProof/>
            <w:lang w:val="fr-FR"/>
          </w:rPr>
          <w:t>5.2. Procedurile de înființare a secretariatului comun</w:t>
        </w:r>
        <w:r w:rsidR="00BB3234">
          <w:rPr>
            <w:noProof/>
            <w:webHidden/>
          </w:rPr>
          <w:tab/>
        </w:r>
        <w:r w:rsidR="00FF412A">
          <w:rPr>
            <w:noProof/>
            <w:webHidden/>
          </w:rPr>
          <w:fldChar w:fldCharType="begin"/>
        </w:r>
        <w:r w:rsidR="00BB3234">
          <w:rPr>
            <w:noProof/>
            <w:webHidden/>
          </w:rPr>
          <w:instrText xml:space="preserve"> PAGEREF _Toc394837898 \h </w:instrText>
        </w:r>
        <w:r w:rsidR="00FF412A">
          <w:rPr>
            <w:noProof/>
            <w:webHidden/>
          </w:rPr>
        </w:r>
        <w:r w:rsidR="00FF412A">
          <w:rPr>
            <w:noProof/>
            <w:webHidden/>
          </w:rPr>
          <w:fldChar w:fldCharType="separate"/>
        </w:r>
        <w:r w:rsidR="00FC7394">
          <w:rPr>
            <w:noProof/>
            <w:webHidden/>
          </w:rPr>
          <w:t>104</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899" w:history="1">
        <w:r w:rsidR="00BB3234" w:rsidRPr="00E57C47">
          <w:rPr>
            <w:rStyle w:val="Hyperlink"/>
            <w:noProof/>
            <w:lang w:val="fr-FR"/>
          </w:rPr>
          <w:t>5.3. O descriere pe scurt a acordurilor de management și control</w:t>
        </w:r>
        <w:r w:rsidR="00BB3234">
          <w:rPr>
            <w:noProof/>
            <w:webHidden/>
          </w:rPr>
          <w:tab/>
        </w:r>
        <w:r w:rsidR="00FF412A">
          <w:rPr>
            <w:noProof/>
            <w:webHidden/>
          </w:rPr>
          <w:fldChar w:fldCharType="begin"/>
        </w:r>
        <w:r w:rsidR="00BB3234">
          <w:rPr>
            <w:noProof/>
            <w:webHidden/>
          </w:rPr>
          <w:instrText xml:space="preserve"> PAGEREF _Toc394837899 \h </w:instrText>
        </w:r>
        <w:r w:rsidR="00FF412A">
          <w:rPr>
            <w:noProof/>
            <w:webHidden/>
          </w:rPr>
        </w:r>
        <w:r w:rsidR="00FF412A">
          <w:rPr>
            <w:noProof/>
            <w:webHidden/>
          </w:rPr>
          <w:fldChar w:fldCharType="separate"/>
        </w:r>
        <w:r w:rsidR="00FC7394">
          <w:rPr>
            <w:noProof/>
            <w:webHidden/>
          </w:rPr>
          <w:t>105</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900" w:history="1">
        <w:r w:rsidR="00BB3234" w:rsidRPr="00E57C47">
          <w:rPr>
            <w:rStyle w:val="Hyperlink"/>
            <w:noProof/>
            <w:lang w:val="fr-FR"/>
          </w:rPr>
          <w:t>5.4. Alocarea răspunderii în rândul statelor membre participante, în cazul corecțiilor financiare impuse de autoritatea de management sau de Comisie</w:t>
        </w:r>
        <w:r w:rsidR="00BB3234">
          <w:rPr>
            <w:noProof/>
            <w:webHidden/>
          </w:rPr>
          <w:tab/>
        </w:r>
        <w:r w:rsidR="00FF412A">
          <w:rPr>
            <w:noProof/>
            <w:webHidden/>
          </w:rPr>
          <w:fldChar w:fldCharType="begin"/>
        </w:r>
        <w:r w:rsidR="00BB3234">
          <w:rPr>
            <w:noProof/>
            <w:webHidden/>
          </w:rPr>
          <w:instrText xml:space="preserve"> PAGEREF _Toc394837900 \h </w:instrText>
        </w:r>
        <w:r w:rsidR="00FF412A">
          <w:rPr>
            <w:noProof/>
            <w:webHidden/>
          </w:rPr>
        </w:r>
        <w:r w:rsidR="00FF412A">
          <w:rPr>
            <w:noProof/>
            <w:webHidden/>
          </w:rPr>
          <w:fldChar w:fldCharType="separate"/>
        </w:r>
        <w:r w:rsidR="00FC7394">
          <w:rPr>
            <w:noProof/>
            <w:webHidden/>
          </w:rPr>
          <w:t>117</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901" w:history="1">
        <w:r w:rsidR="00BB3234" w:rsidRPr="00E57C47">
          <w:rPr>
            <w:rStyle w:val="Hyperlink"/>
            <w:noProof/>
            <w:lang w:val="en-US"/>
          </w:rPr>
          <w:t>5.5. Utilizarea monedei Euro (după caz)</w:t>
        </w:r>
        <w:r w:rsidR="00BB3234">
          <w:rPr>
            <w:noProof/>
            <w:webHidden/>
          </w:rPr>
          <w:tab/>
        </w:r>
        <w:r w:rsidR="00FF412A">
          <w:rPr>
            <w:noProof/>
            <w:webHidden/>
          </w:rPr>
          <w:fldChar w:fldCharType="begin"/>
        </w:r>
        <w:r w:rsidR="00BB3234">
          <w:rPr>
            <w:noProof/>
            <w:webHidden/>
          </w:rPr>
          <w:instrText xml:space="preserve"> PAGEREF _Toc394837901 \h </w:instrText>
        </w:r>
        <w:r w:rsidR="00FF412A">
          <w:rPr>
            <w:noProof/>
            <w:webHidden/>
          </w:rPr>
        </w:r>
        <w:r w:rsidR="00FF412A">
          <w:rPr>
            <w:noProof/>
            <w:webHidden/>
          </w:rPr>
          <w:fldChar w:fldCharType="separate"/>
        </w:r>
        <w:r w:rsidR="00FC7394">
          <w:rPr>
            <w:noProof/>
            <w:webHidden/>
          </w:rPr>
          <w:t>118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902" w:history="1">
        <w:r w:rsidR="00BB3234" w:rsidRPr="00E57C47">
          <w:rPr>
            <w:rStyle w:val="Hyperlink"/>
            <w:noProof/>
            <w:lang w:val="fr-FR"/>
          </w:rPr>
          <w:t>5.6. Implicarea partenerilor relevanți</w:t>
        </w:r>
        <w:r w:rsidR="00BB3234">
          <w:rPr>
            <w:noProof/>
            <w:webHidden/>
          </w:rPr>
          <w:tab/>
        </w:r>
        <w:r w:rsidR="00FF412A">
          <w:rPr>
            <w:noProof/>
            <w:webHidden/>
          </w:rPr>
          <w:fldChar w:fldCharType="begin"/>
        </w:r>
        <w:r w:rsidR="00BB3234">
          <w:rPr>
            <w:noProof/>
            <w:webHidden/>
          </w:rPr>
          <w:instrText xml:space="preserve"> PAGEREF _Toc394837902 \h </w:instrText>
        </w:r>
        <w:r w:rsidR="00FF412A">
          <w:rPr>
            <w:noProof/>
            <w:webHidden/>
          </w:rPr>
        </w:r>
        <w:r w:rsidR="00FF412A">
          <w:rPr>
            <w:noProof/>
            <w:webHidden/>
          </w:rPr>
          <w:fldChar w:fldCharType="separate"/>
        </w:r>
        <w:r w:rsidR="00FC7394">
          <w:rPr>
            <w:noProof/>
            <w:webHidden/>
          </w:rPr>
          <w:t>118</w:t>
        </w:r>
        <w:r w:rsidR="00FF412A">
          <w:rPr>
            <w:noProof/>
            <w:webHidden/>
          </w:rPr>
          <w:fldChar w:fldCharType="end"/>
        </w:r>
      </w:hyperlink>
    </w:p>
    <w:p w:rsidR="00BB3234" w:rsidRDefault="006D5DA0">
      <w:pPr>
        <w:pStyle w:val="TOC1"/>
        <w:tabs>
          <w:tab w:val="right" w:leader="dot" w:pos="9350"/>
        </w:tabs>
        <w:rPr>
          <w:rFonts w:asciiTheme="minorHAnsi" w:eastAsiaTheme="minorEastAsia" w:hAnsiTheme="minorHAnsi" w:cstheme="minorBidi"/>
          <w:noProof/>
          <w:sz w:val="22"/>
          <w:szCs w:val="22"/>
          <w:lang w:val="fr-FR" w:eastAsia="fr-FR"/>
        </w:rPr>
      </w:pPr>
      <w:hyperlink w:anchor="_Toc394837903" w:history="1">
        <w:r w:rsidR="00BB3234" w:rsidRPr="00E57C47">
          <w:rPr>
            <w:rStyle w:val="Hyperlink"/>
            <w:noProof/>
            <w:lang w:val="fr-FR"/>
          </w:rPr>
          <w:t>SECŢIUNEA 6. COORDONARE</w:t>
        </w:r>
        <w:r w:rsidR="00BB3234">
          <w:rPr>
            <w:noProof/>
            <w:webHidden/>
          </w:rPr>
          <w:tab/>
        </w:r>
        <w:r w:rsidR="00FF412A">
          <w:rPr>
            <w:noProof/>
            <w:webHidden/>
          </w:rPr>
          <w:fldChar w:fldCharType="begin"/>
        </w:r>
        <w:r w:rsidR="00BB3234">
          <w:rPr>
            <w:noProof/>
            <w:webHidden/>
          </w:rPr>
          <w:instrText xml:space="preserve"> PAGEREF _Toc394837903 \h </w:instrText>
        </w:r>
        <w:r w:rsidR="00FF412A">
          <w:rPr>
            <w:noProof/>
            <w:webHidden/>
          </w:rPr>
        </w:r>
        <w:r w:rsidR="00FF412A">
          <w:rPr>
            <w:noProof/>
            <w:webHidden/>
          </w:rPr>
          <w:fldChar w:fldCharType="separate"/>
        </w:r>
        <w:r w:rsidR="00FC7394">
          <w:rPr>
            <w:noProof/>
            <w:webHidden/>
          </w:rPr>
          <w:t>123</w:t>
        </w:r>
        <w:r w:rsidR="00FF412A">
          <w:rPr>
            <w:noProof/>
            <w:webHidden/>
          </w:rPr>
          <w:fldChar w:fldCharType="end"/>
        </w:r>
      </w:hyperlink>
    </w:p>
    <w:p w:rsidR="00BB3234" w:rsidRDefault="006D5DA0">
      <w:pPr>
        <w:pStyle w:val="TOC1"/>
        <w:tabs>
          <w:tab w:val="right" w:leader="dot" w:pos="9350"/>
        </w:tabs>
        <w:rPr>
          <w:rFonts w:asciiTheme="minorHAnsi" w:eastAsiaTheme="minorEastAsia" w:hAnsiTheme="minorHAnsi" w:cstheme="minorBidi"/>
          <w:noProof/>
          <w:sz w:val="22"/>
          <w:szCs w:val="22"/>
          <w:lang w:val="fr-FR" w:eastAsia="fr-FR"/>
        </w:rPr>
      </w:pPr>
      <w:hyperlink w:anchor="_Toc394837904" w:history="1">
        <w:r w:rsidR="00BB3234" w:rsidRPr="00E57C47">
          <w:rPr>
            <w:rStyle w:val="Hyperlink"/>
            <w:noProof/>
          </w:rPr>
          <w:t>SECŢIUNEA 7. REDUCEREA SARCINILOR ADMINISTRATIVE PENTRU BENEFICIARI</w:t>
        </w:r>
        <w:r w:rsidR="00BB3234">
          <w:rPr>
            <w:noProof/>
            <w:webHidden/>
          </w:rPr>
          <w:tab/>
        </w:r>
        <w:r w:rsidR="00FF412A">
          <w:rPr>
            <w:noProof/>
            <w:webHidden/>
          </w:rPr>
          <w:fldChar w:fldCharType="begin"/>
        </w:r>
        <w:r w:rsidR="00BB3234">
          <w:rPr>
            <w:noProof/>
            <w:webHidden/>
          </w:rPr>
          <w:instrText xml:space="preserve"> PAGEREF _Toc394837904 \h </w:instrText>
        </w:r>
        <w:r w:rsidR="00FF412A">
          <w:rPr>
            <w:noProof/>
            <w:webHidden/>
          </w:rPr>
        </w:r>
        <w:r w:rsidR="00FF412A">
          <w:rPr>
            <w:noProof/>
            <w:webHidden/>
          </w:rPr>
          <w:fldChar w:fldCharType="separate"/>
        </w:r>
        <w:r w:rsidR="00FC7394">
          <w:rPr>
            <w:noProof/>
            <w:webHidden/>
          </w:rPr>
          <w:t>126</w:t>
        </w:r>
        <w:r w:rsidR="00FF412A">
          <w:rPr>
            <w:noProof/>
            <w:webHidden/>
          </w:rPr>
          <w:fldChar w:fldCharType="end"/>
        </w:r>
      </w:hyperlink>
    </w:p>
    <w:p w:rsidR="00BB3234" w:rsidRDefault="006D5DA0">
      <w:pPr>
        <w:pStyle w:val="TOC1"/>
        <w:tabs>
          <w:tab w:val="right" w:leader="dot" w:pos="9350"/>
        </w:tabs>
        <w:rPr>
          <w:rFonts w:asciiTheme="minorHAnsi" w:eastAsiaTheme="minorEastAsia" w:hAnsiTheme="minorHAnsi" w:cstheme="minorBidi"/>
          <w:noProof/>
          <w:sz w:val="22"/>
          <w:szCs w:val="22"/>
          <w:lang w:val="fr-FR" w:eastAsia="fr-FR"/>
        </w:rPr>
      </w:pPr>
      <w:hyperlink w:anchor="_Toc394837905" w:history="1">
        <w:r w:rsidR="00BB3234" w:rsidRPr="00E57C47">
          <w:rPr>
            <w:rStyle w:val="Hyperlink"/>
            <w:noProof/>
            <w:lang w:val="fr-FR"/>
          </w:rPr>
          <w:t>SECŢIUNEA 8. PRINCIPII ORIZONTALE</w:t>
        </w:r>
        <w:r w:rsidR="00BB3234">
          <w:rPr>
            <w:noProof/>
            <w:webHidden/>
          </w:rPr>
          <w:tab/>
        </w:r>
        <w:r w:rsidR="00FF412A">
          <w:rPr>
            <w:noProof/>
            <w:webHidden/>
          </w:rPr>
          <w:fldChar w:fldCharType="begin"/>
        </w:r>
        <w:r w:rsidR="00BB3234">
          <w:rPr>
            <w:noProof/>
            <w:webHidden/>
          </w:rPr>
          <w:instrText xml:space="preserve"> PAGEREF _Toc394837905 \h </w:instrText>
        </w:r>
        <w:r w:rsidR="00FF412A">
          <w:rPr>
            <w:noProof/>
            <w:webHidden/>
          </w:rPr>
        </w:r>
        <w:r w:rsidR="00FF412A">
          <w:rPr>
            <w:noProof/>
            <w:webHidden/>
          </w:rPr>
          <w:fldChar w:fldCharType="separate"/>
        </w:r>
        <w:r w:rsidR="00FC7394">
          <w:rPr>
            <w:noProof/>
            <w:webHidden/>
          </w:rPr>
          <w:t>128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906" w:history="1">
        <w:r w:rsidR="00BB3234" w:rsidRPr="00E57C47">
          <w:rPr>
            <w:rStyle w:val="Hyperlink"/>
            <w:noProof/>
            <w:lang w:val="fr-FR"/>
          </w:rPr>
          <w:t>8.1. Dezvoltarea durabilă</w:t>
        </w:r>
        <w:r w:rsidR="00BB3234">
          <w:rPr>
            <w:noProof/>
            <w:webHidden/>
          </w:rPr>
          <w:tab/>
        </w:r>
        <w:r w:rsidR="00FF412A">
          <w:rPr>
            <w:noProof/>
            <w:webHidden/>
          </w:rPr>
          <w:fldChar w:fldCharType="begin"/>
        </w:r>
        <w:r w:rsidR="00BB3234">
          <w:rPr>
            <w:noProof/>
            <w:webHidden/>
          </w:rPr>
          <w:instrText xml:space="preserve"> PAGEREF _Toc394837906 \h </w:instrText>
        </w:r>
        <w:r w:rsidR="00FF412A">
          <w:rPr>
            <w:noProof/>
            <w:webHidden/>
          </w:rPr>
        </w:r>
        <w:r w:rsidR="00FF412A">
          <w:rPr>
            <w:noProof/>
            <w:webHidden/>
          </w:rPr>
          <w:fldChar w:fldCharType="separate"/>
        </w:r>
        <w:r w:rsidR="00FC7394">
          <w:rPr>
            <w:noProof/>
            <w:webHidden/>
          </w:rPr>
          <w:t>128</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907" w:history="1">
        <w:r w:rsidR="00BB3234" w:rsidRPr="00E57C47">
          <w:rPr>
            <w:rStyle w:val="Hyperlink"/>
            <w:noProof/>
            <w:lang w:val="fr-FR"/>
          </w:rPr>
          <w:t>8.2.Egalitatea de șanse și nediscriminarea</w:t>
        </w:r>
        <w:r w:rsidR="00BB3234">
          <w:rPr>
            <w:noProof/>
            <w:webHidden/>
          </w:rPr>
          <w:tab/>
        </w:r>
        <w:r w:rsidR="00FF412A">
          <w:rPr>
            <w:noProof/>
            <w:webHidden/>
          </w:rPr>
          <w:fldChar w:fldCharType="begin"/>
        </w:r>
        <w:r w:rsidR="00BB3234">
          <w:rPr>
            <w:noProof/>
            <w:webHidden/>
          </w:rPr>
          <w:instrText xml:space="preserve"> PAGEREF _Toc394837907 \h </w:instrText>
        </w:r>
        <w:r w:rsidR="00FF412A">
          <w:rPr>
            <w:noProof/>
            <w:webHidden/>
          </w:rPr>
        </w:r>
        <w:r w:rsidR="00FF412A">
          <w:rPr>
            <w:noProof/>
            <w:webHidden/>
          </w:rPr>
          <w:fldChar w:fldCharType="separate"/>
        </w:r>
        <w:r w:rsidR="00FC7394">
          <w:rPr>
            <w:noProof/>
            <w:webHidden/>
          </w:rPr>
          <w:t>129</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908" w:history="1">
        <w:r w:rsidR="00BB3234" w:rsidRPr="00E57C47">
          <w:rPr>
            <w:rStyle w:val="Hyperlink"/>
            <w:noProof/>
            <w:lang w:val="fr-FR"/>
          </w:rPr>
          <w:t>8.3. Egalitatea de gen</w:t>
        </w:r>
        <w:r w:rsidR="00BB3234">
          <w:rPr>
            <w:noProof/>
            <w:webHidden/>
          </w:rPr>
          <w:tab/>
        </w:r>
        <w:r w:rsidR="00FF412A">
          <w:rPr>
            <w:noProof/>
            <w:webHidden/>
          </w:rPr>
          <w:fldChar w:fldCharType="begin"/>
        </w:r>
        <w:r w:rsidR="00BB3234">
          <w:rPr>
            <w:noProof/>
            <w:webHidden/>
          </w:rPr>
          <w:instrText xml:space="preserve"> PAGEREF _Toc394837908 \h </w:instrText>
        </w:r>
        <w:r w:rsidR="00FF412A">
          <w:rPr>
            <w:noProof/>
            <w:webHidden/>
          </w:rPr>
        </w:r>
        <w:r w:rsidR="00FF412A">
          <w:rPr>
            <w:noProof/>
            <w:webHidden/>
          </w:rPr>
          <w:fldChar w:fldCharType="separate"/>
        </w:r>
        <w:r w:rsidR="00FC7394">
          <w:rPr>
            <w:noProof/>
            <w:webHidden/>
          </w:rPr>
          <w:t>130</w:t>
        </w:r>
        <w:r w:rsidR="00FF412A">
          <w:rPr>
            <w:noProof/>
            <w:webHidden/>
          </w:rPr>
          <w:fldChar w:fldCharType="end"/>
        </w:r>
      </w:hyperlink>
    </w:p>
    <w:p w:rsidR="00BB3234" w:rsidRDefault="006D5DA0">
      <w:pPr>
        <w:pStyle w:val="TOC1"/>
        <w:tabs>
          <w:tab w:val="right" w:leader="dot" w:pos="9350"/>
        </w:tabs>
        <w:rPr>
          <w:rFonts w:asciiTheme="minorHAnsi" w:eastAsiaTheme="minorEastAsia" w:hAnsiTheme="minorHAnsi" w:cstheme="minorBidi"/>
          <w:noProof/>
          <w:sz w:val="22"/>
          <w:szCs w:val="22"/>
          <w:lang w:val="fr-FR" w:eastAsia="fr-FR"/>
        </w:rPr>
      </w:pPr>
      <w:hyperlink w:anchor="_Toc394837909" w:history="1">
        <w:r w:rsidR="00BB3234" w:rsidRPr="00E57C47">
          <w:rPr>
            <w:rStyle w:val="Hyperlink"/>
            <w:noProof/>
          </w:rPr>
          <w:t>SECŢIUNEA 9. ELEMENTE SEPARATE</w:t>
        </w:r>
        <w:r w:rsidR="00BB3234">
          <w:rPr>
            <w:noProof/>
            <w:webHidden/>
          </w:rPr>
          <w:tab/>
        </w:r>
        <w:r w:rsidR="00FF412A">
          <w:rPr>
            <w:noProof/>
            <w:webHidden/>
          </w:rPr>
          <w:fldChar w:fldCharType="begin"/>
        </w:r>
        <w:r w:rsidR="00BB3234">
          <w:rPr>
            <w:noProof/>
            <w:webHidden/>
          </w:rPr>
          <w:instrText xml:space="preserve"> PAGEREF _Toc394837909 \h </w:instrText>
        </w:r>
        <w:r w:rsidR="00FF412A">
          <w:rPr>
            <w:noProof/>
            <w:webHidden/>
          </w:rPr>
        </w:r>
        <w:r w:rsidR="00FF412A">
          <w:rPr>
            <w:noProof/>
            <w:webHidden/>
          </w:rPr>
          <w:fldChar w:fldCharType="separate"/>
        </w:r>
        <w:r w:rsidR="00FC7394">
          <w:rPr>
            <w:noProof/>
            <w:webHidden/>
          </w:rPr>
          <w:t>132</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910" w:history="1">
        <w:r w:rsidR="00BB3234" w:rsidRPr="00E57C47">
          <w:rPr>
            <w:rStyle w:val="Hyperlink"/>
            <w:noProof/>
          </w:rPr>
          <w:t>9.1. Proiecte majore care vor fi implementate în cursul perioadei de programare</w:t>
        </w:r>
        <w:r w:rsidR="00BB3234">
          <w:rPr>
            <w:noProof/>
            <w:webHidden/>
          </w:rPr>
          <w:tab/>
        </w:r>
        <w:r w:rsidR="00FF412A">
          <w:rPr>
            <w:noProof/>
            <w:webHidden/>
          </w:rPr>
          <w:fldChar w:fldCharType="begin"/>
        </w:r>
        <w:r w:rsidR="00BB3234">
          <w:rPr>
            <w:noProof/>
            <w:webHidden/>
          </w:rPr>
          <w:instrText xml:space="preserve"> PAGEREF _Toc394837910 \h </w:instrText>
        </w:r>
        <w:r w:rsidR="00FF412A">
          <w:rPr>
            <w:noProof/>
            <w:webHidden/>
          </w:rPr>
        </w:r>
        <w:r w:rsidR="00FF412A">
          <w:rPr>
            <w:noProof/>
            <w:webHidden/>
          </w:rPr>
          <w:fldChar w:fldCharType="separate"/>
        </w:r>
        <w:r w:rsidR="00FC7394">
          <w:rPr>
            <w:noProof/>
            <w:webHidden/>
          </w:rPr>
          <w:t>132</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911" w:history="1">
        <w:r w:rsidR="00BB3234" w:rsidRPr="00E57C47">
          <w:rPr>
            <w:rStyle w:val="Hyperlink"/>
            <w:noProof/>
          </w:rPr>
          <w:t>Tabelul 23: Lista proiectelor majore</w:t>
        </w:r>
        <w:r w:rsidR="00BB3234">
          <w:rPr>
            <w:noProof/>
            <w:webHidden/>
          </w:rPr>
          <w:tab/>
        </w:r>
        <w:r w:rsidR="00FF412A">
          <w:rPr>
            <w:noProof/>
            <w:webHidden/>
          </w:rPr>
          <w:fldChar w:fldCharType="begin"/>
        </w:r>
        <w:r w:rsidR="00BB3234">
          <w:rPr>
            <w:noProof/>
            <w:webHidden/>
          </w:rPr>
          <w:instrText xml:space="preserve"> PAGEREF _Toc394837911 \h </w:instrText>
        </w:r>
        <w:r w:rsidR="00FF412A">
          <w:rPr>
            <w:noProof/>
            <w:webHidden/>
          </w:rPr>
        </w:r>
        <w:r w:rsidR="00FF412A">
          <w:rPr>
            <w:noProof/>
            <w:webHidden/>
          </w:rPr>
          <w:fldChar w:fldCharType="separate"/>
        </w:r>
        <w:r w:rsidR="00FC7394">
          <w:rPr>
            <w:noProof/>
            <w:webHidden/>
          </w:rPr>
          <w:t>132</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912" w:history="1">
        <w:r w:rsidR="00BB3234" w:rsidRPr="00E57C47">
          <w:rPr>
            <w:rStyle w:val="Hyperlink"/>
            <w:noProof/>
            <w:lang w:val="fr-FR"/>
          </w:rPr>
          <w:t>9.2. Cadrul de performanță al programului de cooperare</w:t>
        </w:r>
        <w:r w:rsidR="00BB3234">
          <w:rPr>
            <w:noProof/>
            <w:webHidden/>
          </w:rPr>
          <w:tab/>
        </w:r>
        <w:r w:rsidR="00FF412A">
          <w:rPr>
            <w:noProof/>
            <w:webHidden/>
          </w:rPr>
          <w:fldChar w:fldCharType="begin"/>
        </w:r>
        <w:r w:rsidR="00BB3234">
          <w:rPr>
            <w:noProof/>
            <w:webHidden/>
          </w:rPr>
          <w:instrText xml:space="preserve"> PAGEREF _Toc394837912 \h </w:instrText>
        </w:r>
        <w:r w:rsidR="00FF412A">
          <w:rPr>
            <w:noProof/>
            <w:webHidden/>
          </w:rPr>
        </w:r>
        <w:r w:rsidR="00FF412A">
          <w:rPr>
            <w:noProof/>
            <w:webHidden/>
          </w:rPr>
          <w:fldChar w:fldCharType="separate"/>
        </w:r>
        <w:r w:rsidR="00FC7394">
          <w:rPr>
            <w:noProof/>
            <w:webHidden/>
          </w:rPr>
          <w:t>132</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913" w:history="1">
        <w:r w:rsidR="00BB3234" w:rsidRPr="00E57C47">
          <w:rPr>
            <w:rStyle w:val="Hyperlink"/>
            <w:noProof/>
            <w:lang w:val="fr-FR"/>
          </w:rPr>
          <w:t>Tabelul 24: Cadrul de performanță (tabel rezumativ)</w:t>
        </w:r>
        <w:r w:rsidR="00BB3234">
          <w:rPr>
            <w:noProof/>
            <w:webHidden/>
          </w:rPr>
          <w:tab/>
        </w:r>
        <w:r w:rsidR="00FF412A">
          <w:rPr>
            <w:noProof/>
            <w:webHidden/>
          </w:rPr>
          <w:fldChar w:fldCharType="begin"/>
        </w:r>
        <w:r w:rsidR="00BB3234">
          <w:rPr>
            <w:noProof/>
            <w:webHidden/>
          </w:rPr>
          <w:instrText xml:space="preserve"> PAGEREF _Toc394837913 \h </w:instrText>
        </w:r>
        <w:r w:rsidR="00FF412A">
          <w:rPr>
            <w:noProof/>
            <w:webHidden/>
          </w:rPr>
        </w:r>
        <w:r w:rsidR="00FF412A">
          <w:rPr>
            <w:noProof/>
            <w:webHidden/>
          </w:rPr>
          <w:fldChar w:fldCharType="separate"/>
        </w:r>
        <w:r w:rsidR="00FC7394">
          <w:rPr>
            <w:noProof/>
            <w:webHidden/>
          </w:rPr>
          <w:t>132</w:t>
        </w:r>
        <w:r w:rsidR="00FF412A">
          <w:rPr>
            <w:noProof/>
            <w:webHidden/>
          </w:rPr>
          <w:fldChar w:fldCharType="end"/>
        </w:r>
      </w:hyperlink>
    </w:p>
    <w:p w:rsidR="00BB3234" w:rsidRDefault="006D5DA0">
      <w:pPr>
        <w:pStyle w:val="TOC2"/>
        <w:tabs>
          <w:tab w:val="right" w:leader="dot" w:pos="9350"/>
        </w:tabs>
        <w:rPr>
          <w:rFonts w:asciiTheme="minorHAnsi" w:eastAsiaTheme="minorEastAsia" w:hAnsiTheme="minorHAnsi" w:cstheme="minorBidi"/>
          <w:noProof/>
          <w:sz w:val="22"/>
          <w:szCs w:val="22"/>
          <w:lang w:val="fr-FR" w:eastAsia="fr-FR"/>
        </w:rPr>
      </w:pPr>
      <w:hyperlink w:anchor="_Toc394837914" w:history="1">
        <w:r w:rsidR="00BB3234" w:rsidRPr="00E57C47">
          <w:rPr>
            <w:rStyle w:val="Hyperlink"/>
            <w:noProof/>
            <w:lang w:val="fr-FR"/>
          </w:rPr>
          <w:t>9.3. Partenerii relevanţi implicaţi în pregãtirea programului de cooperare</w:t>
        </w:r>
        <w:r w:rsidR="00BB3234">
          <w:rPr>
            <w:noProof/>
            <w:webHidden/>
          </w:rPr>
          <w:tab/>
        </w:r>
        <w:r w:rsidR="00FF412A">
          <w:rPr>
            <w:noProof/>
            <w:webHidden/>
          </w:rPr>
          <w:fldChar w:fldCharType="begin"/>
        </w:r>
        <w:r w:rsidR="00BB3234">
          <w:rPr>
            <w:noProof/>
            <w:webHidden/>
          </w:rPr>
          <w:instrText xml:space="preserve"> PAGEREF _Toc394837914 \h </w:instrText>
        </w:r>
        <w:r w:rsidR="00FF412A">
          <w:rPr>
            <w:noProof/>
            <w:webHidden/>
          </w:rPr>
        </w:r>
        <w:r w:rsidR="00FF412A">
          <w:rPr>
            <w:noProof/>
            <w:webHidden/>
          </w:rPr>
          <w:fldChar w:fldCharType="separate"/>
        </w:r>
        <w:r w:rsidR="00FC7394">
          <w:rPr>
            <w:noProof/>
            <w:webHidden/>
          </w:rPr>
          <w:t>133</w:t>
        </w:r>
        <w:r w:rsidR="00FF412A">
          <w:rPr>
            <w:noProof/>
            <w:webHidden/>
          </w:rPr>
          <w:fldChar w:fldCharType="end"/>
        </w:r>
      </w:hyperlink>
    </w:p>
    <w:p w:rsidR="00BB3234" w:rsidRDefault="006D5DA0">
      <w:pPr>
        <w:pStyle w:val="TOC2"/>
        <w:tabs>
          <w:tab w:val="left" w:pos="851"/>
          <w:tab w:val="right" w:leader="dot" w:pos="9350"/>
        </w:tabs>
        <w:rPr>
          <w:rFonts w:asciiTheme="minorHAnsi" w:eastAsiaTheme="minorEastAsia" w:hAnsiTheme="minorHAnsi" w:cstheme="minorBidi"/>
          <w:noProof/>
          <w:sz w:val="22"/>
          <w:szCs w:val="22"/>
          <w:lang w:val="fr-FR" w:eastAsia="fr-FR"/>
        </w:rPr>
      </w:pPr>
      <w:hyperlink w:anchor="_Toc394837915" w:history="1">
        <w:r w:rsidR="00BB3234" w:rsidRPr="00E57C47">
          <w:rPr>
            <w:rStyle w:val="Hyperlink"/>
            <w:noProof/>
            <w:lang w:val="fr-FR"/>
          </w:rPr>
          <w:t>9.4.</w:t>
        </w:r>
        <w:r w:rsidR="00BB3234">
          <w:rPr>
            <w:rFonts w:asciiTheme="minorHAnsi" w:eastAsiaTheme="minorEastAsia" w:hAnsiTheme="minorHAnsi" w:cstheme="minorBidi"/>
            <w:noProof/>
            <w:sz w:val="22"/>
            <w:szCs w:val="22"/>
            <w:lang w:val="fr-FR" w:eastAsia="fr-FR"/>
          </w:rPr>
          <w:tab/>
        </w:r>
        <w:r w:rsidR="00BB3234" w:rsidRPr="00E57C47">
          <w:rPr>
            <w:rStyle w:val="Hyperlink"/>
            <w:noProof/>
            <w:lang w:val="fr-FR"/>
          </w:rPr>
          <w:t>Condițiile de implementare a programului aplicabile și care guvernează managementul financiar, programarea, monitorizarea, evaluarea și controlul participării țărilor terțe la programele transnaționale și interregionale prin contribuția cu resurse de la ENI și IPA</w:t>
        </w:r>
        <w:r w:rsidR="00BB3234">
          <w:rPr>
            <w:noProof/>
            <w:webHidden/>
          </w:rPr>
          <w:tab/>
        </w:r>
        <w:r w:rsidR="00FF412A">
          <w:rPr>
            <w:noProof/>
            <w:webHidden/>
          </w:rPr>
          <w:fldChar w:fldCharType="begin"/>
        </w:r>
        <w:r w:rsidR="00BB3234">
          <w:rPr>
            <w:noProof/>
            <w:webHidden/>
          </w:rPr>
          <w:instrText xml:space="preserve"> PAGEREF _Toc394837915 \h </w:instrText>
        </w:r>
        <w:r w:rsidR="00FF412A">
          <w:rPr>
            <w:noProof/>
            <w:webHidden/>
          </w:rPr>
        </w:r>
        <w:r w:rsidR="00FF412A">
          <w:rPr>
            <w:noProof/>
            <w:webHidden/>
          </w:rPr>
          <w:fldChar w:fldCharType="separate"/>
        </w:r>
        <w:r w:rsidR="00FC7394">
          <w:rPr>
            <w:noProof/>
            <w:webHidden/>
          </w:rPr>
          <w:t>135</w:t>
        </w:r>
        <w:r w:rsidR="00FF412A">
          <w:rPr>
            <w:noProof/>
            <w:webHidden/>
          </w:rPr>
          <w:fldChar w:fldCharType="end"/>
        </w:r>
      </w:hyperlink>
    </w:p>
    <w:p w:rsidR="00BB3234" w:rsidRDefault="006D5DA0">
      <w:pPr>
        <w:pStyle w:val="TOC1"/>
        <w:tabs>
          <w:tab w:val="right" w:leader="dot" w:pos="9350"/>
        </w:tabs>
        <w:rPr>
          <w:rFonts w:asciiTheme="minorHAnsi" w:eastAsiaTheme="minorEastAsia" w:hAnsiTheme="minorHAnsi" w:cstheme="minorBidi"/>
          <w:noProof/>
          <w:sz w:val="22"/>
          <w:szCs w:val="22"/>
          <w:lang w:val="fr-FR" w:eastAsia="fr-FR"/>
        </w:rPr>
      </w:pPr>
      <w:hyperlink w:anchor="_Toc394837916" w:history="1">
        <w:r w:rsidR="00BB3234" w:rsidRPr="00E57C47">
          <w:rPr>
            <w:rStyle w:val="Hyperlink"/>
            <w:noProof/>
          </w:rPr>
          <w:t>ANEXE</w:t>
        </w:r>
        <w:r w:rsidR="00BB3234">
          <w:rPr>
            <w:noProof/>
            <w:webHidden/>
          </w:rPr>
          <w:tab/>
        </w:r>
        <w:r w:rsidR="00FF412A">
          <w:rPr>
            <w:noProof/>
            <w:webHidden/>
          </w:rPr>
          <w:fldChar w:fldCharType="begin"/>
        </w:r>
        <w:r w:rsidR="00BB3234">
          <w:rPr>
            <w:noProof/>
            <w:webHidden/>
          </w:rPr>
          <w:instrText xml:space="preserve"> PAGEREF _Toc394837916 \h </w:instrText>
        </w:r>
        <w:r w:rsidR="00FF412A">
          <w:rPr>
            <w:noProof/>
            <w:webHidden/>
          </w:rPr>
        </w:r>
        <w:r w:rsidR="00FF412A">
          <w:rPr>
            <w:noProof/>
            <w:webHidden/>
          </w:rPr>
          <w:fldChar w:fldCharType="separate"/>
        </w:r>
        <w:r w:rsidR="00FC7394">
          <w:rPr>
            <w:noProof/>
            <w:webHidden/>
          </w:rPr>
          <w:t>136</w:t>
        </w:r>
        <w:r w:rsidR="00FF412A">
          <w:rPr>
            <w:noProof/>
            <w:webHidden/>
          </w:rPr>
          <w:fldChar w:fldCharType="end"/>
        </w:r>
      </w:hyperlink>
    </w:p>
    <w:p w:rsidR="00893069" w:rsidRPr="0070649D" w:rsidRDefault="00FF412A" w:rsidP="00EE0393">
      <w:pPr>
        <w:rPr>
          <w:lang w:val="en-US"/>
        </w:rPr>
      </w:pPr>
      <w:r w:rsidRPr="0070649D">
        <w:rPr>
          <w:sz w:val="22"/>
          <w:szCs w:val="22"/>
          <w:lang w:val="en-US"/>
        </w:rPr>
        <w:fldChar w:fldCharType="end"/>
      </w:r>
    </w:p>
    <w:p w:rsidR="00B65C53" w:rsidRPr="0070649D" w:rsidRDefault="00B65C53" w:rsidP="00893069">
      <w:pPr>
        <w:rPr>
          <w:lang w:val="en-US"/>
        </w:rPr>
      </w:pPr>
    </w:p>
    <w:p w:rsidR="00B65C53" w:rsidRPr="0070649D" w:rsidRDefault="00B65C53" w:rsidP="009B1DAA">
      <w:pPr>
        <w:spacing w:after="240" w:line="276" w:lineRule="auto"/>
        <w:rPr>
          <w:rFonts w:eastAsia="Times New Roman"/>
          <w:lang w:val="en-US"/>
        </w:rPr>
        <w:sectPr w:rsidR="00B65C53" w:rsidRPr="0070649D" w:rsidSect="009B1DAA">
          <w:pgSz w:w="12240" w:h="15840"/>
          <w:pgMar w:top="1440" w:right="1440" w:bottom="1440" w:left="1440" w:header="227" w:footer="397" w:gutter="0"/>
          <w:cols w:space="720"/>
          <w:docGrid w:linePitch="360"/>
        </w:sectPr>
      </w:pPr>
    </w:p>
    <w:p w:rsidR="007A5DA0" w:rsidRPr="006F7519" w:rsidRDefault="00935A7B" w:rsidP="00935A7B">
      <w:pPr>
        <w:pStyle w:val="Heading1"/>
        <w:rPr>
          <w:lang w:val="it-IT"/>
        </w:rPr>
      </w:pPr>
      <w:bookmarkStart w:id="0" w:name="_Toc389657952"/>
      <w:bookmarkStart w:id="1" w:name="_Toc394837741"/>
      <w:r w:rsidRPr="006F7519">
        <w:rPr>
          <w:lang w:val="it-IT"/>
        </w:rPr>
        <w:lastRenderedPageBreak/>
        <w:t>SECȚIUNEA 1.</w:t>
      </w:r>
      <w:bookmarkEnd w:id="0"/>
      <w:r w:rsidR="00FA72D0" w:rsidRPr="006F7519">
        <w:rPr>
          <w:lang w:val="it-IT"/>
        </w:rPr>
        <w:t>STRATEGIA PENTRU CONTRIBUȚIA PROGRAMULUI DE COOPERARE LA STRATEGIA UNIUNII PENTRU O CREȘTERE INTELIGENTĂ, DURABILĂ ȘI FAVORABILĂ INCLUZIUNII ȘI REALIZAREA COEZIUNII ECONOMICE, SOCIALE ȘI TERITORIALE</w:t>
      </w:r>
      <w:bookmarkEnd w:id="1"/>
    </w:p>
    <w:p w:rsidR="00FA72D0" w:rsidRPr="006F7519" w:rsidRDefault="00FA72D0" w:rsidP="00FA72D0">
      <w:pPr>
        <w:rPr>
          <w:sz w:val="20"/>
          <w:lang w:val="it-IT" w:eastAsia="fr-BE"/>
        </w:rPr>
      </w:pPr>
      <w:bookmarkStart w:id="2" w:name="_Toc389657953"/>
      <w:r w:rsidRPr="006F7519">
        <w:rPr>
          <w:sz w:val="20"/>
          <w:lang w:val="it-IT" w:eastAsia="fr-BE"/>
        </w:rPr>
        <w:t>[Referință: Articolul 27 alineatul (1) din Regulamentul (UE) nr. 1303/2013 al Parlamentului European și al Consiliului</w:t>
      </w:r>
      <w:r>
        <w:rPr>
          <w:rStyle w:val="FootnoteReference"/>
          <w:sz w:val="20"/>
          <w:lang w:val="en-US" w:eastAsia="fr-BE"/>
        </w:rPr>
        <w:footnoteReference w:id="2"/>
      </w:r>
      <w:r w:rsidRPr="006F7519">
        <w:rPr>
          <w:sz w:val="20"/>
          <w:lang w:val="it-IT" w:eastAsia="fr-BE"/>
        </w:rPr>
        <w:t xml:space="preserve"> și articolul 8 alineatul (2) din Regulamentul (UE) nr. 1299/2013 al Parlamentului European și al Consiliului</w:t>
      </w:r>
      <w:r>
        <w:rPr>
          <w:rStyle w:val="FootnoteReference"/>
          <w:sz w:val="20"/>
          <w:lang w:val="en-US" w:eastAsia="fr-BE"/>
        </w:rPr>
        <w:footnoteReference w:id="3"/>
      </w:r>
    </w:p>
    <w:p w:rsidR="00870A93" w:rsidRPr="006F7519" w:rsidRDefault="00870A93" w:rsidP="00870A93">
      <w:pPr>
        <w:pStyle w:val="Heading2"/>
        <w:rPr>
          <w:lang w:val="it-IT" w:eastAsia="fr-BE"/>
        </w:rPr>
      </w:pPr>
      <w:bookmarkStart w:id="3" w:name="_Toc394837742"/>
      <w:r w:rsidRPr="006F7519">
        <w:rPr>
          <w:lang w:val="it-IT" w:eastAsia="fr-BE"/>
        </w:rPr>
        <w:t xml:space="preserve">1.1. </w:t>
      </w:r>
      <w:r w:rsidR="00FA72D0" w:rsidRPr="006F7519">
        <w:rPr>
          <w:lang w:val="it-IT" w:eastAsia="fr-BE"/>
        </w:rPr>
        <w:t>Strategia pentru contribuția programului de cooperare la strategia Uniunii pentru o creștere inteligentă, durabilă și favorabilă incluziunii și realizarea coeziunii economice, sociale și teritoriale</w:t>
      </w:r>
      <w:bookmarkEnd w:id="3"/>
    </w:p>
    <w:p w:rsidR="005221A8" w:rsidRPr="006F7519" w:rsidRDefault="00582784" w:rsidP="0044269C">
      <w:pPr>
        <w:pStyle w:val="Heading2"/>
        <w:jc w:val="left"/>
        <w:rPr>
          <w:lang w:val="it-IT" w:eastAsia="fr-BE"/>
        </w:rPr>
      </w:pPr>
      <w:bookmarkStart w:id="4" w:name="_Toc389657954"/>
      <w:bookmarkStart w:id="5" w:name="_Toc394837743"/>
      <w:bookmarkEnd w:id="2"/>
      <w:r w:rsidRPr="006F7519">
        <w:rPr>
          <w:lang w:val="it-IT" w:eastAsia="fr-BE"/>
        </w:rPr>
        <w:t xml:space="preserve">1.1.1. </w:t>
      </w:r>
      <w:bookmarkEnd w:id="4"/>
      <w:r w:rsidR="00FA72D0" w:rsidRPr="006F7519">
        <w:rPr>
          <w:lang w:val="it-IT" w:eastAsia="fr-BE"/>
        </w:rPr>
        <w:t>Descrierea strategiei programului de cooperare pentru contribuția la furnizarea strategiei Uniunii pentru o creștere inteligentă, durabilă și favorabilă incluziunii și realizarea coeziunii economice, sociale și teritoriale.</w:t>
      </w:r>
      <w:bookmarkEnd w:id="5"/>
    </w:p>
    <w:p w:rsidR="00B1411D" w:rsidRPr="00B749E7" w:rsidRDefault="0044269C" w:rsidP="00582784">
      <w:pPr>
        <w:pStyle w:val="Heading2"/>
        <w:rPr>
          <w:rStyle w:val="BookTitle"/>
          <w:rFonts w:eastAsiaTheme="majorEastAsia"/>
          <w:b/>
          <w:bCs/>
          <w:smallCaps w:val="0"/>
          <w:spacing w:val="0"/>
          <w:lang w:val="en-US"/>
        </w:rPr>
      </w:pPr>
      <w:bookmarkStart w:id="6" w:name="_Toc394837744"/>
      <w:r w:rsidRPr="0044269C">
        <w:rPr>
          <w:lang w:val="en-US"/>
        </w:rPr>
        <w:t>INTRODUCERE</w:t>
      </w:r>
      <w:bookmarkEnd w:id="6"/>
    </w:p>
    <w:p w:rsidR="00B1411D" w:rsidRPr="00B749E7" w:rsidRDefault="008309AE" w:rsidP="00582784">
      <w:pPr>
        <w:pStyle w:val="Heading8"/>
        <w:rPr>
          <w:lang w:val="en-US"/>
        </w:rPr>
      </w:pPr>
      <w:r>
        <w:rPr>
          <w:lang w:val="en-US"/>
        </w:rPr>
        <w:t>Teritoriu</w:t>
      </w:r>
    </w:p>
    <w:p w:rsidR="00AA6B70" w:rsidRPr="00B749E7" w:rsidRDefault="00AA6B70" w:rsidP="00BD1F65">
      <w:pPr>
        <w:rPr>
          <w:lang w:val="en-US" w:eastAsia="en-US"/>
        </w:rPr>
      </w:pPr>
      <w:r w:rsidRPr="00FF685E">
        <w:rPr>
          <w:szCs w:val="24"/>
          <w:lang w:val="en-US" w:eastAsia="en-US"/>
        </w:rPr>
        <w:t>Programul de cooperare din zona tranfrontalierã România – Bulgaria acoperã 19</w:t>
      </w:r>
      <w:proofErr w:type="gramStart"/>
      <w:r w:rsidRPr="00FF685E">
        <w:rPr>
          <w:szCs w:val="24"/>
          <w:lang w:val="en-US" w:eastAsia="en-US"/>
        </w:rPr>
        <w:t>,8</w:t>
      </w:r>
      <w:proofErr w:type="gramEnd"/>
      <w:r w:rsidRPr="00FF685E">
        <w:rPr>
          <w:szCs w:val="24"/>
          <w:lang w:val="en-US" w:eastAsia="en-US"/>
        </w:rPr>
        <w:t xml:space="preserve">% din suprafaţa celor douã ţãri (69 285 km²), 57, 75 % </w:t>
      </w:r>
      <w:r w:rsidR="00426D85">
        <w:rPr>
          <w:szCs w:val="24"/>
          <w:lang w:val="en-US" w:eastAsia="en-US"/>
        </w:rPr>
        <w:t>din zona care aparţine României</w:t>
      </w:r>
      <w:r w:rsidRPr="00FF685E">
        <w:rPr>
          <w:szCs w:val="24"/>
          <w:lang w:val="en-US" w:eastAsia="en-US"/>
        </w:rPr>
        <w:t xml:space="preserve"> şi 43, 25 % Bulgariei.</w:t>
      </w:r>
    </w:p>
    <w:p w:rsidR="00AA6B70" w:rsidRPr="00B749E7" w:rsidRDefault="00AA6B70" w:rsidP="00BD1F65">
      <w:pPr>
        <w:rPr>
          <w:lang w:val="en-US" w:eastAsia="en-US"/>
        </w:rPr>
      </w:pPr>
      <w:r w:rsidRPr="00FF685E">
        <w:rPr>
          <w:szCs w:val="24"/>
          <w:lang w:val="en-US" w:eastAsia="en-US"/>
        </w:rPr>
        <w:t>Graniţa di</w:t>
      </w:r>
      <w:r w:rsidR="00426D85">
        <w:rPr>
          <w:szCs w:val="24"/>
          <w:lang w:val="en-US" w:eastAsia="en-US"/>
        </w:rPr>
        <w:t>ntre cele douã ţãri are o lungim</w:t>
      </w:r>
      <w:r w:rsidRPr="00FF685E">
        <w:rPr>
          <w:szCs w:val="24"/>
          <w:lang w:val="en-US" w:eastAsia="en-US"/>
        </w:rPr>
        <w:t xml:space="preserve">e de 610 km, 470 km fiind delimitaţi de cãtre fluviul Dunãrea, care </w:t>
      </w:r>
      <w:proofErr w:type="gramStart"/>
      <w:r w:rsidRPr="00FF685E">
        <w:rPr>
          <w:szCs w:val="24"/>
          <w:lang w:val="en-US" w:eastAsia="en-US"/>
        </w:rPr>
        <w:t>este</w:t>
      </w:r>
      <w:proofErr w:type="gramEnd"/>
      <w:r w:rsidRPr="00FF685E">
        <w:rPr>
          <w:szCs w:val="24"/>
          <w:lang w:val="en-US" w:eastAsia="en-US"/>
        </w:rPr>
        <w:t xml:space="preserve"> principala caracteristicã de mediu a regiunii, şi locul unde douã secţiuni distincte pot fi identificate:</w:t>
      </w:r>
    </w:p>
    <w:p w:rsidR="008309AE" w:rsidRPr="008309AE" w:rsidRDefault="008309AE" w:rsidP="00EC1DA9">
      <w:pPr>
        <w:pStyle w:val="ListParagraph"/>
        <w:numPr>
          <w:ilvl w:val="0"/>
          <w:numId w:val="53"/>
        </w:numPr>
        <w:rPr>
          <w:lang w:val="ro-RO"/>
        </w:rPr>
      </w:pPr>
      <w:r w:rsidRPr="008309AE">
        <w:rPr>
          <w:rStyle w:val="hps"/>
          <w:lang w:val="ro-RO"/>
        </w:rPr>
        <w:t>Primapornește de la</w:t>
      </w:r>
      <w:r w:rsidR="00426D85">
        <w:rPr>
          <w:rStyle w:val="hps"/>
          <w:lang w:val="ro-RO"/>
        </w:rPr>
        <w:t xml:space="preserve"> Porţ</w:t>
      </w:r>
      <w:r w:rsidRPr="008309AE">
        <w:rPr>
          <w:rStyle w:val="hps"/>
          <w:lang w:val="ro-RO"/>
        </w:rPr>
        <w:t>ile de FieraleDunării</w:t>
      </w:r>
      <w:r w:rsidRPr="008309AE">
        <w:rPr>
          <w:lang w:val="ro-RO"/>
        </w:rPr>
        <w:t xml:space="preserve">, </w:t>
      </w:r>
      <w:r w:rsidRPr="008309AE">
        <w:rPr>
          <w:rStyle w:val="hps"/>
          <w:lang w:val="ro-RO"/>
        </w:rPr>
        <w:t>la granița dintreRomâniașiSerbia</w:t>
      </w:r>
      <w:r w:rsidRPr="008309AE">
        <w:rPr>
          <w:lang w:val="ro-RO"/>
        </w:rPr>
        <w:t xml:space="preserve">, </w:t>
      </w:r>
      <w:r w:rsidRPr="008309AE">
        <w:rPr>
          <w:rStyle w:val="hps"/>
          <w:lang w:val="ro-RO"/>
        </w:rPr>
        <w:t>până la capătulgranițeicuBulgaria</w:t>
      </w:r>
      <w:r w:rsidRPr="008309AE">
        <w:rPr>
          <w:lang w:val="ro-RO"/>
        </w:rPr>
        <w:t xml:space="preserve">. </w:t>
      </w:r>
      <w:r w:rsidRPr="008309AE">
        <w:rPr>
          <w:rStyle w:val="hps"/>
          <w:lang w:val="ro-RO"/>
        </w:rPr>
        <w:t>Această secțiunede566 kmeste nucleulprogramului</w:t>
      </w:r>
      <w:r w:rsidRPr="008309AE">
        <w:rPr>
          <w:lang w:val="ro-RO"/>
        </w:rPr>
        <w:t xml:space="preserve">. </w:t>
      </w:r>
    </w:p>
    <w:p w:rsidR="008309AE" w:rsidRPr="008309AE" w:rsidRDefault="008309AE" w:rsidP="00EC1DA9">
      <w:pPr>
        <w:pStyle w:val="ListParagraph"/>
        <w:numPr>
          <w:ilvl w:val="0"/>
          <w:numId w:val="53"/>
        </w:numPr>
        <w:rPr>
          <w:lang w:val="ro-RO"/>
        </w:rPr>
      </w:pPr>
      <w:r w:rsidRPr="008309AE">
        <w:rPr>
          <w:rStyle w:val="hps"/>
          <w:lang w:val="ro-RO"/>
        </w:rPr>
        <w:t>A doua</w:t>
      </w:r>
      <w:r w:rsidRPr="008309AE">
        <w:rPr>
          <w:lang w:val="ro-RO"/>
        </w:rPr>
        <w:t xml:space="preserve">, </w:t>
      </w:r>
      <w:r w:rsidRPr="008309AE">
        <w:rPr>
          <w:rStyle w:val="hps"/>
          <w:lang w:val="ro-RO"/>
        </w:rPr>
        <w:t>situată doarînRomânia</w:t>
      </w:r>
      <w:r w:rsidRPr="008309AE">
        <w:rPr>
          <w:lang w:val="ro-RO"/>
        </w:rPr>
        <w:t xml:space="preserve">, </w:t>
      </w:r>
      <w:r w:rsidRPr="008309AE">
        <w:rPr>
          <w:rStyle w:val="hps"/>
          <w:lang w:val="ro-RO"/>
        </w:rPr>
        <w:t>are o lungime de374 km</w:t>
      </w:r>
      <w:r w:rsidRPr="008309AE">
        <w:rPr>
          <w:lang w:val="ro-RO"/>
        </w:rPr>
        <w:t xml:space="preserve">. </w:t>
      </w:r>
      <w:r w:rsidRPr="008309AE">
        <w:rPr>
          <w:rStyle w:val="hps"/>
          <w:lang w:val="ro-RO"/>
        </w:rPr>
        <w:t>Se sfârșește acolo unde începeDeltașieste caracterizată printr-</w:t>
      </w:r>
      <w:r w:rsidRPr="008309AE">
        <w:rPr>
          <w:lang w:val="ro-RO"/>
        </w:rPr>
        <w:t xml:space="preserve">un podiș </w:t>
      </w:r>
      <w:r w:rsidRPr="008309AE">
        <w:rPr>
          <w:rStyle w:val="hps"/>
          <w:lang w:val="ro-RO"/>
        </w:rPr>
        <w:t>situatîntrevalea</w:t>
      </w:r>
      <w:r w:rsidR="00426D85">
        <w:rPr>
          <w:rStyle w:val="hps"/>
          <w:lang w:val="ro-RO"/>
        </w:rPr>
        <w:t xml:space="preserve"> Dunării</w:t>
      </w:r>
      <w:r w:rsidRPr="008309AE">
        <w:rPr>
          <w:rStyle w:val="hps"/>
          <w:lang w:val="ro-RO"/>
        </w:rPr>
        <w:t xml:space="preserve"> lavestși</w:t>
      </w:r>
      <w:r w:rsidR="00426D85">
        <w:rPr>
          <w:rStyle w:val="hps"/>
          <w:lang w:val="ro-RO"/>
        </w:rPr>
        <w:t xml:space="preserve"> Marea Neagră </w:t>
      </w:r>
      <w:r w:rsidRPr="008309AE">
        <w:rPr>
          <w:rStyle w:val="hps"/>
          <w:lang w:val="ro-RO"/>
        </w:rPr>
        <w:t>la nord-est</w:t>
      </w:r>
      <w:r w:rsidRPr="008309AE">
        <w:rPr>
          <w:lang w:val="ro-RO"/>
        </w:rPr>
        <w:t xml:space="preserve">. </w:t>
      </w:r>
    </w:p>
    <w:p w:rsidR="00FB613F" w:rsidRPr="00FB613F" w:rsidRDefault="00FB613F" w:rsidP="00FB613F">
      <w:pPr>
        <w:rPr>
          <w:lang w:val="ro-RO" w:eastAsia="en-US"/>
        </w:rPr>
      </w:pPr>
      <w:r w:rsidRPr="00FB613F">
        <w:rPr>
          <w:lang w:val="ro-RO" w:eastAsia="en-US"/>
        </w:rPr>
        <w:t>Aproape toate formele de relief marchează teritoriul transfrontalier: dealuri, podișuri, văi, câmpii și lunci, lacuri.</w:t>
      </w:r>
    </w:p>
    <w:p w:rsidR="00FB613F" w:rsidRPr="00FB613F" w:rsidRDefault="00FB613F" w:rsidP="00FB613F">
      <w:pPr>
        <w:rPr>
          <w:lang w:val="ro-RO" w:eastAsia="en-US"/>
        </w:rPr>
      </w:pPr>
      <w:r w:rsidRPr="00FB613F">
        <w:rPr>
          <w:lang w:val="ro-RO" w:eastAsia="en-US"/>
        </w:rPr>
        <w:t>Cele 393,200 de hectare de pe suprafața României includ 78.21% terenuri agricole, 10,77% păduri și alte terenuri forestiere și 4,02% ape și lacuri.</w:t>
      </w:r>
    </w:p>
    <w:p w:rsidR="008309AE" w:rsidRPr="008309AE" w:rsidRDefault="00426D85" w:rsidP="00FB613F">
      <w:pPr>
        <w:rPr>
          <w:lang w:val="ro-RO" w:eastAsia="en-US"/>
        </w:rPr>
      </w:pPr>
      <w:r>
        <w:rPr>
          <w:lang w:val="ro-RO" w:eastAsia="en-US"/>
        </w:rPr>
        <w:t>Specificitatea principală</w:t>
      </w:r>
      <w:r w:rsidR="00FB613F" w:rsidRPr="00FB613F">
        <w:rPr>
          <w:lang w:val="ro-RO" w:eastAsia="en-US"/>
        </w:rPr>
        <w:t xml:space="preserve"> a zonei bulgărești o reprezintă rețeaua unică de râuri (20 de afluenți mari ale Du</w:t>
      </w:r>
      <w:r w:rsidR="004B6D95">
        <w:rPr>
          <w:lang w:val="ro-RO" w:eastAsia="en-US"/>
        </w:rPr>
        <w:t xml:space="preserve">nării) </w:t>
      </w:r>
      <w:r w:rsidR="00FB613F">
        <w:rPr>
          <w:lang w:val="ro-RO" w:eastAsia="en-US"/>
        </w:rPr>
        <w:t>care fac</w:t>
      </w:r>
      <w:r w:rsidR="00FB613F" w:rsidRPr="00FB613F">
        <w:rPr>
          <w:lang w:val="ro-RO" w:eastAsia="en-US"/>
        </w:rPr>
        <w:t xml:space="preserve"> parte din zona de drenaj a Mării Negre și irigă terenurile </w:t>
      </w:r>
      <w:r w:rsidR="004B6D95">
        <w:rPr>
          <w:lang w:val="ro-RO" w:eastAsia="en-US"/>
        </w:rPr>
        <w:t>agricole ce</w:t>
      </w:r>
      <w:r w:rsidR="00FB613F" w:rsidRPr="00FB613F">
        <w:rPr>
          <w:lang w:val="ro-RO" w:eastAsia="en-US"/>
        </w:rPr>
        <w:t xml:space="preserve"> reprezintă 52% din totalul terenurilor arabile din Bulgaria și peste </w:t>
      </w:r>
      <w:r w:rsidR="004B6D95">
        <w:rPr>
          <w:lang w:val="ro-RO" w:eastAsia="en-US"/>
        </w:rPr>
        <w:t>20% din domeniile cu viticultură</w:t>
      </w:r>
      <w:r w:rsidR="00FB613F" w:rsidRPr="00FB613F">
        <w:rPr>
          <w:lang w:val="ro-RO" w:eastAsia="en-US"/>
        </w:rPr>
        <w:t>.</w:t>
      </w:r>
    </w:p>
    <w:p w:rsidR="003D6CDD" w:rsidRPr="002400D1" w:rsidRDefault="003D6CDD" w:rsidP="00FB613F">
      <w:pPr>
        <w:spacing w:before="0" w:after="200"/>
        <w:rPr>
          <w:szCs w:val="24"/>
          <w:lang w:val="fr-FR" w:eastAsia="en-US"/>
        </w:rPr>
      </w:pPr>
      <w:r w:rsidRPr="00BB39AB">
        <w:rPr>
          <w:szCs w:val="24"/>
          <w:lang w:val="fr-FR" w:eastAsia="en-US"/>
        </w:rPr>
        <w:lastRenderedPageBreak/>
        <w:t xml:space="preserve">Zona transfrontalierã include o singurã autostradã care merge de la Bucureşti </w:t>
      </w:r>
      <w:r w:rsidR="00FB613F">
        <w:rPr>
          <w:szCs w:val="24"/>
          <w:lang w:val="fr-FR" w:eastAsia="en-US"/>
        </w:rPr>
        <w:t>la Constanţa (</w:t>
      </w:r>
      <w:r w:rsidRPr="00BB39AB">
        <w:rPr>
          <w:szCs w:val="24"/>
          <w:lang w:val="fr-FR" w:eastAsia="en-US"/>
        </w:rPr>
        <w:t>220 km). Re</w:t>
      </w:r>
      <w:r w:rsidRPr="00BB39AB">
        <w:rPr>
          <w:rFonts w:ascii="Cambria Math" w:hAnsi="Cambria Math" w:cs="Cambria Math"/>
          <w:szCs w:val="24"/>
          <w:lang w:val="fr-FR" w:eastAsia="en-US"/>
        </w:rPr>
        <w:t>ț</w:t>
      </w:r>
      <w:r w:rsidRPr="00BB39AB">
        <w:rPr>
          <w:szCs w:val="24"/>
          <w:lang w:val="fr-FR" w:eastAsia="en-US"/>
        </w:rPr>
        <w:t xml:space="preserve">elele de drumuri secundare </w:t>
      </w:r>
      <w:r w:rsidRPr="00BB39AB">
        <w:rPr>
          <w:rFonts w:ascii="Cambria Math" w:hAnsi="Cambria Math" w:cs="Cambria Math"/>
          <w:szCs w:val="24"/>
          <w:lang w:val="fr-FR" w:eastAsia="en-US"/>
        </w:rPr>
        <w:t>ș</w:t>
      </w:r>
      <w:r w:rsidRPr="00BB39AB">
        <w:rPr>
          <w:szCs w:val="24"/>
          <w:lang w:val="fr-FR" w:eastAsia="en-US"/>
        </w:rPr>
        <w:t>i ter</w:t>
      </w:r>
      <w:r w:rsidRPr="00BB39AB">
        <w:rPr>
          <w:rFonts w:ascii="Cambria Math" w:hAnsi="Cambria Math" w:cs="Cambria Math"/>
          <w:szCs w:val="24"/>
          <w:lang w:val="fr-FR" w:eastAsia="en-US"/>
        </w:rPr>
        <w:t>ț</w:t>
      </w:r>
      <w:r w:rsidRPr="00BB39AB">
        <w:rPr>
          <w:szCs w:val="24"/>
          <w:lang w:val="fr-FR" w:eastAsia="en-US"/>
        </w:rPr>
        <w:t>iare precum şi reţeaua de cale feratã sunt nedezvoltate şi slab întreţinute. Consecinţa acestui fapt constã într-o accesibilitate generalã redusã în zonã. Dunãrea şi afluenţii sãi reprezintã un potenţial comercial şi o rutã de transport turistic, dar navigabilitatea redusã a fluviului din cauza factorilor antropici şi naturali împiedicã dezvoltarea sa.</w:t>
      </w:r>
    </w:p>
    <w:p w:rsidR="002400D1" w:rsidRPr="000519FF" w:rsidRDefault="002400D1" w:rsidP="00BD1F65">
      <w:pPr>
        <w:rPr>
          <w:lang w:val="fr-FR"/>
        </w:rPr>
      </w:pPr>
      <w:r w:rsidRPr="000519FF">
        <w:rPr>
          <w:szCs w:val="24"/>
          <w:lang w:val="fr-FR" w:eastAsia="en-US"/>
        </w:rPr>
        <w:t xml:space="preserve">Sursele de energie sunt rare în zona de graniţã a </w:t>
      </w:r>
      <w:r w:rsidR="004B6D95">
        <w:rPr>
          <w:szCs w:val="24"/>
          <w:lang w:val="fr-FR" w:eastAsia="en-US"/>
        </w:rPr>
        <w:t>Bulgariei, dar zona din România</w:t>
      </w:r>
      <w:r w:rsidRPr="000519FF">
        <w:rPr>
          <w:szCs w:val="24"/>
          <w:lang w:val="fr-FR" w:eastAsia="en-US"/>
        </w:rPr>
        <w:t xml:space="preserve"> include câteva rezerve de petrol şi gaze naturale, iar zona transfrontalierã este bogatã din punct de vedere al mineralelor, precum cărbuni, calcar, marmurã, caolin, piatră, siderit, etc.</w:t>
      </w:r>
    </w:p>
    <w:p w:rsidR="00071FBB" w:rsidRPr="00FF685E" w:rsidRDefault="00071FBB" w:rsidP="00BD1F65">
      <w:pPr>
        <w:rPr>
          <w:rFonts w:ascii="Calibri" w:hAnsi="Calibri"/>
          <w:sz w:val="22"/>
          <w:szCs w:val="22"/>
          <w:lang w:val="fr-FR" w:eastAsia="en-US"/>
        </w:rPr>
      </w:pPr>
      <w:r w:rsidRPr="000519FF">
        <w:rPr>
          <w:szCs w:val="24"/>
          <w:lang w:val="fr-FR" w:eastAsia="en-US"/>
        </w:rPr>
        <w:t xml:space="preserve">Regiunea reprezintã o zonã importantã în producţia </w:t>
      </w:r>
      <w:proofErr w:type="gramStart"/>
      <w:r w:rsidRPr="000519FF">
        <w:rPr>
          <w:szCs w:val="24"/>
          <w:lang w:val="fr-FR" w:eastAsia="en-US"/>
        </w:rPr>
        <w:t>de energie</w:t>
      </w:r>
      <w:proofErr w:type="gramEnd"/>
      <w:r w:rsidRPr="000519FF">
        <w:rPr>
          <w:szCs w:val="24"/>
          <w:lang w:val="fr-FR" w:eastAsia="en-US"/>
        </w:rPr>
        <w:t xml:space="preserve">, atât </w:t>
      </w:r>
      <w:r w:rsidR="003D63C6" w:rsidRPr="000519FF">
        <w:rPr>
          <w:szCs w:val="24"/>
          <w:lang w:val="fr-FR" w:eastAsia="en-US"/>
        </w:rPr>
        <w:t>centrala atomo-electrică</w:t>
      </w:r>
      <w:r w:rsidRPr="000519FF">
        <w:rPr>
          <w:szCs w:val="24"/>
          <w:lang w:val="fr-FR" w:eastAsia="en-US"/>
        </w:rPr>
        <w:t xml:space="preserve"> din România, cât şi cea din Bulgaria fi</w:t>
      </w:r>
      <w:r w:rsidR="003D63C6" w:rsidRPr="000519FF">
        <w:rPr>
          <w:szCs w:val="24"/>
          <w:lang w:val="fr-FR" w:eastAsia="en-US"/>
        </w:rPr>
        <w:t xml:space="preserve">ind situate de-a lungul Dunãrii. </w:t>
      </w:r>
      <w:proofErr w:type="gramStart"/>
      <w:r w:rsidR="003D63C6" w:rsidRPr="000519FF">
        <w:rPr>
          <w:szCs w:val="24"/>
          <w:lang w:val="fr-FR" w:eastAsia="en-US"/>
        </w:rPr>
        <w:t>De asemenea</w:t>
      </w:r>
      <w:proofErr w:type="gramEnd"/>
      <w:r w:rsidR="003D63C6" w:rsidRPr="000519FF">
        <w:rPr>
          <w:szCs w:val="24"/>
          <w:lang w:val="fr-FR" w:eastAsia="en-US"/>
        </w:rPr>
        <w:t xml:space="preserve">, există și importante instalații de producere a energiei electrice din surse regenerabile, spre exemplu importantele hidrocentrale </w:t>
      </w:r>
      <w:r w:rsidRPr="000519FF">
        <w:rPr>
          <w:szCs w:val="24"/>
          <w:lang w:val="fr-FR" w:eastAsia="en-US"/>
        </w:rPr>
        <w:t>P</w:t>
      </w:r>
      <w:r w:rsidR="00DB573B">
        <w:rPr>
          <w:szCs w:val="24"/>
          <w:lang w:val="fr-FR" w:eastAsia="en-US"/>
        </w:rPr>
        <w:t xml:space="preserve">orţile de Fier I şi II </w:t>
      </w:r>
      <w:r w:rsidR="003D63C6" w:rsidRPr="000519FF">
        <w:rPr>
          <w:szCs w:val="24"/>
          <w:lang w:val="fr-FR" w:eastAsia="en-US"/>
        </w:rPr>
        <w:t>situate</w:t>
      </w:r>
      <w:r w:rsidR="000519FF" w:rsidRPr="000519FF">
        <w:rPr>
          <w:szCs w:val="24"/>
          <w:lang w:val="fr-FR" w:eastAsia="en-US"/>
        </w:rPr>
        <w:t>în</w:t>
      </w:r>
      <w:r w:rsidRPr="000519FF">
        <w:rPr>
          <w:szCs w:val="24"/>
          <w:lang w:val="fr-FR" w:eastAsia="en-US"/>
        </w:rPr>
        <w:t xml:space="preserve"> zona de graniţã Serbia – România.</w:t>
      </w:r>
    </w:p>
    <w:p w:rsidR="000519FF" w:rsidRPr="000519FF" w:rsidRDefault="000519FF" w:rsidP="00BD1F65">
      <w:pPr>
        <w:rPr>
          <w:lang w:val="fr-FR" w:eastAsia="en-US"/>
        </w:rPr>
      </w:pPr>
      <w:r w:rsidRPr="000519FF">
        <w:rPr>
          <w:lang w:val="fr-FR" w:eastAsia="en-US"/>
        </w:rPr>
        <w:t xml:space="preserve">Mai mult decât atât, datorită activelor sale naturale, regiunea are un potențial semnificativ în a-și extinde utilizarea energiei regenerabile. Condițiile naturale pentru producția de energie eoliană sunt larg recunoscute, ceea ce face zona de coastă să fie deja o parte a Zonei Europene de Energie Eoliană la Scară Largă. Regiunea este, </w:t>
      </w:r>
      <w:proofErr w:type="gramStart"/>
      <w:r w:rsidRPr="000519FF">
        <w:rPr>
          <w:lang w:val="fr-FR" w:eastAsia="en-US"/>
        </w:rPr>
        <w:t>de asemenea</w:t>
      </w:r>
      <w:proofErr w:type="gramEnd"/>
      <w:r w:rsidRPr="000519FF">
        <w:rPr>
          <w:lang w:val="fr-FR" w:eastAsia="en-US"/>
        </w:rPr>
        <w:t>, bine poziționată pentru generarea de energie fotovoltaică, iar energia geotermală este încă o altă opțiune pentru partea bulgărească de nord-est a zonei.</w:t>
      </w:r>
    </w:p>
    <w:p w:rsidR="00767D69" w:rsidRPr="00FF685E" w:rsidRDefault="00767D69" w:rsidP="00BD1F65">
      <w:pPr>
        <w:rPr>
          <w:lang w:val="fr-FR" w:eastAsia="en-US"/>
        </w:rPr>
      </w:pPr>
      <w:r w:rsidRPr="000519FF">
        <w:rPr>
          <w:szCs w:val="24"/>
          <w:lang w:val="fr-FR" w:eastAsia="en-US"/>
        </w:rPr>
        <w:t xml:space="preserve">Clima zonei este temperat – continentalã cu veri foarte cãlduroase, cantitãţi reduse </w:t>
      </w:r>
      <w:r w:rsidR="00DB573B">
        <w:rPr>
          <w:szCs w:val="24"/>
          <w:lang w:val="fr-FR" w:eastAsia="en-US"/>
        </w:rPr>
        <w:t>de precipitaţii şi ieri geroase</w:t>
      </w:r>
      <w:r w:rsidRPr="000519FF">
        <w:rPr>
          <w:szCs w:val="24"/>
          <w:lang w:val="fr-FR" w:eastAsia="en-US"/>
        </w:rPr>
        <w:t xml:space="preserve"> marcate </w:t>
      </w:r>
      <w:proofErr w:type="gramStart"/>
      <w:r w:rsidRPr="000519FF">
        <w:rPr>
          <w:szCs w:val="24"/>
          <w:lang w:val="fr-FR" w:eastAsia="en-US"/>
        </w:rPr>
        <w:t>de intervale</w:t>
      </w:r>
      <w:proofErr w:type="gramEnd"/>
      <w:r w:rsidRPr="000519FF">
        <w:rPr>
          <w:szCs w:val="24"/>
          <w:lang w:val="fr-FR" w:eastAsia="en-US"/>
        </w:rPr>
        <w:t xml:space="preserve"> cu furtuni puternice de zãpadã şi încãlziri frecvente. În regiunea transfrontalierã temperatura medie anualã indicã o tendinţã de creştere semnificativã în majoritatea districtelor/ judeţelor. Într-adevãr, schimbarea climatului se resimte în zonã, prin intermediul perioadelor de secetã, inundaţiilor şi eroziunilor severe (eroziunea malului Dunării, eroziunea terenurilor).</w:t>
      </w:r>
    </w:p>
    <w:p w:rsidR="000519FF" w:rsidRPr="000519FF" w:rsidRDefault="000519FF" w:rsidP="000519FF">
      <w:pPr>
        <w:rPr>
          <w:lang w:val="fr-FR" w:eastAsia="en-US"/>
        </w:rPr>
      </w:pPr>
      <w:r w:rsidRPr="000519FF">
        <w:rPr>
          <w:lang w:val="fr-FR" w:eastAsia="en-US"/>
        </w:rPr>
        <w:t xml:space="preserve">Pădurile care acoperă o parte remarcabilă </w:t>
      </w:r>
      <w:proofErr w:type="gramStart"/>
      <w:r w:rsidRPr="000519FF">
        <w:rPr>
          <w:lang w:val="fr-FR" w:eastAsia="en-US"/>
        </w:rPr>
        <w:t>a</w:t>
      </w:r>
      <w:proofErr w:type="gramEnd"/>
      <w:r w:rsidRPr="000519FF">
        <w:rPr>
          <w:lang w:val="fr-FR" w:eastAsia="en-US"/>
        </w:rPr>
        <w:t xml:space="preserve"> teritoriului sunt foarte importante pentru protecția împotriva eroziunii terenurilor agricole, precum și pentru conservarea biodiversității. Fauna din zonă are specii continentale și de stepă (șoareci de cîmp, chițcani și alte rozătoare mici, lilieci, broaște, șerpi, etc). Există mari varietăți de păsări și pești: peste 200 de specii de păsări în zonele de lac, insule și păduri, aproape de Dunăre.</w:t>
      </w:r>
    </w:p>
    <w:p w:rsidR="00B1411D" w:rsidRPr="00376C40" w:rsidRDefault="000519FF" w:rsidP="000519FF">
      <w:pPr>
        <w:rPr>
          <w:lang w:val="fr-FR" w:eastAsia="en-US"/>
        </w:rPr>
      </w:pPr>
      <w:r w:rsidRPr="00376C40">
        <w:rPr>
          <w:lang w:val="fr-FR" w:eastAsia="en-US"/>
        </w:rPr>
        <w:t>Prin urmare, regiunea transfrontalieră se caracterizează printr-o diversitate biologică excepțională și prin peisaje naturale valoroase, care sunt accesibile într-un mod alarmant și puse în pericol din cauza schimbărilor climatice.</w:t>
      </w:r>
    </w:p>
    <w:p w:rsidR="00B1411D" w:rsidRPr="00B749E7" w:rsidRDefault="00C4557E" w:rsidP="00BD1F65">
      <w:pPr>
        <w:pStyle w:val="Heading8"/>
        <w:rPr>
          <w:lang w:val="en-US"/>
        </w:rPr>
      </w:pPr>
      <w:r>
        <w:rPr>
          <w:lang w:val="en-US"/>
        </w:rPr>
        <w:t>Governare</w:t>
      </w:r>
      <w:r w:rsidR="00B1411D" w:rsidRPr="00B749E7">
        <w:rPr>
          <w:lang w:val="en-US"/>
        </w:rPr>
        <w:t>/Administra</w:t>
      </w:r>
      <w:r>
        <w:rPr>
          <w:lang w:val="en-US"/>
        </w:rPr>
        <w:t>re</w:t>
      </w:r>
    </w:p>
    <w:p w:rsidR="00C4557E" w:rsidRPr="00C4557E" w:rsidRDefault="00C4557E" w:rsidP="00C4557E">
      <w:pPr>
        <w:rPr>
          <w:lang w:val="fr-FR" w:eastAsia="en-US"/>
        </w:rPr>
      </w:pPr>
      <w:r w:rsidRPr="00C4557E">
        <w:rPr>
          <w:lang w:val="fr-FR" w:eastAsia="en-US"/>
        </w:rPr>
        <w:t>Bulgaria și România sunt state unitare centralizate cu un singur nivel intermediar de unități de administrare între guvernul central și autoritățile locale / municipale: districtele bulgăre</w:t>
      </w:r>
      <w:r>
        <w:rPr>
          <w:lang w:val="fr-FR" w:eastAsia="en-US"/>
        </w:rPr>
        <w:t>ș</w:t>
      </w:r>
      <w:r w:rsidRPr="00C4557E">
        <w:rPr>
          <w:lang w:val="fr-FR" w:eastAsia="en-US"/>
        </w:rPr>
        <w:t>ti și ju</w:t>
      </w:r>
      <w:r>
        <w:rPr>
          <w:lang w:val="fr-FR" w:eastAsia="en-US"/>
        </w:rPr>
        <w:t>dețele românești, ambele fiind</w:t>
      </w:r>
      <w:r w:rsidRPr="00C4557E">
        <w:rPr>
          <w:lang w:val="fr-FR" w:eastAsia="en-US"/>
        </w:rPr>
        <w:t xml:space="preserve"> NUTS 3 cu o personalitate juridică de drept public.</w:t>
      </w:r>
    </w:p>
    <w:p w:rsidR="00C4557E" w:rsidRPr="00C4557E" w:rsidRDefault="00C4557E" w:rsidP="00C4557E">
      <w:pPr>
        <w:rPr>
          <w:lang w:val="fr-FR" w:eastAsia="en-US"/>
        </w:rPr>
      </w:pPr>
      <w:r w:rsidRPr="00C4557E">
        <w:rPr>
          <w:lang w:val="fr-FR" w:eastAsia="en-US"/>
        </w:rPr>
        <w:t xml:space="preserve">Un nivel regional (NUTS 2) a fost creat doar pentru scopuri de management </w:t>
      </w:r>
      <w:r>
        <w:rPr>
          <w:lang w:val="fr-FR" w:eastAsia="en-US"/>
        </w:rPr>
        <w:t>FEDR</w:t>
      </w:r>
      <w:r w:rsidRPr="00C4557E">
        <w:rPr>
          <w:lang w:val="fr-FR" w:eastAsia="en-US"/>
        </w:rPr>
        <w:t xml:space="preserve"> și de planificare statistică, iar în cazul României se considerată ca fiind o asociere doar cu personalitate juridică de drept privat.</w:t>
      </w:r>
    </w:p>
    <w:p w:rsidR="00C4557E" w:rsidRPr="00C4557E" w:rsidRDefault="00C4557E" w:rsidP="00C4557E">
      <w:pPr>
        <w:rPr>
          <w:lang w:val="fr-FR" w:eastAsia="en-US"/>
        </w:rPr>
      </w:pPr>
      <w:r w:rsidRPr="00C4557E">
        <w:rPr>
          <w:lang w:val="fr-FR" w:eastAsia="en-US"/>
        </w:rPr>
        <w:t xml:space="preserve">Programul zonei transfrontaliere România - Bulgaria este bazat pe unităţile NUTS 3 şi include şapte judeţe din România şi opt districte din Bulgaria care se compun în mare parte din municipii (LAU 2). </w:t>
      </w:r>
    </w:p>
    <w:p w:rsidR="00C4557E" w:rsidRPr="00C4557E" w:rsidRDefault="00C4557E" w:rsidP="00C4557E">
      <w:pPr>
        <w:rPr>
          <w:lang w:val="fr-FR" w:eastAsia="en-US"/>
        </w:rPr>
      </w:pPr>
      <w:r w:rsidRPr="00C4557E">
        <w:rPr>
          <w:lang w:val="fr-FR" w:eastAsia="en-US"/>
        </w:rPr>
        <w:t xml:space="preserve">Cele 15 </w:t>
      </w:r>
      <w:r>
        <w:rPr>
          <w:lang w:val="fr-FR" w:eastAsia="en-US"/>
        </w:rPr>
        <w:t>unitãţi administrative (NUTS 3</w:t>
      </w:r>
      <w:r w:rsidRPr="00C4557E">
        <w:rPr>
          <w:lang w:val="fr-FR" w:eastAsia="en-US"/>
        </w:rPr>
        <w:t>) incluse în Zona Programului fac parte din şase</w:t>
      </w:r>
      <w:r>
        <w:rPr>
          <w:lang w:val="fr-FR" w:eastAsia="en-US"/>
        </w:rPr>
        <w:t xml:space="preserve"> regiuni administrative (NUTS 2</w:t>
      </w:r>
      <w:r w:rsidRPr="00C4557E">
        <w:rPr>
          <w:lang w:val="fr-FR" w:eastAsia="en-US"/>
        </w:rPr>
        <w:t>), dupã cum urmeazã:</w:t>
      </w:r>
    </w:p>
    <w:p w:rsidR="00C4557E" w:rsidRPr="00376C40" w:rsidRDefault="00C4557E" w:rsidP="00EC1DA9">
      <w:pPr>
        <w:pStyle w:val="ListParagraph"/>
        <w:numPr>
          <w:ilvl w:val="0"/>
          <w:numId w:val="54"/>
        </w:numPr>
        <w:rPr>
          <w:lang w:val="fr-FR" w:eastAsia="en-US"/>
        </w:rPr>
      </w:pPr>
      <w:r w:rsidRPr="00376C40">
        <w:rPr>
          <w:lang w:val="fr-FR" w:eastAsia="en-US"/>
        </w:rPr>
        <w:lastRenderedPageBreak/>
        <w:t>Judeţele Mehedinţi, Dolj şi Olt – parte din zona de dezvoltare sud-vest din România, Regiunea Oltenia;</w:t>
      </w:r>
    </w:p>
    <w:p w:rsidR="00C4557E" w:rsidRPr="00376C40" w:rsidRDefault="00C4557E" w:rsidP="00EC1DA9">
      <w:pPr>
        <w:pStyle w:val="ListParagraph"/>
        <w:numPr>
          <w:ilvl w:val="0"/>
          <w:numId w:val="54"/>
        </w:numPr>
        <w:rPr>
          <w:lang w:val="fr-FR" w:eastAsia="en-US"/>
        </w:rPr>
      </w:pPr>
      <w:r w:rsidRPr="00376C40">
        <w:rPr>
          <w:lang w:val="fr-FR" w:eastAsia="en-US"/>
        </w:rPr>
        <w:t>Judeţele Teleorman, Giurgiu şi Călărași – parte din zona de dezvoltare sud, Muntenia, România;</w:t>
      </w:r>
    </w:p>
    <w:p w:rsidR="00C4557E" w:rsidRPr="00C4557E" w:rsidRDefault="00C4557E" w:rsidP="00EC1DA9">
      <w:pPr>
        <w:pStyle w:val="ListParagraph"/>
        <w:numPr>
          <w:ilvl w:val="0"/>
          <w:numId w:val="54"/>
        </w:numPr>
        <w:rPr>
          <w:lang w:val="fr-FR" w:eastAsia="en-US"/>
        </w:rPr>
      </w:pPr>
      <w:r w:rsidRPr="00C4557E">
        <w:rPr>
          <w:lang w:val="fr-FR" w:eastAsia="en-US"/>
        </w:rPr>
        <w:t>Judeţul Constanţa este parte a zonei de dezvoltare sud-est, România;</w:t>
      </w:r>
    </w:p>
    <w:p w:rsidR="00C4557E" w:rsidRPr="00C4557E" w:rsidRDefault="00C4557E" w:rsidP="00EC1DA9">
      <w:pPr>
        <w:pStyle w:val="ListParagraph"/>
        <w:numPr>
          <w:ilvl w:val="0"/>
          <w:numId w:val="54"/>
        </w:numPr>
        <w:rPr>
          <w:lang w:val="fr-FR" w:eastAsia="en-US"/>
        </w:rPr>
      </w:pPr>
      <w:r w:rsidRPr="00C4557E">
        <w:rPr>
          <w:lang w:val="fr-FR" w:eastAsia="en-US"/>
        </w:rPr>
        <w:t>Districtele Vidin, Vratsa, Montana şi Pleven  - parte a regiunii nord-vest, Bulgaria;</w:t>
      </w:r>
    </w:p>
    <w:p w:rsidR="00C4557E" w:rsidRPr="00C4557E" w:rsidRDefault="00C4557E" w:rsidP="00EC1DA9">
      <w:pPr>
        <w:pStyle w:val="ListParagraph"/>
        <w:numPr>
          <w:ilvl w:val="0"/>
          <w:numId w:val="54"/>
        </w:numPr>
        <w:rPr>
          <w:lang w:val="fr-FR" w:eastAsia="en-US"/>
        </w:rPr>
      </w:pPr>
      <w:r w:rsidRPr="00C4557E">
        <w:rPr>
          <w:lang w:val="fr-FR" w:eastAsia="en-US"/>
        </w:rPr>
        <w:t>Districtele Veliko-Tarnovo, Ruse şi Silistra – parte a regiunii nord-centrale, Bulgaria;</w:t>
      </w:r>
    </w:p>
    <w:p w:rsidR="00C4557E" w:rsidRPr="00C4557E" w:rsidRDefault="00C4557E" w:rsidP="00EC1DA9">
      <w:pPr>
        <w:pStyle w:val="ListParagraph"/>
        <w:numPr>
          <w:ilvl w:val="0"/>
          <w:numId w:val="54"/>
        </w:numPr>
        <w:rPr>
          <w:lang w:val="fr-FR" w:eastAsia="en-US"/>
        </w:rPr>
      </w:pPr>
      <w:r w:rsidRPr="00C4557E">
        <w:rPr>
          <w:lang w:val="fr-FR" w:eastAsia="en-US"/>
        </w:rPr>
        <w:t xml:space="preserve">Districtul Dobrich este parte </w:t>
      </w:r>
      <w:proofErr w:type="gramStart"/>
      <w:r w:rsidRPr="00C4557E">
        <w:rPr>
          <w:lang w:val="fr-FR" w:eastAsia="en-US"/>
        </w:rPr>
        <w:t>a</w:t>
      </w:r>
      <w:proofErr w:type="gramEnd"/>
      <w:r w:rsidRPr="00C4557E">
        <w:rPr>
          <w:lang w:val="fr-FR" w:eastAsia="en-US"/>
        </w:rPr>
        <w:t xml:space="preserve"> regiunii nord-est, Bulgaria  </w:t>
      </w:r>
    </w:p>
    <w:p w:rsidR="00C4557E" w:rsidRPr="00C4557E" w:rsidRDefault="00C4557E" w:rsidP="00C4557E">
      <w:pPr>
        <w:rPr>
          <w:lang w:val="fr-FR" w:eastAsia="en-US"/>
        </w:rPr>
      </w:pPr>
      <w:r w:rsidRPr="00C4557E">
        <w:rPr>
          <w:lang w:val="fr-FR" w:eastAsia="en-US"/>
        </w:rPr>
        <w:t xml:space="preserve">În România, consiliul local </w:t>
      </w:r>
      <w:r w:rsidR="00D44E03">
        <w:rPr>
          <w:lang w:val="fr-FR" w:eastAsia="en-US"/>
        </w:rPr>
        <w:t>este ales la fiecare patru ani ş</w:t>
      </w:r>
      <w:r w:rsidRPr="00C4557E">
        <w:rPr>
          <w:lang w:val="fr-FR" w:eastAsia="en-US"/>
        </w:rPr>
        <w:t>i are numeroase responsabilități în ceea ce privește locuințele, planificarea urbană, protecția mediului, gestionarea deșeurilor și a sănătății publice, infrastructura de transport și drumuri, alimentarea cu apă, educația (cu excepția universităților), managementul patrimoniului cultural (în funcție de</w:t>
      </w:r>
      <w:r w:rsidR="00D44E03">
        <w:rPr>
          <w:lang w:val="fr-FR" w:eastAsia="en-US"/>
        </w:rPr>
        <w:t xml:space="preserve"> clasificarea acestuia), ordinea publică</w:t>
      </w:r>
      <w:r w:rsidRPr="00C4557E">
        <w:rPr>
          <w:lang w:val="fr-FR" w:eastAsia="en-US"/>
        </w:rPr>
        <w:t>, întreținerea și exploatarea spațiilor verzi din oraș.</w:t>
      </w:r>
    </w:p>
    <w:p w:rsidR="00C4557E" w:rsidRPr="00C4557E" w:rsidRDefault="00C4557E" w:rsidP="00C4557E">
      <w:pPr>
        <w:rPr>
          <w:lang w:val="fr-FR" w:eastAsia="en-US"/>
        </w:rPr>
      </w:pPr>
      <w:r w:rsidRPr="00C4557E">
        <w:rPr>
          <w:lang w:val="fr-FR" w:eastAsia="en-US"/>
        </w:rPr>
        <w:t xml:space="preserve">Nivelul intermediar al administrației </w:t>
      </w:r>
      <w:r w:rsidR="00D44E03">
        <w:rPr>
          <w:lang w:val="fr-FR" w:eastAsia="en-US"/>
        </w:rPr>
        <w:t>este format din județe (NUTS 3)</w:t>
      </w:r>
      <w:r w:rsidRPr="00C4557E">
        <w:rPr>
          <w:lang w:val="fr-FR" w:eastAsia="en-US"/>
        </w:rPr>
        <w:t xml:space="preserve"> ale căror consilii sunt alese, de asemenea, la fiecare patru ani și dețin responsabilități în ceea ce privește cultura, sănătatea publică, serviciile sociale specifice și propria </w:t>
      </w:r>
      <w:proofErr w:type="gramStart"/>
      <w:r w:rsidRPr="00C4557E">
        <w:rPr>
          <w:lang w:val="fr-FR" w:eastAsia="en-US"/>
        </w:rPr>
        <w:t>sa</w:t>
      </w:r>
      <w:proofErr w:type="gramEnd"/>
      <w:r w:rsidRPr="00C4557E">
        <w:rPr>
          <w:lang w:val="fr-FR" w:eastAsia="en-US"/>
        </w:rPr>
        <w:t xml:space="preserve"> administrare a proprietății.</w:t>
      </w:r>
    </w:p>
    <w:p w:rsidR="00C4557E" w:rsidRPr="00C4557E" w:rsidRDefault="00C4557E" w:rsidP="00C4557E">
      <w:pPr>
        <w:rPr>
          <w:lang w:val="fr-FR" w:eastAsia="en-US"/>
        </w:rPr>
      </w:pPr>
      <w:r w:rsidRPr="00C4557E">
        <w:rPr>
          <w:lang w:val="fr-FR" w:eastAsia="en-US"/>
        </w:rPr>
        <w:t>Este important de subliniat faptul că dezvoltarea zonei transfrontaliere și a capacității sale instituționale este strâns legată de co-existența complexă a unor instituții legislative / executive la nivel teritorial (NUTS 3), pe care se bazează programul, cu NUTS 2 ad-hoc, create de către cele două țări, pentru a se potrivi scării necesare de eligibilitate a Politicii Europene Regionale.</w:t>
      </w:r>
    </w:p>
    <w:p w:rsidR="00C4557E" w:rsidRPr="00C4557E" w:rsidRDefault="00C4557E" w:rsidP="00C4557E">
      <w:pPr>
        <w:rPr>
          <w:lang w:val="fr-FR" w:eastAsia="en-US"/>
        </w:rPr>
      </w:pPr>
      <w:r w:rsidRPr="00C4557E">
        <w:rPr>
          <w:lang w:val="fr-FR" w:eastAsia="en-US"/>
        </w:rPr>
        <w:t>Aceste regiuni NUTS 2, lipsite de orice personalitate juridică de drept public, sunt concepute pentru a permite, în fiecare țară, implementarea Politicilor de coeziune și de Convergență prin gestionarea și alocarea de fonduri de către două structuri principale, Agențiile pentru Dezvoltare Regională din România (ADR) și Departamentele Regionale din Bulgaria.</w:t>
      </w:r>
    </w:p>
    <w:p w:rsidR="00C4557E" w:rsidRPr="00C4557E" w:rsidRDefault="00C4557E" w:rsidP="00C4557E">
      <w:pPr>
        <w:rPr>
          <w:lang w:val="fr-FR" w:eastAsia="en-US"/>
        </w:rPr>
      </w:pPr>
      <w:r w:rsidRPr="00C4557E">
        <w:rPr>
          <w:lang w:val="fr-FR" w:eastAsia="en-US"/>
        </w:rPr>
        <w:t>Acest lucru introduce un decalaj mare între capacitatea reală administrativă și mecanismele sale de cooperare asociate (care sunt centrate pe nivelul NUTS 3), precum și obiectivele politicilor UE și ale Programelor Operaționale (care se bazează pe nivelul NUTS 2).</w:t>
      </w:r>
    </w:p>
    <w:p w:rsidR="00C4557E" w:rsidRPr="00C4557E" w:rsidRDefault="00C4557E" w:rsidP="00C4557E">
      <w:pPr>
        <w:rPr>
          <w:lang w:val="fr-FR" w:eastAsia="en-US"/>
        </w:rPr>
      </w:pPr>
      <w:r w:rsidRPr="00C4557E">
        <w:rPr>
          <w:lang w:val="fr-FR" w:eastAsia="en-US"/>
        </w:rPr>
        <w:t>Prin urmare, este esențial să se abordeze două probleme majore, în scopul de a guverna zona transfrontalieră către o cale de d</w:t>
      </w:r>
      <w:r w:rsidR="0093474E">
        <w:rPr>
          <w:lang w:val="fr-FR" w:eastAsia="en-US"/>
        </w:rPr>
        <w:t xml:space="preserve">ezvoltare ulterioară, </w:t>
      </w:r>
      <w:r w:rsidRPr="00C4557E">
        <w:rPr>
          <w:lang w:val="fr-FR" w:eastAsia="en-US"/>
        </w:rPr>
        <w:t>amploarea și actorii. Astfel, depășirea granițelor administrative prin dezvoltarea de rețele de cooperare instituțională și implicarea de noi actori, cum ar fi părțile private interesate în inițiativele viitoare, ar trebui să fie o prioritate, pentru a depăși centralismul și verticalitatea și a câștiga în ceea ce privește eficiența și eligibilitatea pentru finanțare de la UE.</w:t>
      </w:r>
    </w:p>
    <w:p w:rsidR="00C4557E" w:rsidRPr="00C4557E" w:rsidRDefault="00C4557E" w:rsidP="00C4557E">
      <w:pPr>
        <w:rPr>
          <w:lang w:val="fr-FR" w:eastAsia="en-US"/>
        </w:rPr>
      </w:pPr>
      <w:r w:rsidRPr="00C4557E">
        <w:rPr>
          <w:lang w:val="fr-FR" w:eastAsia="en-US"/>
        </w:rPr>
        <w:t>În Bulgaria, municipalitatea este singura autoritate locală. Consiliul local și primarul sunt aleși separat, printr-un sistem de vot diferit, la fiecare 4 ani. Bulgaria are specificul de a aplica</w:t>
      </w:r>
      <w:r w:rsidR="0093474E">
        <w:rPr>
          <w:lang w:val="fr-FR" w:eastAsia="en-US"/>
        </w:rPr>
        <w:t>,</w:t>
      </w:r>
      <w:r w:rsidRPr="00C4557E">
        <w:rPr>
          <w:lang w:val="fr-FR" w:eastAsia="en-US"/>
        </w:rPr>
        <w:t xml:space="preserve"> la nivel local</w:t>
      </w:r>
      <w:r w:rsidR="0093474E">
        <w:rPr>
          <w:lang w:val="fr-FR" w:eastAsia="en-US"/>
        </w:rPr>
        <w:t>,</w:t>
      </w:r>
      <w:r w:rsidRPr="00C4557E">
        <w:rPr>
          <w:lang w:val="fr-FR" w:eastAsia="en-US"/>
        </w:rPr>
        <w:t xml:space="preserve"> principiul echilibrului puterilor, deoarece Consiliul este un organism de auto-guvernare (legislativ), iar primarul este ramura executivă separată de guvern, cu atribuții foarte limitate.</w:t>
      </w:r>
    </w:p>
    <w:p w:rsidR="00C4557E" w:rsidRPr="00C4557E" w:rsidRDefault="00C4557E" w:rsidP="00C4557E">
      <w:pPr>
        <w:rPr>
          <w:lang w:val="fr-FR" w:eastAsia="en-US"/>
        </w:rPr>
      </w:pPr>
      <w:r w:rsidRPr="00C4557E">
        <w:rPr>
          <w:lang w:val="fr-FR" w:eastAsia="en-US"/>
        </w:rPr>
        <w:t xml:space="preserve">Municipalitățile au responsabilități delegate privind afacerile de stat - “primele două niveluri” ale sistemului </w:t>
      </w:r>
      <w:proofErr w:type="gramStart"/>
      <w:r w:rsidRPr="00C4557E">
        <w:rPr>
          <w:lang w:val="fr-FR" w:eastAsia="en-US"/>
        </w:rPr>
        <w:t>de învățământ</w:t>
      </w:r>
      <w:proofErr w:type="gramEnd"/>
      <w:r w:rsidRPr="00C4557E">
        <w:rPr>
          <w:lang w:val="fr-FR" w:eastAsia="en-US"/>
        </w:rPr>
        <w:t xml:space="preserve"> (construirea și întreținerea clădirilor școlare, salariul profesorilor), formarea profesională a adulților, securitatea socială (protecția copiilor și a familiilor și îngrijirea persoanelor în vârstă) și anumite atribuții în sectorul sănătății. Au, de asemenea, taxe corespunzătoare în ceea ce privește infrastructura locală, rețelele locale și serviciile de interes public (rețeaua de termoficare și electricitate, apă și canalizare, eliminarea deșeurilor, transportul urban, construcția și întreținerea drumurilor comunale, etc); petrecerea timpului liber și agrement (turism, cultură și sport, etc), anumite responsabilități privind </w:t>
      </w:r>
      <w:r w:rsidRPr="00C4557E">
        <w:rPr>
          <w:lang w:val="fr-FR" w:eastAsia="en-US"/>
        </w:rPr>
        <w:lastRenderedPageBreak/>
        <w:t>mediul, cum ar fi cele privind locațiile pentru gestionarea deșeurilor ("instalațiile de prelucrare a deșeurilor"), care au fost transferate la municipalități în cadrul legislației de mediu 2002.</w:t>
      </w:r>
    </w:p>
    <w:p w:rsidR="00C4557E" w:rsidRPr="00376C40" w:rsidRDefault="00C4557E" w:rsidP="00C4557E">
      <w:pPr>
        <w:rPr>
          <w:lang w:val="fr-FR" w:eastAsia="en-US"/>
        </w:rPr>
      </w:pPr>
      <w:r w:rsidRPr="00376C40">
        <w:rPr>
          <w:lang w:val="fr-FR" w:eastAsia="en-US"/>
        </w:rPr>
        <w:t>Administrația intermediară, districtul (NUTS 3), este administrată de un Guvernator numit direct de către guvernul național. Rolul său este de a pune în aplicare politica de stat la un nivel regional, în asociere cu instituțiile regionale ale ministerelor ca direcție a regiunii din partea internelor, inspecția regională a mediului sau a centrului regional de securitate socială.</w:t>
      </w:r>
    </w:p>
    <w:p w:rsidR="00B1411D" w:rsidRPr="00B749E7" w:rsidRDefault="0093474E" w:rsidP="00BD1F65">
      <w:pPr>
        <w:pStyle w:val="Heading8"/>
        <w:rPr>
          <w:lang w:val="en-US"/>
        </w:rPr>
      </w:pPr>
      <w:r>
        <w:rPr>
          <w:lang w:val="en-US"/>
        </w:rPr>
        <w:t>Populație</w:t>
      </w:r>
    </w:p>
    <w:p w:rsidR="00082FEE" w:rsidRPr="00FF685E" w:rsidRDefault="00082FEE" w:rsidP="00950460">
      <w:pPr>
        <w:rPr>
          <w:lang w:val="fr-FR" w:eastAsia="en-US"/>
        </w:rPr>
      </w:pPr>
      <w:r w:rsidRPr="0093474E">
        <w:rPr>
          <w:szCs w:val="24"/>
          <w:lang w:val="fr-FR" w:eastAsia="en-US"/>
        </w:rPr>
        <w:t>Potrivit celui mai recent recensãmânt, din 2011, populaţia înregistratã în regiunea transfrontalierã era de 4, 77 milioane locuitori, 3. 16 milioane (66 %)</w:t>
      </w:r>
      <w:r w:rsidR="00584F82">
        <w:rPr>
          <w:szCs w:val="24"/>
          <w:lang w:val="fr-FR" w:eastAsia="en-US"/>
        </w:rPr>
        <w:t xml:space="preserve"> în România</w:t>
      </w:r>
      <w:r w:rsidR="0093474E" w:rsidRPr="0093474E">
        <w:rPr>
          <w:szCs w:val="24"/>
          <w:lang w:val="fr-FR" w:eastAsia="en-US"/>
        </w:rPr>
        <w:t xml:space="preserve"> şi 1.61 milioane (</w:t>
      </w:r>
      <w:r w:rsidRPr="0093474E">
        <w:rPr>
          <w:szCs w:val="24"/>
          <w:lang w:val="fr-FR" w:eastAsia="en-US"/>
        </w:rPr>
        <w:t>34%) în Bulgaria. În 2007, populaţia era de 4, 99 milioane locuitori, ceea ce subliniazã declinul care caracterizeazã demografia regionalã.</w:t>
      </w:r>
    </w:p>
    <w:p w:rsidR="0093474E" w:rsidRPr="0093474E" w:rsidRDefault="0093474E" w:rsidP="0093474E">
      <w:pPr>
        <w:rPr>
          <w:lang w:val="fr-FR" w:eastAsia="en-US"/>
        </w:rPr>
      </w:pPr>
      <w:r w:rsidRPr="0093474E">
        <w:rPr>
          <w:lang w:val="fr-FR" w:eastAsia="en-US"/>
        </w:rPr>
        <w:t>Distribuția populației și tendințele demografice sunt extrem de legate de co-existența unor centre urbane și zonele rurale mari. Conform proiectului TerrEvi ESPON, schimbările demografice de pe partea română sunt mai puțin accentuate în județele în care sunt situate marile centre urbane. Pe partea bulgară, cu toate acestea, scăderea populației este continuă și nu este influențată de existența unor centre urbane principale în districte.</w:t>
      </w:r>
    </w:p>
    <w:p w:rsidR="0093474E" w:rsidRPr="0093474E" w:rsidRDefault="0093474E" w:rsidP="0093474E">
      <w:pPr>
        <w:rPr>
          <w:lang w:val="fr-FR" w:eastAsia="en-US"/>
        </w:rPr>
      </w:pPr>
      <w:r w:rsidRPr="0093474E">
        <w:rPr>
          <w:lang w:val="fr-FR" w:eastAsia="en-US"/>
        </w:rPr>
        <w:t>Cea mai mare densitate a populației în această zo</w:t>
      </w:r>
      <w:r w:rsidR="0069473D">
        <w:rPr>
          <w:lang w:val="fr-FR" w:eastAsia="en-US"/>
        </w:rPr>
        <w:t>nă este înregistrată în România în</w:t>
      </w:r>
      <w:r w:rsidRPr="0093474E">
        <w:rPr>
          <w:lang w:val="fr-FR" w:eastAsia="en-US"/>
        </w:rPr>
        <w:t xml:space="preserve"> partea de sud-est a județului Constanța și în Bulgaria</w:t>
      </w:r>
      <w:r w:rsidR="0069473D">
        <w:rPr>
          <w:lang w:val="fr-FR" w:eastAsia="en-US"/>
        </w:rPr>
        <w:t xml:space="preserve"> în</w:t>
      </w:r>
      <w:r w:rsidRPr="0093474E">
        <w:rPr>
          <w:lang w:val="fr-FR" w:eastAsia="en-US"/>
        </w:rPr>
        <w:t xml:space="preserve"> districtul ce</w:t>
      </w:r>
      <w:r w:rsidR="0069473D">
        <w:rPr>
          <w:lang w:val="fr-FR" w:eastAsia="en-US"/>
        </w:rPr>
        <w:t xml:space="preserve">ntral-nordic Pleven cu 102,3, respectiv </w:t>
      </w:r>
      <w:r w:rsidRPr="0093474E">
        <w:rPr>
          <w:lang w:val="fr-FR" w:eastAsia="en-US"/>
        </w:rPr>
        <w:t>62,8 locuitori pe km pătrat;</w:t>
      </w:r>
      <w:r w:rsidR="0069473D">
        <w:rPr>
          <w:lang w:val="fr-FR" w:eastAsia="en-US"/>
        </w:rPr>
        <w:t xml:space="preserve"> acestea sunt</w:t>
      </w:r>
      <w:r w:rsidRPr="0093474E">
        <w:rPr>
          <w:lang w:val="fr-FR" w:eastAsia="en-US"/>
        </w:rPr>
        <w:t xml:space="preserve"> în contrast cu partea de sud-vest a județului Mehedinți și districtul de nord-vest Vidin, care se află față în față de o parte și de alta a Dun</w:t>
      </w:r>
      <w:r w:rsidR="0069473D">
        <w:rPr>
          <w:lang w:val="fr-FR" w:eastAsia="en-US"/>
        </w:rPr>
        <w:t>ării și înregistrează 59 , respectiv</w:t>
      </w:r>
      <w:r w:rsidRPr="0093474E">
        <w:rPr>
          <w:lang w:val="fr-FR" w:eastAsia="en-US"/>
        </w:rPr>
        <w:t xml:space="preserve"> 36 de locuitori pe km pătrat.</w:t>
      </w:r>
    </w:p>
    <w:p w:rsidR="00481B9A" w:rsidRPr="00481B9A" w:rsidRDefault="00481B9A" w:rsidP="00481B9A">
      <w:pPr>
        <w:rPr>
          <w:lang w:val="fr-FR"/>
        </w:rPr>
      </w:pPr>
      <w:r w:rsidRPr="007904BE">
        <w:rPr>
          <w:lang w:val="fr-FR"/>
        </w:rPr>
        <w:t xml:space="preserve">Regiunea transfrontalierã România – Bulgaria este puternic afectatã de rezultatele negative ale tranziţiei demografice. Cel mai important fenomen demografic, comun ambelor maluri ale Dunãrii, este îmbãtrânirea acceleratã a populaţiei generatã de o migrație puternică și o rată scăzută a natalității. În 2011 populaţia în vârstă de 65 ani și peste </w:t>
      </w:r>
      <w:proofErr w:type="gramStart"/>
      <w:r w:rsidRPr="007904BE">
        <w:rPr>
          <w:lang w:val="fr-FR"/>
        </w:rPr>
        <w:t>a</w:t>
      </w:r>
      <w:proofErr w:type="gramEnd"/>
      <w:r w:rsidRPr="007904BE">
        <w:rPr>
          <w:lang w:val="fr-FR"/>
        </w:rPr>
        <w:t xml:space="preserve"> reprezentat o valoare relativă de 16,6% în România și 21,2% în Bulgaria. Zonele rurale suferă cel mai mult din cauza acestei tendințe, precum districtul Vidin, unde cea mai mică densitate a populației atinge cu cel mai mare procent la vârsta de de 65 ani și peste a populației (25,9%).</w:t>
      </w:r>
    </w:p>
    <w:p w:rsidR="007904BE" w:rsidRPr="007904BE" w:rsidRDefault="007904BE" w:rsidP="007904BE">
      <w:pPr>
        <w:rPr>
          <w:lang w:val="fr-FR"/>
        </w:rPr>
      </w:pPr>
      <w:r w:rsidRPr="007904BE">
        <w:rPr>
          <w:lang w:val="fr-FR"/>
        </w:rPr>
        <w:t>Aces</w:t>
      </w:r>
      <w:r w:rsidR="0069473D">
        <w:rPr>
          <w:lang w:val="fr-FR"/>
        </w:rPr>
        <w:t>t district nu este o excepție,</w:t>
      </w:r>
      <w:r w:rsidRPr="007904BE">
        <w:rPr>
          <w:lang w:val="fr-FR"/>
        </w:rPr>
        <w:t xml:space="preserve"> toate județele și district</w:t>
      </w:r>
      <w:r w:rsidR="0069473D">
        <w:rPr>
          <w:lang w:val="fr-FR"/>
        </w:rPr>
        <w:t>ele transfrontaliere înregistrând</w:t>
      </w:r>
      <w:r w:rsidRPr="007904BE">
        <w:rPr>
          <w:lang w:val="fr-FR"/>
        </w:rPr>
        <w:t xml:space="preserve"> valori negative privind creșterea</w:t>
      </w:r>
      <w:r w:rsidR="00522CB4">
        <w:rPr>
          <w:lang w:val="fr-FR"/>
        </w:rPr>
        <w:t xml:space="preserve"> naturală, rezultând probleme </w:t>
      </w:r>
      <w:r w:rsidRPr="007904BE">
        <w:rPr>
          <w:lang w:val="fr-FR"/>
        </w:rPr>
        <w:t>în diverse domenii (creșterea costurilor pentru finanțele publice: pensii, asistență socială, sănătate, educație).</w:t>
      </w:r>
    </w:p>
    <w:p w:rsidR="00481B9A" w:rsidRPr="00FF685E" w:rsidRDefault="007904BE" w:rsidP="007904BE">
      <w:pPr>
        <w:rPr>
          <w:lang w:val="fr-FR"/>
        </w:rPr>
      </w:pPr>
      <w:r w:rsidRPr="007904BE">
        <w:rPr>
          <w:lang w:val="fr-FR"/>
        </w:rPr>
        <w:t xml:space="preserve">În ceea ce privește diversitatea culturală, populația din districtele din Bulgaria este </w:t>
      </w:r>
      <w:r>
        <w:rPr>
          <w:lang w:val="fr-FR"/>
        </w:rPr>
        <w:t>de o mai mare diversitate etnică</w:t>
      </w:r>
      <w:r w:rsidRPr="007904BE">
        <w:rPr>
          <w:lang w:val="fr-FR"/>
        </w:rPr>
        <w:t xml:space="preserve"> decât cea din județele din România. Putem defini două tipuri de minorități etnice: cele care sunt situate geografic în unele dintre județe / districte, precum minoritatea turcă și cele care sunt prezente în toate județele / districtele de pe ambele părți ale frontierei, precum minoritatea rom</w:t>
      </w:r>
      <w:r>
        <w:rPr>
          <w:lang w:val="fr-FR"/>
        </w:rPr>
        <w:t>mă</w:t>
      </w:r>
      <w:r w:rsidRPr="007904BE">
        <w:rPr>
          <w:lang w:val="fr-FR"/>
        </w:rPr>
        <w:t>.</w:t>
      </w:r>
    </w:p>
    <w:p w:rsidR="00B1411D" w:rsidRPr="00FE5198" w:rsidRDefault="007904BE" w:rsidP="00BD1F65">
      <w:pPr>
        <w:pStyle w:val="Heading8"/>
        <w:rPr>
          <w:lang w:val="en-US"/>
        </w:rPr>
      </w:pPr>
      <w:r>
        <w:rPr>
          <w:lang w:val="en-US"/>
        </w:rPr>
        <w:t>Economie</w:t>
      </w:r>
    </w:p>
    <w:p w:rsidR="00481B9A" w:rsidRPr="00FE5198" w:rsidRDefault="00481B9A" w:rsidP="00BD1F65">
      <w:pPr>
        <w:rPr>
          <w:lang w:val="en-US"/>
        </w:rPr>
      </w:pPr>
      <w:r w:rsidRPr="007904BE">
        <w:rPr>
          <w:szCs w:val="24"/>
          <w:lang w:val="en-US" w:eastAsia="en-US"/>
        </w:rPr>
        <w:t>Cele 15 unitãţi administrative ( NUTS 3), cu excepţia judeţului Constanţa care include portul Constanţa , înregistreazã mai puţin de 50% din PIB-ul mediu al UE pe cap de locuitor (în PPS) în plus ele</w:t>
      </w:r>
      <w:r w:rsidR="001E45FA">
        <w:rPr>
          <w:szCs w:val="24"/>
          <w:lang w:val="en-US" w:eastAsia="en-US"/>
        </w:rPr>
        <w:t xml:space="preserve"> fac parte din 6 regiuni NUTS 2</w:t>
      </w:r>
      <w:r w:rsidRPr="007904BE">
        <w:rPr>
          <w:szCs w:val="24"/>
          <w:lang w:val="en-US" w:eastAsia="en-US"/>
        </w:rPr>
        <w:t xml:space="preserve"> care sunt printre 10 cele mai sărace din UE.</w:t>
      </w:r>
    </w:p>
    <w:p w:rsidR="007904BE" w:rsidRPr="007904BE" w:rsidRDefault="007904BE" w:rsidP="007904BE">
      <w:pPr>
        <w:rPr>
          <w:lang w:val="fr-FR"/>
        </w:rPr>
      </w:pPr>
      <w:r w:rsidRPr="007904BE">
        <w:rPr>
          <w:lang w:val="fr-FR"/>
        </w:rPr>
        <w:t xml:space="preserve">Acest clasament este reflectat la nivel național acolo unde se produce mai puțin decât importanța relativă a acestora în ceea ce privește teritoriul și populația, de exemplu, 14,49% din teritoriul românesc contribuie cu ~ 11% din PIB-ul său (în valoare absolută 14,7 miliarde </w:t>
      </w:r>
      <w:r w:rsidRPr="007904BE">
        <w:rPr>
          <w:lang w:val="fr-FR"/>
        </w:rPr>
        <w:lastRenderedPageBreak/>
        <w:t>de euro) și 29.38% din teritoriul bulgăresc contribuie cu 13,51% din PIB-ul său (în valoare absolută 4,8 miliarde de euro).</w:t>
      </w:r>
    </w:p>
    <w:p w:rsidR="00B1411D" w:rsidRPr="00671D6D" w:rsidRDefault="00C37B8C" w:rsidP="00BD1F65">
      <w:pPr>
        <w:rPr>
          <w:lang w:val="fr-FR"/>
        </w:rPr>
      </w:pPr>
      <w:r w:rsidRPr="00671D6D">
        <w:rPr>
          <w:szCs w:val="24"/>
          <w:lang w:val="fr-FR" w:eastAsia="en-US"/>
        </w:rPr>
        <w:t xml:space="preserve">Indicele de competitivitate regională arată că aceste regiuni NUTS 2 (în acest caz compus din 3 regiuni) sunt la primul lor stadiu de dezvoltare </w:t>
      </w:r>
      <w:r w:rsidRPr="00671D6D">
        <w:rPr>
          <w:rFonts w:ascii="Cambria Math" w:hAnsi="Cambria Math" w:cs="Cambria Math"/>
          <w:szCs w:val="24"/>
          <w:lang w:val="fr-FR" w:eastAsia="en-US"/>
        </w:rPr>
        <w:t>ș</w:t>
      </w:r>
      <w:r w:rsidRPr="00671D6D">
        <w:rPr>
          <w:szCs w:val="24"/>
          <w:lang w:val="fr-FR" w:eastAsia="en-US"/>
        </w:rPr>
        <w:t>i sunt printre  regiunile cele mai slab dezvoltate din Europa în ceea ce prive</w:t>
      </w:r>
      <w:r w:rsidRPr="00671D6D">
        <w:rPr>
          <w:rFonts w:ascii="Cambria Math" w:hAnsi="Cambria Math" w:cs="Cambria Math"/>
          <w:szCs w:val="24"/>
          <w:lang w:val="fr-FR" w:eastAsia="en-US"/>
        </w:rPr>
        <w:t>ș</w:t>
      </w:r>
      <w:r w:rsidRPr="00671D6D">
        <w:rPr>
          <w:szCs w:val="24"/>
          <w:lang w:val="fr-FR" w:eastAsia="en-US"/>
        </w:rPr>
        <w:t>te nevoile de bază ca institu</w:t>
      </w:r>
      <w:r w:rsidRPr="00671D6D">
        <w:rPr>
          <w:rFonts w:ascii="Cambria Math" w:hAnsi="Cambria Math" w:cs="Cambria Math"/>
          <w:szCs w:val="24"/>
          <w:lang w:val="fr-FR" w:eastAsia="en-US"/>
        </w:rPr>
        <w:t>ț</w:t>
      </w:r>
      <w:r w:rsidRPr="00671D6D">
        <w:rPr>
          <w:szCs w:val="24"/>
          <w:lang w:val="fr-FR" w:eastAsia="en-US"/>
        </w:rPr>
        <w:t xml:space="preserve">ii, stabilitate macro-economicã, infrastructură, sănătate </w:t>
      </w:r>
      <w:r w:rsidRPr="00671D6D">
        <w:rPr>
          <w:rFonts w:ascii="Cambria Math" w:hAnsi="Cambria Math" w:cs="Cambria Math"/>
          <w:szCs w:val="24"/>
          <w:lang w:val="fr-FR" w:eastAsia="en-US"/>
        </w:rPr>
        <w:t>ș</w:t>
      </w:r>
      <w:r w:rsidRPr="00671D6D">
        <w:rPr>
          <w:szCs w:val="24"/>
          <w:lang w:val="fr-FR" w:eastAsia="en-US"/>
        </w:rPr>
        <w:t>i educa</w:t>
      </w:r>
      <w:r w:rsidRPr="00671D6D">
        <w:rPr>
          <w:rFonts w:ascii="Cambria Math" w:hAnsi="Cambria Math" w:cs="Cambria Math"/>
          <w:szCs w:val="24"/>
          <w:lang w:val="fr-FR" w:eastAsia="en-US"/>
        </w:rPr>
        <w:t>ț</w:t>
      </w:r>
      <w:r w:rsidRPr="00671D6D">
        <w:rPr>
          <w:szCs w:val="24"/>
          <w:lang w:val="fr-FR" w:eastAsia="en-US"/>
        </w:rPr>
        <w:t>ie primară.</w:t>
      </w:r>
    </w:p>
    <w:p w:rsidR="00C37B8C" w:rsidRPr="00671D6D" w:rsidRDefault="00C37B8C" w:rsidP="00BD1F65">
      <w:pPr>
        <w:rPr>
          <w:lang w:val="fr-FR"/>
        </w:rPr>
      </w:pPr>
      <w:r w:rsidRPr="00671D6D">
        <w:rPr>
          <w:szCs w:val="24"/>
          <w:lang w:val="fr-FR" w:eastAsia="en-US"/>
        </w:rPr>
        <w:t xml:space="preserve">La o primã vedere, economiile lor sunt structurate în jurul </w:t>
      </w:r>
      <w:r w:rsidR="007D17C9">
        <w:rPr>
          <w:szCs w:val="24"/>
          <w:lang w:val="fr-FR" w:eastAsia="en-US"/>
        </w:rPr>
        <w:t>unui sector în care domină serviciile</w:t>
      </w:r>
      <w:r w:rsidRPr="00671D6D">
        <w:rPr>
          <w:szCs w:val="24"/>
          <w:lang w:val="fr-FR" w:eastAsia="en-US"/>
        </w:rPr>
        <w:t xml:space="preserve"> (în func</w:t>
      </w:r>
      <w:r w:rsidRPr="00671D6D">
        <w:rPr>
          <w:rFonts w:ascii="Cambria Math" w:hAnsi="Cambria Math" w:cs="Cambria Math"/>
          <w:szCs w:val="24"/>
          <w:lang w:val="fr-FR" w:eastAsia="en-US"/>
        </w:rPr>
        <w:t>ț</w:t>
      </w:r>
      <w:r w:rsidRPr="00671D6D">
        <w:rPr>
          <w:szCs w:val="24"/>
          <w:lang w:val="fr-FR" w:eastAsia="en-US"/>
        </w:rPr>
        <w:t>ie de cifra de afaceri), cu toate acestea, importan</w:t>
      </w:r>
      <w:r w:rsidRPr="00671D6D">
        <w:rPr>
          <w:rFonts w:ascii="Cambria Math" w:hAnsi="Cambria Math" w:cs="Cambria Math"/>
          <w:szCs w:val="24"/>
          <w:lang w:val="fr-FR" w:eastAsia="en-US"/>
        </w:rPr>
        <w:t>ț</w:t>
      </w:r>
      <w:r w:rsidRPr="00671D6D">
        <w:rPr>
          <w:szCs w:val="24"/>
          <w:lang w:val="fr-FR" w:eastAsia="en-US"/>
        </w:rPr>
        <w:t>a industriilor (cea mai mare parte de</w:t>
      </w:r>
      <w:r w:rsidRPr="00671D6D">
        <w:rPr>
          <w:rFonts w:ascii="Cambria Math" w:hAnsi="Cambria Math" w:cs="Cambria Math"/>
          <w:szCs w:val="24"/>
          <w:lang w:val="fr-FR" w:eastAsia="en-US"/>
        </w:rPr>
        <w:t>ț</w:t>
      </w:r>
      <w:r w:rsidRPr="00671D6D">
        <w:rPr>
          <w:szCs w:val="24"/>
          <w:lang w:val="fr-FR" w:eastAsia="en-US"/>
        </w:rPr>
        <w:t>inute de corpora</w:t>
      </w:r>
      <w:r w:rsidRPr="00671D6D">
        <w:rPr>
          <w:rFonts w:ascii="Cambria Math" w:hAnsi="Cambria Math" w:cs="Cambria Math"/>
          <w:szCs w:val="24"/>
          <w:lang w:val="fr-FR" w:eastAsia="en-US"/>
        </w:rPr>
        <w:t>ț</w:t>
      </w:r>
      <w:r w:rsidRPr="00671D6D">
        <w:rPr>
          <w:szCs w:val="24"/>
          <w:lang w:val="fr-FR" w:eastAsia="en-US"/>
        </w:rPr>
        <w:t>ii multina</w:t>
      </w:r>
      <w:r w:rsidRPr="00671D6D">
        <w:rPr>
          <w:rFonts w:ascii="Cambria Math" w:hAnsi="Cambria Math" w:cs="Cambria Math"/>
          <w:szCs w:val="24"/>
          <w:lang w:val="fr-FR" w:eastAsia="en-US"/>
        </w:rPr>
        <w:t>ț</w:t>
      </w:r>
      <w:r w:rsidRPr="00671D6D">
        <w:rPr>
          <w:szCs w:val="24"/>
          <w:lang w:val="fr-FR" w:eastAsia="en-US"/>
        </w:rPr>
        <w:t>ionale) în zona care nu prezintã potenţial turis</w:t>
      </w:r>
      <w:r w:rsidR="007D17C9">
        <w:rPr>
          <w:szCs w:val="24"/>
          <w:lang w:val="fr-FR" w:eastAsia="en-US"/>
        </w:rPr>
        <w:t>tic,  un sector agricol puternic dezvoltat</w:t>
      </w:r>
      <w:r w:rsidRPr="00671D6D">
        <w:rPr>
          <w:szCs w:val="24"/>
          <w:lang w:val="fr-FR" w:eastAsia="en-US"/>
        </w:rPr>
        <w:t xml:space="preserve"> în zonele rurale (cu numeroase unită</w:t>
      </w:r>
      <w:r w:rsidRPr="00671D6D">
        <w:rPr>
          <w:rFonts w:ascii="Cambria Math" w:hAnsi="Cambria Math" w:cs="Cambria Math"/>
          <w:szCs w:val="24"/>
          <w:lang w:val="fr-FR" w:eastAsia="en-US"/>
        </w:rPr>
        <w:t>ț</w:t>
      </w:r>
      <w:r w:rsidRPr="00671D6D">
        <w:rPr>
          <w:szCs w:val="24"/>
          <w:lang w:val="fr-FR" w:eastAsia="en-US"/>
        </w:rPr>
        <w:t>i agricole de subzisten</w:t>
      </w:r>
      <w:r w:rsidRPr="00671D6D">
        <w:rPr>
          <w:rFonts w:ascii="Cambria Math" w:hAnsi="Cambria Math" w:cs="Cambria Math"/>
          <w:szCs w:val="24"/>
          <w:lang w:val="fr-FR" w:eastAsia="en-US"/>
        </w:rPr>
        <w:t>ț</w:t>
      </w:r>
      <w:r w:rsidRPr="00671D6D">
        <w:rPr>
          <w:szCs w:val="24"/>
          <w:lang w:val="fr-FR" w:eastAsia="en-US"/>
        </w:rPr>
        <w:t>ă ) şi  ponderea sectorului public în servicii (sănătate, educa</w:t>
      </w:r>
      <w:r w:rsidRPr="00671D6D">
        <w:rPr>
          <w:rFonts w:ascii="Cambria Math" w:hAnsi="Cambria Math" w:cs="Cambria Math"/>
          <w:szCs w:val="24"/>
          <w:lang w:val="fr-FR" w:eastAsia="en-US"/>
        </w:rPr>
        <w:t>ț</w:t>
      </w:r>
      <w:r w:rsidR="007D17C9">
        <w:rPr>
          <w:szCs w:val="24"/>
          <w:lang w:val="fr-FR" w:eastAsia="en-US"/>
        </w:rPr>
        <w:t>ie, administraţie) fac</w:t>
      </w:r>
      <w:r w:rsidRPr="00671D6D">
        <w:rPr>
          <w:szCs w:val="24"/>
          <w:lang w:val="fr-FR" w:eastAsia="en-US"/>
        </w:rPr>
        <w:t xml:space="preserve"> un contrast puternic faţã de această afirma</w:t>
      </w:r>
      <w:r w:rsidRPr="00671D6D">
        <w:rPr>
          <w:rFonts w:ascii="Cambria Math" w:hAnsi="Cambria Math" w:cs="Cambria Math"/>
          <w:szCs w:val="24"/>
          <w:lang w:val="fr-FR" w:eastAsia="en-US"/>
        </w:rPr>
        <w:t>ț</w:t>
      </w:r>
      <w:r w:rsidRPr="00671D6D">
        <w:rPr>
          <w:szCs w:val="24"/>
          <w:lang w:val="fr-FR" w:eastAsia="en-US"/>
        </w:rPr>
        <w:t>ie</w:t>
      </w:r>
    </w:p>
    <w:p w:rsidR="00671D6D" w:rsidRPr="00671D6D" w:rsidRDefault="00671D6D" w:rsidP="00671D6D">
      <w:pPr>
        <w:rPr>
          <w:lang w:val="fr-FR"/>
        </w:rPr>
      </w:pPr>
      <w:r w:rsidRPr="00671D6D">
        <w:rPr>
          <w:lang w:val="fr-FR"/>
        </w:rPr>
        <w:t>Mai mult decât atât, turismul, care este unul dintre cele puternice atuuri ale regiunii din punct de vedere al ocupării forței de muncă și afacerilor din domeniul serviciilor, este o piață sezonieră și fragil</w:t>
      </w:r>
      <w:r>
        <w:rPr>
          <w:lang w:val="fr-FR"/>
        </w:rPr>
        <w:t>ă,</w:t>
      </w:r>
      <w:r w:rsidRPr="00671D6D">
        <w:rPr>
          <w:lang w:val="fr-FR"/>
        </w:rPr>
        <w:t xml:space="preserve"> împărțită inegal între coasta Mării Neagre</w:t>
      </w:r>
      <w:r>
        <w:rPr>
          <w:lang w:val="fr-FR"/>
        </w:rPr>
        <w:t>,</w:t>
      </w:r>
      <w:r w:rsidRPr="00671D6D">
        <w:rPr>
          <w:lang w:val="fr-FR"/>
        </w:rPr>
        <w:t xml:space="preserve"> care este bine cunoscută pentru stațiunile sale turistice pentru turismul de vară de masă – Constanța (RO), Dobrich (BG) - și restul neexploatat al teritoriului.</w:t>
      </w:r>
    </w:p>
    <w:p w:rsidR="00671D6D" w:rsidRPr="00671D6D" w:rsidRDefault="00671D6D" w:rsidP="00671D6D">
      <w:pPr>
        <w:rPr>
          <w:lang w:val="fr-FR"/>
        </w:rPr>
      </w:pPr>
      <w:r w:rsidRPr="00671D6D">
        <w:rPr>
          <w:lang w:val="fr-FR"/>
        </w:rPr>
        <w:t xml:space="preserve">Aceste economii sărace și încă în curs de dezvoltare au consecințe majore pentru coeziunea socială </w:t>
      </w:r>
      <w:proofErr w:type="gramStart"/>
      <w:r w:rsidRPr="00671D6D">
        <w:rPr>
          <w:lang w:val="fr-FR"/>
        </w:rPr>
        <w:t>a</w:t>
      </w:r>
      <w:proofErr w:type="gramEnd"/>
      <w:r w:rsidRPr="00671D6D">
        <w:rPr>
          <w:lang w:val="fr-FR"/>
        </w:rPr>
        <w:t xml:space="preserve"> populației.</w:t>
      </w:r>
    </w:p>
    <w:p w:rsidR="00671D6D" w:rsidRPr="00671D6D" w:rsidRDefault="007D17C9" w:rsidP="00671D6D">
      <w:pPr>
        <w:rPr>
          <w:lang w:val="fr-FR"/>
        </w:rPr>
      </w:pPr>
      <w:r>
        <w:rPr>
          <w:lang w:val="fr-FR"/>
        </w:rPr>
        <w:t>În 2012, populația cu</w:t>
      </w:r>
      <w:r w:rsidR="00671D6D" w:rsidRPr="00671D6D">
        <w:rPr>
          <w:lang w:val="fr-FR"/>
        </w:rPr>
        <w:t xml:space="preserve"> vârstă de muncă (15-64 ani), în județele din România</w:t>
      </w:r>
      <w:r>
        <w:rPr>
          <w:lang w:val="fr-FR"/>
        </w:rPr>
        <w:t>,</w:t>
      </w:r>
      <w:r w:rsidR="00671D6D" w:rsidRPr="00671D6D">
        <w:rPr>
          <w:lang w:val="fr-FR"/>
        </w:rPr>
        <w:t xml:space="preserve"> a fost de 2 milioane de persoane (14,5% din întreaga populație de vârstă activă a țării). În districtele din Bulgaria, 623000 de persoane (18,6% din întreaga populație de vârstă activă a țării). Pentru această populație, nivelul ratelor de activitate este mai mic decât mediile naționale combinate (63%), care sunt deja sub media de 70% din cele 27 de state membre ale UE.</w:t>
      </w:r>
    </w:p>
    <w:p w:rsidR="00671D6D" w:rsidRPr="00671D6D" w:rsidRDefault="00671D6D" w:rsidP="00671D6D">
      <w:pPr>
        <w:rPr>
          <w:lang w:val="fr-FR"/>
        </w:rPr>
      </w:pPr>
      <w:r w:rsidRPr="00671D6D">
        <w:rPr>
          <w:lang w:val="fr-FR"/>
        </w:rPr>
        <w:t xml:space="preserve">Cea mai mare parte </w:t>
      </w:r>
      <w:proofErr w:type="gramStart"/>
      <w:r w:rsidRPr="00671D6D">
        <w:rPr>
          <w:lang w:val="fr-FR"/>
        </w:rPr>
        <w:t>a</w:t>
      </w:r>
      <w:proofErr w:type="gramEnd"/>
      <w:r w:rsidRPr="00671D6D">
        <w:rPr>
          <w:lang w:val="fr-FR"/>
        </w:rPr>
        <w:t xml:space="preserve"> zonei transfrontaliere este afectată de rata ridicată a șomajului (11 din cele 15 unități administrative au afișat o rată a șomajului aproximati</w:t>
      </w:r>
      <w:r w:rsidR="007D17C9">
        <w:rPr>
          <w:lang w:val="fr-FR"/>
        </w:rPr>
        <w:t>v egală sau mai mare de 10%),</w:t>
      </w:r>
      <w:r w:rsidRPr="00671D6D">
        <w:rPr>
          <w:lang w:val="fr-FR"/>
        </w:rPr>
        <w:t xml:space="preserve"> pe partea bulgărească și românească a zonei programului este în mod constant și îngrijorător mai mare decât media la nivel național. În România, rata</w:t>
      </w:r>
      <w:r w:rsidR="007D17C9">
        <w:rPr>
          <w:lang w:val="fr-FR"/>
        </w:rPr>
        <w:t xml:space="preserve"> şomajului în zona</w:t>
      </w:r>
      <w:r w:rsidRPr="00671D6D">
        <w:rPr>
          <w:lang w:val="fr-FR"/>
        </w:rPr>
        <w:t xml:space="preserve"> transfrontalieră este cu 30% mai mare decât cea a țării în ansamblu. Situația este mai gravă în Bulgaria, unde rata șomajului pentru regiunea transfr</w:t>
      </w:r>
      <w:r w:rsidR="007D17C9">
        <w:rPr>
          <w:lang w:val="fr-FR"/>
        </w:rPr>
        <w:t xml:space="preserve">ontalieră este 20,18%, fiind </w:t>
      </w:r>
      <w:r w:rsidRPr="00671D6D">
        <w:rPr>
          <w:lang w:val="fr-FR"/>
        </w:rPr>
        <w:t>cu aproximativ 64% mai mare decât media pe țară (12,3%).</w:t>
      </w:r>
    </w:p>
    <w:p w:rsidR="00C37B8C" w:rsidRPr="00FF685E" w:rsidRDefault="00C37B8C" w:rsidP="00BD1F65">
      <w:pPr>
        <w:rPr>
          <w:lang w:val="fr-FR"/>
        </w:rPr>
      </w:pPr>
      <w:r w:rsidRPr="00671D6D">
        <w:rPr>
          <w:szCs w:val="24"/>
          <w:lang w:val="fr-FR" w:eastAsia="en-US"/>
        </w:rPr>
        <w:t>Potrivit dat</w:t>
      </w:r>
      <w:r w:rsidR="007D17C9">
        <w:rPr>
          <w:szCs w:val="24"/>
          <w:lang w:val="fr-FR" w:eastAsia="en-US"/>
        </w:rPr>
        <w:t>elor din proiectul ESPON SIESTA</w:t>
      </w:r>
      <w:r w:rsidRPr="00671D6D">
        <w:rPr>
          <w:szCs w:val="24"/>
          <w:lang w:val="fr-FR" w:eastAsia="en-US"/>
        </w:rPr>
        <w:t>, regiunea transfrontalierã face parte din categoria de regiun</w:t>
      </w:r>
      <w:r w:rsidR="00241D82">
        <w:rPr>
          <w:szCs w:val="24"/>
          <w:lang w:val="fr-FR" w:eastAsia="en-US"/>
        </w:rPr>
        <w:t xml:space="preserve">i unde un </w:t>
      </w:r>
      <w:r w:rsidR="007D17C9">
        <w:rPr>
          <w:szCs w:val="24"/>
          <w:lang w:val="fr-FR" w:eastAsia="en-US"/>
        </w:rPr>
        <w:t xml:space="preserve">procent ridicat </w:t>
      </w:r>
      <w:r w:rsidR="00241D82">
        <w:rPr>
          <w:szCs w:val="24"/>
          <w:lang w:val="fr-FR" w:eastAsia="en-US"/>
        </w:rPr>
        <w:t xml:space="preserve">din populaţie </w:t>
      </w:r>
      <w:r w:rsidR="007D17C9">
        <w:rPr>
          <w:szCs w:val="24"/>
          <w:lang w:val="fr-FR" w:eastAsia="en-US"/>
        </w:rPr>
        <w:t>este supus</w:t>
      </w:r>
      <w:r w:rsidRPr="00671D6D">
        <w:rPr>
          <w:szCs w:val="24"/>
          <w:lang w:val="fr-FR" w:eastAsia="en-US"/>
        </w:rPr>
        <w:t xml:space="preserve"> riscului sãrãciei şi marginalizãrii sociale din cauza importanţei agriculturii de subzistenţã,  ratei mari de dependen</w:t>
      </w:r>
      <w:r w:rsidRPr="00671D6D">
        <w:rPr>
          <w:rFonts w:ascii="Cambria Math" w:hAnsi="Cambria Math" w:cs="Cambria Math"/>
          <w:szCs w:val="24"/>
          <w:lang w:val="fr-FR" w:eastAsia="en-US"/>
        </w:rPr>
        <w:t>ț</w:t>
      </w:r>
      <w:r w:rsidRPr="00671D6D">
        <w:rPr>
          <w:szCs w:val="24"/>
          <w:lang w:val="fr-FR" w:eastAsia="en-US"/>
        </w:rPr>
        <w:t xml:space="preserve">ă a seniorilor </w:t>
      </w:r>
      <w:r w:rsidRPr="00671D6D">
        <w:rPr>
          <w:rFonts w:ascii="Cambria Math" w:hAnsi="Cambria Math" w:cs="Cambria Math"/>
          <w:szCs w:val="24"/>
          <w:lang w:val="fr-FR" w:eastAsia="en-US"/>
        </w:rPr>
        <w:t>ș</w:t>
      </w:r>
      <w:r w:rsidRPr="00671D6D">
        <w:rPr>
          <w:szCs w:val="24"/>
          <w:lang w:val="fr-FR" w:eastAsia="en-US"/>
        </w:rPr>
        <w:t xml:space="preserve">i ratei ridicate a </w:t>
      </w:r>
      <w:r w:rsidRPr="00671D6D">
        <w:rPr>
          <w:rFonts w:ascii="Cambria Math" w:hAnsi="Cambria Math" w:cs="Cambria Math"/>
          <w:szCs w:val="24"/>
          <w:lang w:val="fr-FR" w:eastAsia="en-US"/>
        </w:rPr>
        <w:t>ș</w:t>
      </w:r>
      <w:r w:rsidRPr="00671D6D">
        <w:rPr>
          <w:szCs w:val="24"/>
          <w:lang w:val="fr-FR" w:eastAsia="en-US"/>
        </w:rPr>
        <w:t>omajului persoanelor  cu mai puţine studii</w:t>
      </w:r>
      <w:r w:rsidR="00022442">
        <w:rPr>
          <w:szCs w:val="24"/>
          <w:lang w:val="fr-FR" w:eastAsia="en-US"/>
        </w:rPr>
        <w:t>.</w:t>
      </w:r>
    </w:p>
    <w:p w:rsidR="00B60C4A" w:rsidRPr="00376C40" w:rsidRDefault="00B60C4A" w:rsidP="00376C40">
      <w:pPr>
        <w:pStyle w:val="Heading2"/>
        <w:rPr>
          <w:lang w:val="fr-FR"/>
        </w:rPr>
      </w:pPr>
      <w:bookmarkStart w:id="7" w:name="_Toc394837745"/>
      <w:r w:rsidRPr="00376C40">
        <w:rPr>
          <w:lang w:val="fr-FR"/>
        </w:rPr>
        <w:t>Analiza situației din zona transfrontalieră</w:t>
      </w:r>
      <w:bookmarkEnd w:id="7"/>
    </w:p>
    <w:p w:rsidR="00B60C4A" w:rsidRPr="00376C40" w:rsidRDefault="00B60C4A" w:rsidP="00376C40">
      <w:pPr>
        <w:rPr>
          <w:b/>
          <w:lang w:val="fr-FR"/>
        </w:rPr>
      </w:pPr>
      <w:r w:rsidRPr="00376C40">
        <w:rPr>
          <w:b/>
          <w:lang w:val="fr-FR"/>
        </w:rPr>
        <w:t>O analiză teritorială cuprinzătoare a fost elaborată în 2013 și este furnizată în Anexa 4.</w:t>
      </w:r>
    </w:p>
    <w:p w:rsidR="00B60C4A" w:rsidRPr="00B60C4A" w:rsidRDefault="00B60C4A" w:rsidP="00B60C4A">
      <w:pPr>
        <w:rPr>
          <w:lang w:val="fr-FR"/>
        </w:rPr>
      </w:pPr>
      <w:r w:rsidRPr="00376C40">
        <w:rPr>
          <w:lang w:val="fr-FR"/>
        </w:rPr>
        <w:t xml:space="preserve">Analiza teritorială a avut scopul de a analiza atât factorii interni cât și </w:t>
      </w:r>
      <w:r w:rsidR="00022442">
        <w:rPr>
          <w:lang w:val="fr-FR"/>
        </w:rPr>
        <w:t xml:space="preserve">pe </w:t>
      </w:r>
      <w:r w:rsidRPr="00376C40">
        <w:rPr>
          <w:lang w:val="fr-FR"/>
        </w:rPr>
        <w:t>cei externi care au un efect asupra zonei vizate de program, prin id</w:t>
      </w:r>
      <w:r w:rsidR="00022442">
        <w:rPr>
          <w:lang w:val="fr-FR"/>
        </w:rPr>
        <w:t>entificarea tendințelor, forțelor</w:t>
      </w:r>
      <w:r w:rsidRPr="00376C40">
        <w:rPr>
          <w:lang w:val="fr-FR"/>
        </w:rPr>
        <w:t xml:space="preserve"> și condițiilor cu potențial de a influența dezvoltarea sa, pentru a putea face alegerea strategiei adecvate. Structura raportului s-a bazat pe analiza provocărilor teritoriale</w:t>
      </w:r>
      <w:r w:rsidR="00022442">
        <w:rPr>
          <w:lang w:val="fr-FR"/>
        </w:rPr>
        <w:t xml:space="preserve"> considerate </w:t>
      </w:r>
      <w:r w:rsidRPr="00376C40">
        <w:rPr>
          <w:lang w:val="fr-FR"/>
        </w:rPr>
        <w:t>cele mai relevante</w:t>
      </w:r>
      <w:r w:rsidR="00022442">
        <w:rPr>
          <w:lang w:val="fr-FR"/>
        </w:rPr>
        <w:t xml:space="preserve"> dintre cele</w:t>
      </w:r>
      <w:r w:rsidRPr="00376C40">
        <w:rPr>
          <w:lang w:val="fr-FR"/>
        </w:rPr>
        <w:t xml:space="preserve"> cu care se confruntă UE conform studiilor, cum ar fi Regiuni 2020</w:t>
      </w:r>
      <w:r>
        <w:rPr>
          <w:rStyle w:val="FootnoteReference"/>
          <w:lang w:val="en-US"/>
        </w:rPr>
        <w:footnoteReference w:id="4"/>
      </w:r>
      <w:r w:rsidRPr="00376C40">
        <w:rPr>
          <w:lang w:val="fr-FR"/>
        </w:rPr>
        <w:t>, Scenar 2020</w:t>
      </w:r>
      <w:r>
        <w:rPr>
          <w:rStyle w:val="FootnoteReference"/>
          <w:lang w:val="en-US"/>
        </w:rPr>
        <w:footnoteReference w:id="5"/>
      </w:r>
      <w:r w:rsidRPr="00376C40">
        <w:rPr>
          <w:lang w:val="fr-FR"/>
        </w:rPr>
        <w:t xml:space="preserve">, </w:t>
      </w:r>
      <w:r w:rsidRPr="00376C40">
        <w:rPr>
          <w:lang w:val="fr-FR"/>
        </w:rPr>
        <w:lastRenderedPageBreak/>
        <w:t>ESPON 3.2.6</w:t>
      </w:r>
      <w:r>
        <w:rPr>
          <w:rStyle w:val="FootnoteReference"/>
          <w:lang w:val="en-US"/>
        </w:rPr>
        <w:footnoteReference w:id="6"/>
      </w:r>
      <w:r w:rsidRPr="00376C40">
        <w:rPr>
          <w:lang w:val="fr-FR"/>
        </w:rPr>
        <w:t xml:space="preserve">. </w:t>
      </w:r>
      <w:r w:rsidRPr="00B60C4A">
        <w:rPr>
          <w:lang w:val="fr-FR"/>
        </w:rPr>
        <w:t>În conformitate cu Analiza Teritorială și</w:t>
      </w:r>
      <w:r w:rsidR="00022442">
        <w:rPr>
          <w:lang w:val="fr-FR"/>
        </w:rPr>
        <w:t xml:space="preserve"> cu</w:t>
      </w:r>
      <w:r w:rsidRPr="00B60C4A">
        <w:rPr>
          <w:lang w:val="fr-FR"/>
        </w:rPr>
        <w:t xml:space="preserve"> aceste studii, vom descrie aici principalele provocări ale zonei transfrontaliere și modul în care prog</w:t>
      </w:r>
      <w:r w:rsidR="00573850">
        <w:rPr>
          <w:lang w:val="fr-FR"/>
        </w:rPr>
        <w:t>ramul de cooperare le va aborda</w:t>
      </w:r>
      <w:r w:rsidR="00376C40">
        <w:rPr>
          <w:lang w:val="fr-FR"/>
        </w:rPr>
        <w:t> :</w:t>
      </w:r>
    </w:p>
    <w:p w:rsidR="00573850" w:rsidRPr="00573850" w:rsidRDefault="00573850" w:rsidP="00EC1DA9">
      <w:pPr>
        <w:pStyle w:val="Heading8"/>
        <w:numPr>
          <w:ilvl w:val="0"/>
          <w:numId w:val="10"/>
        </w:numPr>
        <w:rPr>
          <w:lang w:val="en-US"/>
        </w:rPr>
      </w:pPr>
      <w:r w:rsidRPr="00573850">
        <w:rPr>
          <w:lang w:val="en-US"/>
        </w:rPr>
        <w:t xml:space="preserve">Schimbări Climatice </w:t>
      </w:r>
    </w:p>
    <w:p w:rsidR="00573850" w:rsidRPr="006F7519" w:rsidRDefault="00573850" w:rsidP="00A0071B">
      <w:pPr>
        <w:rPr>
          <w:szCs w:val="24"/>
          <w:highlight w:val="green"/>
          <w:lang w:val="it-IT" w:eastAsia="en-US"/>
        </w:rPr>
      </w:pPr>
      <w:r w:rsidRPr="006F7519">
        <w:rPr>
          <w:szCs w:val="24"/>
          <w:lang w:val="it-IT" w:eastAsia="en-US"/>
        </w:rPr>
        <w:t>În conformitate cu definițiile ESPON și ale Grupului Interguvernamental privind schimbările climatice, "vulnerabilitatea față de schimbările climatice este o funcție de expunere, sensibilitate și capacitate de răspuns" (...), aceasta este "măsura în care un sistem este susceptibil și în imposibilitatea de a face față efectelor adverse ale schimbărilor climatice, inclusiv ale variabilitții climatice și extremelor".</w:t>
      </w:r>
    </w:p>
    <w:p w:rsidR="00D1609F" w:rsidRPr="00FF685E" w:rsidRDefault="00D1609F" w:rsidP="00A0071B">
      <w:pPr>
        <w:rPr>
          <w:lang w:val="fr-FR"/>
        </w:rPr>
      </w:pPr>
      <w:r w:rsidRPr="00573850">
        <w:rPr>
          <w:szCs w:val="24"/>
          <w:lang w:val="fr-FR" w:eastAsia="en-US"/>
        </w:rPr>
        <w:t>În regiunea transfrontalierã româno-bulgarã toate zonele au o capacitate redusã de adapt</w:t>
      </w:r>
      <w:r w:rsidR="00573850">
        <w:rPr>
          <w:szCs w:val="24"/>
          <w:lang w:val="fr-FR" w:eastAsia="en-US"/>
        </w:rPr>
        <w:t>are la schimbãrile climatice (</w:t>
      </w:r>
      <w:r w:rsidRPr="00573850">
        <w:rPr>
          <w:szCs w:val="24"/>
          <w:lang w:val="fr-FR" w:eastAsia="en-US"/>
        </w:rPr>
        <w:t xml:space="preserve">printre cele mai reduse din partea de est </w:t>
      </w:r>
      <w:r w:rsidRPr="00573850">
        <w:rPr>
          <w:rFonts w:ascii="Cambria Math" w:hAnsi="Cambria Math" w:cs="Cambria Math"/>
          <w:szCs w:val="24"/>
          <w:lang w:val="fr-FR" w:eastAsia="en-US"/>
        </w:rPr>
        <w:t>ș</w:t>
      </w:r>
      <w:r w:rsidRPr="00573850">
        <w:rPr>
          <w:szCs w:val="24"/>
          <w:lang w:val="fr-FR" w:eastAsia="en-US"/>
        </w:rPr>
        <w:t>i de sud a Europei). Acest indicator este influenţat de cinci factori, precum tehnologia, infrastructura, instituţiile, resursele economice, cunoştinţele şi conştientizarea şi poziţionarea geograficã (ESPON 2013).</w:t>
      </w:r>
    </w:p>
    <w:p w:rsidR="00573850" w:rsidRPr="00573850" w:rsidRDefault="00573850" w:rsidP="00573850">
      <w:pPr>
        <w:rPr>
          <w:lang w:val="fr-FR"/>
        </w:rPr>
      </w:pPr>
      <w:r w:rsidRPr="00573850">
        <w:rPr>
          <w:lang w:val="fr-FR"/>
        </w:rPr>
        <w:t>În regiunea transfrontalieră temperatura medie anuală, ca un indicator relevant pentru schimbările climatice, indică o tendință de creștere semnificativă, atât în județele de luncă din România</w:t>
      </w:r>
      <w:r>
        <w:rPr>
          <w:lang w:val="fr-FR"/>
        </w:rPr>
        <w:t>, cât</w:t>
      </w:r>
      <w:r w:rsidRPr="00573850">
        <w:rPr>
          <w:lang w:val="fr-FR"/>
        </w:rPr>
        <w:t xml:space="preserve"> și </w:t>
      </w:r>
      <w:r>
        <w:rPr>
          <w:lang w:val="fr-FR"/>
        </w:rPr>
        <w:t xml:space="preserve">în </w:t>
      </w:r>
      <w:r w:rsidRPr="00573850">
        <w:rPr>
          <w:lang w:val="fr-FR"/>
        </w:rPr>
        <w:t>districtele din Bulgaria (peste 3,6° C).</w:t>
      </w:r>
    </w:p>
    <w:p w:rsidR="00573850" w:rsidRPr="00573850" w:rsidRDefault="00573850" w:rsidP="00573850">
      <w:pPr>
        <w:rPr>
          <w:lang w:val="fr-FR"/>
        </w:rPr>
      </w:pPr>
      <w:r w:rsidRPr="00573850">
        <w:rPr>
          <w:lang w:val="fr-FR"/>
        </w:rPr>
        <w:t>Efectele schimbărilor climatice se fac deja simțite și produc efecte: veri uscate si calde, ierni cu volume mari de zăpadă; zone cu tendințe de deșertificare, inundații, furtuni, alunecări de teren, eroziuni pe litoral si ale malurilor Dunării.</w:t>
      </w:r>
    </w:p>
    <w:p w:rsidR="00573850" w:rsidRPr="00573850" w:rsidRDefault="00573850" w:rsidP="00573850">
      <w:pPr>
        <w:rPr>
          <w:lang w:val="fr-FR"/>
        </w:rPr>
      </w:pPr>
      <w:r w:rsidRPr="00573850">
        <w:rPr>
          <w:lang w:val="fr-FR"/>
        </w:rPr>
        <w:t>Creșterea temperaturii, împreună cu scăderea cantității medii anuale a precipitațiil</w:t>
      </w:r>
      <w:r w:rsidR="00022442">
        <w:rPr>
          <w:lang w:val="fr-FR"/>
        </w:rPr>
        <w:t>or în timpul lunilor de vară, are</w:t>
      </w:r>
      <w:r w:rsidRPr="00573850">
        <w:rPr>
          <w:lang w:val="fr-FR"/>
        </w:rPr>
        <w:t xml:space="preserve"> o influență majoră asupra accentuării secetei și a riscurilor de secetă, în special în județele Olt, Teleorman, Dolj (România) și în Montana, Vratsa, Pleven, Ruse (Bulgaria), unde în 2007 seceta a afectat grav sectorul agricol.</w:t>
      </w:r>
    </w:p>
    <w:p w:rsidR="00573850" w:rsidRPr="00573850" w:rsidRDefault="00573850" w:rsidP="00573850">
      <w:pPr>
        <w:rPr>
          <w:lang w:val="fr-FR"/>
        </w:rPr>
      </w:pPr>
      <w:r w:rsidRPr="00573850">
        <w:rPr>
          <w:lang w:val="fr-FR"/>
        </w:rPr>
        <w:t xml:space="preserve">Litoralul romanesc a fost supus unor serioase probleme </w:t>
      </w:r>
      <w:proofErr w:type="gramStart"/>
      <w:r w:rsidRPr="00573850">
        <w:rPr>
          <w:lang w:val="fr-FR"/>
        </w:rPr>
        <w:t>de eroziune</w:t>
      </w:r>
      <w:proofErr w:type="gramEnd"/>
      <w:r w:rsidRPr="00573850">
        <w:rPr>
          <w:lang w:val="fr-FR"/>
        </w:rPr>
        <w:t xml:space="preserve"> în ultimele decenii. Unitatea de nord, coasta deltaică a Dunării, este cea mai afectată. Potrivit unui studiu elaborat de Comisia Europeană</w:t>
      </w:r>
      <w:r w:rsidR="00976200">
        <w:rPr>
          <w:lang w:val="fr-FR"/>
        </w:rPr>
        <w:t>, în ultimii 35 de ani, țărmul</w:t>
      </w:r>
      <w:r w:rsidRPr="00573850">
        <w:rPr>
          <w:lang w:val="fr-FR"/>
        </w:rPr>
        <w:t xml:space="preserve"> s-a retras spre interior între 180-300 de metri și 80 de ha / an de plajă au fost pierdute. Eroziunea costieră nu este </w:t>
      </w:r>
      <w:proofErr w:type="gramStart"/>
      <w:r w:rsidRPr="00573850">
        <w:rPr>
          <w:lang w:val="fr-FR"/>
        </w:rPr>
        <w:t>de așteptat</w:t>
      </w:r>
      <w:proofErr w:type="gramEnd"/>
      <w:r w:rsidRPr="00573850">
        <w:rPr>
          <w:lang w:val="fr-FR"/>
        </w:rPr>
        <w:t xml:space="preserve"> doar să amenințe industria turismului în sezonul de vară din cauza pierderii de plaje, dar ar putea pune în pericol și siguranța locuințelor și bunăstarea publică.</w:t>
      </w:r>
    </w:p>
    <w:p w:rsidR="00573850" w:rsidRPr="00573850" w:rsidRDefault="00573850" w:rsidP="00573850">
      <w:pPr>
        <w:rPr>
          <w:lang w:val="fr-FR"/>
        </w:rPr>
      </w:pPr>
      <w:r w:rsidRPr="00573850">
        <w:rPr>
          <w:lang w:val="fr-FR"/>
        </w:rPr>
        <w:t>În 2006, inundații grave au lovit regiunea transfrontalieră din România și Bulgaria, unde 70-80% dintre infrastructurile legate de protecția împotriva inundațiilor au fost construite în anii șaptezeci și optzeci. Atunci, Dunăre</w:t>
      </w:r>
      <w:r w:rsidR="00976200">
        <w:rPr>
          <w:lang w:val="fr-FR"/>
        </w:rPr>
        <w:t>a a atins cel mai înalt nivel din ultimii</w:t>
      </w:r>
      <w:r w:rsidRPr="00573850">
        <w:rPr>
          <w:lang w:val="fr-FR"/>
        </w:rPr>
        <w:t xml:space="preserve"> 30 de ani, cu un record de 9,4 m în nord-vestul orașului Vidin din Bulgaria. Județele Mehedinți, Dolj și Olt au fost grav afectate, cu mai multe sate care au suferit din cauza alunecărilor de teren. Prejudiciul a fost semnificativ: 20 de baraje au fost distruse, mii de case au fost inundate și peste 50.000 de hectare de teren arabil au fost distruse.</w:t>
      </w:r>
    </w:p>
    <w:p w:rsidR="00573850" w:rsidRPr="00573850" w:rsidRDefault="00573850" w:rsidP="00573850">
      <w:pPr>
        <w:rPr>
          <w:lang w:val="fr-FR"/>
        </w:rPr>
      </w:pPr>
      <w:r w:rsidRPr="00573850">
        <w:rPr>
          <w:lang w:val="fr-FR"/>
        </w:rPr>
        <w:t>Aceste riscuri sunt inter-conectate, eroziunea poate fi cauza poluării solurilor agricole, a pierderii de navigabilitate pe unele părți ale rețelei de râu și a unei vulnerabilități mai mari față de inundații și alunecări de teren în special, mai multe zone transfrontaliere aflându-se într-o zonă cu grad ridicat de risc.</w:t>
      </w:r>
    </w:p>
    <w:p w:rsidR="00573850" w:rsidRPr="00376C40" w:rsidRDefault="00573850" w:rsidP="00573850">
      <w:pPr>
        <w:rPr>
          <w:lang w:val="fr-FR"/>
        </w:rPr>
      </w:pPr>
      <w:r w:rsidRPr="00376C40">
        <w:rPr>
          <w:lang w:val="fr-FR"/>
        </w:rPr>
        <w:lastRenderedPageBreak/>
        <w:t>După cum putem vedea, consecințele nu sunt numai geografice, ci, de asemenea, pun în pericol economia (accesibilitate, agricultură, turism), reputația unei regiuni ca destinație pentru investiții care ar putea fi percepută ca fiind nesigură și în primul rând viața locuitorilor.</w:t>
      </w:r>
    </w:p>
    <w:p w:rsidR="00AD44A8" w:rsidRPr="00AE4FD8" w:rsidRDefault="00AD44A8" w:rsidP="00AD44A8">
      <w:pPr>
        <w:rPr>
          <w:rFonts w:cs="Helvetica"/>
          <w:lang w:val="fr-FR" w:eastAsia="fr-FR"/>
        </w:rPr>
      </w:pPr>
      <w:r w:rsidRPr="00AE4FD8">
        <w:rPr>
          <w:rFonts w:cs="Helvetica"/>
          <w:lang w:val="fr-FR" w:eastAsia="fr-FR"/>
        </w:rPr>
        <w:t>Hazardele şi riscurile pot fi prevenite, controlate şi gestionate prin:</w:t>
      </w:r>
    </w:p>
    <w:p w:rsidR="00AD44A8" w:rsidRPr="00AE4FD8" w:rsidRDefault="002F3F9B" w:rsidP="00EC1DA9">
      <w:pPr>
        <w:numPr>
          <w:ilvl w:val="0"/>
          <w:numId w:val="14"/>
        </w:numPr>
        <w:rPr>
          <w:rFonts w:cs="Helvetica"/>
          <w:lang w:val="fr-FR" w:eastAsia="fr-FR"/>
        </w:rPr>
      </w:pPr>
      <w:r w:rsidRPr="00AE4FD8">
        <w:rPr>
          <w:rFonts w:cs="Helvetica"/>
          <w:lang w:val="fr-FR" w:eastAsia="fr-FR"/>
        </w:rPr>
        <w:t>C</w:t>
      </w:r>
      <w:r w:rsidR="00AD44A8" w:rsidRPr="00AE4FD8">
        <w:rPr>
          <w:rFonts w:cs="Helvetica"/>
          <w:lang w:val="fr-FR" w:eastAsia="fr-FR"/>
        </w:rPr>
        <w:t>onsolidarea</w:t>
      </w:r>
      <w:r>
        <w:rPr>
          <w:rFonts w:cs="Helvetica"/>
          <w:lang w:val="fr-FR" w:eastAsia="fr-FR"/>
        </w:rPr>
        <w:t xml:space="preserve"> în regiune a</w:t>
      </w:r>
      <w:r w:rsidR="00AD44A8" w:rsidRPr="00AE4FD8">
        <w:rPr>
          <w:rFonts w:cs="Helvetica"/>
          <w:lang w:val="fr-FR" w:eastAsia="fr-FR"/>
        </w:rPr>
        <w:t xml:space="preserve"> capacității,</w:t>
      </w:r>
      <w:r>
        <w:rPr>
          <w:rFonts w:cs="Helvetica"/>
          <w:lang w:val="fr-FR" w:eastAsia="fr-FR"/>
        </w:rPr>
        <w:t xml:space="preserve"> în general scăzute, </w:t>
      </w:r>
      <w:proofErr w:type="gramStart"/>
      <w:r w:rsidR="00AD44A8" w:rsidRPr="00AE4FD8">
        <w:rPr>
          <w:rFonts w:cs="Helvetica"/>
          <w:lang w:val="fr-FR" w:eastAsia="fr-FR"/>
        </w:rPr>
        <w:t>de adaptare</w:t>
      </w:r>
      <w:proofErr w:type="gramEnd"/>
      <w:r w:rsidR="00AD44A8" w:rsidRPr="00AE4FD8">
        <w:rPr>
          <w:rFonts w:cs="Helvetica"/>
          <w:lang w:val="fr-FR" w:eastAsia="fr-FR"/>
        </w:rPr>
        <w:t xml:space="preserve"> la schimbările climatice (prin infrastructurã, echipamente, norme, capacitate administrativã, cooperare transfrontalierã pentru gestionarea dezastrelor naturale)</w:t>
      </w:r>
    </w:p>
    <w:p w:rsidR="00AD44A8" w:rsidRPr="00AE4FD8" w:rsidRDefault="00AD44A8" w:rsidP="00EC1DA9">
      <w:pPr>
        <w:numPr>
          <w:ilvl w:val="0"/>
          <w:numId w:val="14"/>
        </w:numPr>
        <w:rPr>
          <w:rFonts w:cs="Helvetica"/>
          <w:lang w:val="fr-FR" w:eastAsia="fr-FR"/>
        </w:rPr>
      </w:pPr>
      <w:r w:rsidRPr="00AE4FD8">
        <w:rPr>
          <w:rFonts w:cs="Helvetica"/>
          <w:lang w:val="fr-FR" w:eastAsia="fr-FR"/>
        </w:rPr>
        <w:t>un efort concret şi imediat pentru consolidarea serviciilor de salvare actuale</w:t>
      </w:r>
    </w:p>
    <w:p w:rsidR="00AD44A8" w:rsidRPr="00AE4FD8" w:rsidRDefault="00AD44A8" w:rsidP="00EC1DA9">
      <w:pPr>
        <w:numPr>
          <w:ilvl w:val="0"/>
          <w:numId w:val="14"/>
        </w:numPr>
        <w:rPr>
          <w:rFonts w:cs="Helvetica"/>
          <w:lang w:val="fr-FR" w:eastAsia="fr-FR"/>
        </w:rPr>
      </w:pPr>
      <w:r w:rsidRPr="00AE4FD8">
        <w:rPr>
          <w:rFonts w:cs="Helvetica"/>
          <w:lang w:val="fr-FR" w:eastAsia="fr-FR"/>
        </w:rPr>
        <w:t>implementarea continuã a proiectelor anterioare perioadei programului (precum mãsurile de prevenire a inundaţiilor şi localizarea hazardelor, dezvoltarea sistem</w:t>
      </w:r>
      <w:r w:rsidR="002F3F9B">
        <w:rPr>
          <w:rFonts w:cs="Helvetica"/>
          <w:lang w:val="fr-FR" w:eastAsia="fr-FR"/>
        </w:rPr>
        <w:t>ului de gestionare a riscurilor</w:t>
      </w:r>
      <w:r w:rsidRPr="00AE4FD8">
        <w:rPr>
          <w:rFonts w:cs="Helvetica"/>
          <w:lang w:val="fr-FR" w:eastAsia="fr-FR"/>
        </w:rPr>
        <w:t xml:space="preserve"> şi un sistem comun de protecţie transfrontalierã).</w:t>
      </w:r>
    </w:p>
    <w:p w:rsidR="00AE4FD8" w:rsidRPr="00AE4FD8" w:rsidRDefault="00AE4FD8" w:rsidP="00AE4FD8">
      <w:pPr>
        <w:rPr>
          <w:rFonts w:cs="Helvetica"/>
          <w:lang w:val="fr-FR" w:eastAsia="fr-FR"/>
        </w:rPr>
      </w:pPr>
      <w:r w:rsidRPr="00AE4FD8">
        <w:rPr>
          <w:rFonts w:cs="Helvetica"/>
          <w:lang w:val="fr-FR" w:eastAsia="fr-FR"/>
        </w:rPr>
        <w:t>De exemplu, creșterea frecvenței și amplorii inundațiilor legate de schimbările climatice în zona Dunării reclamă necesitatea de cooperare în ceea ce privește cercetarea referitoare la predicția și prevenirea inundațiilor, iar o abordare generală transfrontalieră a problemei trebuie să fie ado</w:t>
      </w:r>
      <w:r w:rsidR="002F3F9B">
        <w:rPr>
          <w:rFonts w:cs="Helvetica"/>
          <w:lang w:val="fr-FR" w:eastAsia="fr-FR"/>
        </w:rPr>
        <w:t>p</w:t>
      </w:r>
      <w:r w:rsidRPr="00AE4FD8">
        <w:rPr>
          <w:rFonts w:cs="Helvetica"/>
          <w:lang w:val="fr-FR" w:eastAsia="fr-FR"/>
        </w:rPr>
        <w:t>tată imediat.</w:t>
      </w:r>
    </w:p>
    <w:p w:rsidR="00AE4FD8" w:rsidRPr="00AE4FD8" w:rsidRDefault="00AE4FD8" w:rsidP="00AE4FD8">
      <w:pPr>
        <w:rPr>
          <w:rFonts w:cs="Helvetica"/>
          <w:lang w:val="fr-FR" w:eastAsia="fr-FR"/>
        </w:rPr>
      </w:pPr>
      <w:r w:rsidRPr="00AE4FD8">
        <w:rPr>
          <w:rFonts w:cs="Helvetica"/>
          <w:lang w:val="fr-FR" w:eastAsia="fr-FR"/>
        </w:rPr>
        <w:t xml:space="preserve">Aceste bune practici ar putea fi de ajutor pentru a preveni și a gestiona alte riscuri, precum cele industriale, în așa-numitele locații Seveso unde sunt prelucrate sau depozitate substanțe periculoase. Aceste riscuri nu conduc doar la poluarea aerului, dar duc, de asemenea, la o poluare a apelor și solurilor de la suprafață și </w:t>
      </w:r>
      <w:proofErr w:type="gramStart"/>
      <w:r w:rsidRPr="00AE4FD8">
        <w:rPr>
          <w:rFonts w:cs="Helvetica"/>
          <w:lang w:val="fr-FR" w:eastAsia="fr-FR"/>
        </w:rPr>
        <w:t>a</w:t>
      </w:r>
      <w:proofErr w:type="gramEnd"/>
      <w:r w:rsidRPr="00AE4FD8">
        <w:rPr>
          <w:rFonts w:cs="Helvetica"/>
          <w:lang w:val="fr-FR" w:eastAsia="fr-FR"/>
        </w:rPr>
        <w:t xml:space="preserve"> celor subterane sau la situații care pun viața în pericol pentru locuitorii din împrejurimi.</w:t>
      </w:r>
    </w:p>
    <w:p w:rsidR="00AE4FD8" w:rsidRPr="00AE4FD8" w:rsidRDefault="00AE4FD8" w:rsidP="00AE4FD8">
      <w:pPr>
        <w:rPr>
          <w:rFonts w:cs="Helvetica"/>
          <w:lang w:val="fr-FR" w:eastAsia="fr-FR"/>
        </w:rPr>
      </w:pPr>
      <w:r w:rsidRPr="00AE4FD8">
        <w:rPr>
          <w:rFonts w:cs="Helvetica"/>
          <w:lang w:val="fr-FR" w:eastAsia="fr-FR"/>
        </w:rPr>
        <w:t xml:space="preserve">După cum am văzut, vulnerabilitatea acestei regiuni este dramatic de ridicată și necesită în primă instanță măsuri </w:t>
      </w:r>
      <w:proofErr w:type="gramStart"/>
      <w:r w:rsidRPr="00AE4FD8">
        <w:rPr>
          <w:rFonts w:cs="Helvetica"/>
          <w:lang w:val="fr-FR" w:eastAsia="fr-FR"/>
        </w:rPr>
        <w:t>de urgență</w:t>
      </w:r>
      <w:proofErr w:type="gramEnd"/>
      <w:r w:rsidRPr="00AE4FD8">
        <w:rPr>
          <w:rFonts w:cs="Helvetica"/>
          <w:lang w:val="fr-FR" w:eastAsia="fr-FR"/>
        </w:rPr>
        <w:t xml:space="preserve"> pentru siguranța populației și conservarea teritoriului.</w:t>
      </w:r>
    </w:p>
    <w:p w:rsidR="00AD44A8" w:rsidRPr="00FF685E" w:rsidRDefault="00AE4FD8" w:rsidP="00AE4FD8">
      <w:pPr>
        <w:rPr>
          <w:rFonts w:cs="Helvetica"/>
          <w:lang w:val="fr-FR" w:eastAsia="fr-FR"/>
        </w:rPr>
      </w:pPr>
      <w:r w:rsidRPr="00AE4FD8">
        <w:rPr>
          <w:rFonts w:cs="Helvetica"/>
          <w:lang w:val="fr-FR" w:eastAsia="fr-FR"/>
        </w:rPr>
        <w:t>În orizontul anului 2020, impactele combinate ale schimbărilor climatice prognozate și cele ale ritmului lent de dezvoltare al regiunii pot duce la costuri financiare și umane ridicate; aceste daune pot fi reduse semnificativ prin punerea în aplicare a acțiunilor de atenuare și adaptare în zona transfrontalieră, împreună cu măsuri de prevenire și de urgență, în scopul de a construi o regiune mai sigură.</w:t>
      </w:r>
    </w:p>
    <w:p w:rsidR="00B1411D" w:rsidRPr="00276698" w:rsidRDefault="00AE4FD8" w:rsidP="00A0071B">
      <w:pPr>
        <w:pStyle w:val="Heading8"/>
        <w:rPr>
          <w:lang w:val="en-US"/>
        </w:rPr>
      </w:pPr>
      <w:r>
        <w:rPr>
          <w:lang w:val="en-US"/>
        </w:rPr>
        <w:t>Mediul înconjurător</w:t>
      </w:r>
    </w:p>
    <w:p w:rsidR="00AD44A8" w:rsidRPr="00FF685E" w:rsidRDefault="00AD44A8" w:rsidP="00950460">
      <w:pPr>
        <w:rPr>
          <w:lang w:val="fr-FR"/>
        </w:rPr>
      </w:pPr>
      <w:r w:rsidRPr="00376C40">
        <w:rPr>
          <w:szCs w:val="24"/>
          <w:lang w:val="fr-FR" w:eastAsia="en-US"/>
        </w:rPr>
        <w:t xml:space="preserve">Zona transfrontalierã România – Bulgaria se caracterizeazã printr-o diversitate biologicã excepţionalã şi prin peisaje valoroase din punct de vedere ambiental şi cultural, care sunt supuse unor serii de presiuni şi conflicte de utilizare (de exemplu, din industrie, agriculturã excesivã, schimbările climatice, transport, precum </w:t>
      </w:r>
      <w:r w:rsidRPr="00376C40">
        <w:rPr>
          <w:rFonts w:ascii="Cambria Math" w:hAnsi="Cambria Math" w:cs="Cambria Math"/>
          <w:szCs w:val="24"/>
          <w:lang w:val="fr-FR" w:eastAsia="en-US"/>
        </w:rPr>
        <w:t>ș</w:t>
      </w:r>
      <w:r w:rsidRPr="00376C40">
        <w:rPr>
          <w:szCs w:val="24"/>
          <w:lang w:val="fr-FR" w:eastAsia="en-US"/>
        </w:rPr>
        <w:t>i fluxul turistic gestionat defectuos).</w:t>
      </w:r>
    </w:p>
    <w:p w:rsidR="00AE4FD8" w:rsidRPr="00AE4FD8" w:rsidRDefault="00AE4FD8" w:rsidP="00AE4FD8">
      <w:pPr>
        <w:rPr>
          <w:lang w:val="fr-FR"/>
        </w:rPr>
      </w:pPr>
      <w:r w:rsidRPr="00AE4FD8">
        <w:rPr>
          <w:lang w:val="fr-FR"/>
        </w:rPr>
        <w:t>Având în vedere geografia, structura ecologică a zonei (structurată în jurul coridorul Dunarii - un coridor natural major care leagă cele două părți la nivel național) și evoluția comună din punct de verdere etnografic și istoric a celor două părți la nivel național, o abordare transfrontalieră este extrem de valoroasă și coerentă în abordarea problemei privind protecția și utilizarea patrimoniului natural și istoric.</w:t>
      </w:r>
    </w:p>
    <w:p w:rsidR="00AE4FD8" w:rsidRPr="00AE4FD8" w:rsidRDefault="00AE4FD8" w:rsidP="00AE4FD8">
      <w:pPr>
        <w:rPr>
          <w:lang w:val="fr-FR"/>
        </w:rPr>
      </w:pPr>
      <w:r>
        <w:rPr>
          <w:lang w:val="fr-FR"/>
        </w:rPr>
        <w:t>Există mai multe situri</w:t>
      </w:r>
      <w:r w:rsidRPr="00AE4FD8">
        <w:rPr>
          <w:lang w:val="fr-FR"/>
        </w:rPr>
        <w:t xml:space="preserve"> NATURA 2000 în zona transfrontalieră din Romînia, care sunt distribuite într-un mod relativ uniform, cu o incidență mai mare teritorială în județele cu o varietate mai mare de relief, climă și hidrologie.</w:t>
      </w:r>
    </w:p>
    <w:p w:rsidR="00AE4FD8" w:rsidRPr="00AE4FD8" w:rsidRDefault="00AE4FD8" w:rsidP="00AE4FD8">
      <w:pPr>
        <w:rPr>
          <w:lang w:val="fr-FR"/>
        </w:rPr>
      </w:pPr>
      <w:r w:rsidRPr="00AE4FD8">
        <w:rPr>
          <w:lang w:val="fr-FR"/>
        </w:rPr>
        <w:t>În Mehe</w:t>
      </w:r>
      <w:r>
        <w:rPr>
          <w:lang w:val="fr-FR"/>
        </w:rPr>
        <w:t xml:space="preserve">dinți, au fost create 10 situri </w:t>
      </w:r>
      <w:r w:rsidRPr="00AE4FD8">
        <w:rPr>
          <w:lang w:val="fr-FR"/>
        </w:rPr>
        <w:t>NATURA 2000, 7 dintre acestea fiind extinse la județele învecin</w:t>
      </w:r>
      <w:r w:rsidR="00195BDF">
        <w:rPr>
          <w:lang w:val="fr-FR"/>
        </w:rPr>
        <w:t>ate Gorj, Caraș-Severin și Dolj.</w:t>
      </w:r>
    </w:p>
    <w:p w:rsidR="00AE4FD8" w:rsidRPr="00AE4FD8" w:rsidRDefault="00AE4FD8" w:rsidP="00AE4FD8">
      <w:pPr>
        <w:rPr>
          <w:lang w:val="fr-FR"/>
        </w:rPr>
      </w:pPr>
      <w:r w:rsidRPr="00AE4FD8">
        <w:rPr>
          <w:lang w:val="fr-FR"/>
        </w:rPr>
        <w:lastRenderedPageBreak/>
        <w:t>În partea bulgărească, există un total de 102 zone protejate, incluse în rețeaua NATURA 2000. Distribuirea locațiilor variază de la 10 în districtul Ruse la 15 în districtul Dobrich, răspândindu-se, de asemenea, în districtul vecin Varna.</w:t>
      </w:r>
    </w:p>
    <w:p w:rsidR="00AE4FD8" w:rsidRPr="00AE4FD8" w:rsidRDefault="00AE4FD8" w:rsidP="00AE4FD8">
      <w:pPr>
        <w:rPr>
          <w:lang w:val="fr-FR"/>
        </w:rPr>
      </w:pPr>
      <w:r w:rsidRPr="00AE4FD8">
        <w:rPr>
          <w:lang w:val="fr-FR"/>
        </w:rPr>
        <w:t xml:space="preserve">Din cauza presiunii economice și a lipsei de gestionare </w:t>
      </w:r>
      <w:proofErr w:type="gramStart"/>
      <w:r w:rsidRPr="00AE4FD8">
        <w:rPr>
          <w:lang w:val="fr-FR"/>
        </w:rPr>
        <w:t>a</w:t>
      </w:r>
      <w:proofErr w:type="gramEnd"/>
      <w:r w:rsidRPr="00AE4FD8">
        <w:rPr>
          <w:lang w:val="fr-FR"/>
        </w:rPr>
        <w:t xml:space="preserve"> resurselor naturale, zonele protejate sunt expuse la mari riscuri din cauza de exploatărilor ilegale, turismului, construcțiilor și braconajului.</w:t>
      </w:r>
    </w:p>
    <w:p w:rsidR="00AE4FD8" w:rsidRPr="00195BDF" w:rsidRDefault="00AE4FD8" w:rsidP="00AE4FD8">
      <w:pPr>
        <w:rPr>
          <w:lang w:val="fr-FR"/>
        </w:rPr>
      </w:pPr>
      <w:r w:rsidRPr="00195BDF">
        <w:rPr>
          <w:lang w:val="fr-FR"/>
        </w:rPr>
        <w:t>Din cauza acestor probleme grave și a vulnerabilității regiunii la schimbările climatice, toate z</w:t>
      </w:r>
      <w:r w:rsidR="00195BDF" w:rsidRPr="00195BDF">
        <w:rPr>
          <w:lang w:val="fr-FR"/>
        </w:rPr>
        <w:t>onele protejate, inclusiv siturile</w:t>
      </w:r>
      <w:r w:rsidRPr="00195BDF">
        <w:rPr>
          <w:lang w:val="fr-FR"/>
        </w:rPr>
        <w:t xml:space="preserve"> NATURA 2000, se confruntă cu provocări majore în ceea ce privește conservarea mediului natural.</w:t>
      </w:r>
    </w:p>
    <w:p w:rsidR="001C08F8" w:rsidRPr="00195BDF" w:rsidRDefault="001C08F8" w:rsidP="00A0071B">
      <w:pPr>
        <w:rPr>
          <w:lang w:val="fr-FR"/>
        </w:rPr>
      </w:pPr>
      <w:r w:rsidRPr="00195BDF">
        <w:rPr>
          <w:lang w:val="fr-FR"/>
        </w:rPr>
        <w:t xml:space="preserve">În ciuda regulilor multiple legate de gestionarea şi protecţia siturilor NATURA 2000, care stabilesc cele mai importante cerințe ale măsurilor de conservare și de planificare, planul de management, cadrul contractual aprofundat, și strategii de gestionare a fluxului vizitatorilor, de multe ori nu sunt puse în aplicare. Mai mult, autoritãţile de management ale zonelor protejate funcţioneazã de obicei în mod izolat şi nu îndeajuns de eficient în timp ce ecosistemul este de multe ori unul transfrontalier. </w:t>
      </w:r>
    </w:p>
    <w:p w:rsidR="00BE65B4" w:rsidRPr="00195BDF" w:rsidRDefault="00BE65B4" w:rsidP="00BE65B4">
      <w:pPr>
        <w:rPr>
          <w:lang w:val="fr-FR"/>
        </w:rPr>
      </w:pPr>
      <w:r w:rsidRPr="00195BDF">
        <w:rPr>
          <w:lang w:val="fr-FR"/>
        </w:rPr>
        <w:t>Dimensiunea transfrontalierã poate fi optimã pentru construirea unei reţele de situri naturale care va împãrtãşi obiective comune, precum conservarea, conştientiz</w:t>
      </w:r>
      <w:r w:rsidR="00271A1D">
        <w:rPr>
          <w:lang w:val="fr-FR"/>
        </w:rPr>
        <w:t>area şi promovarea şi va împărtăşi</w:t>
      </w:r>
      <w:r w:rsidRPr="00195BDF">
        <w:rPr>
          <w:lang w:val="fr-FR"/>
        </w:rPr>
        <w:t xml:space="preserve"> bune practici (pe teme precum administrarea siturilor; implicarea comunitãţii; gestionarea fluxului de vizitatori şi dezvoltarea turisticã; planificarea managementului coordonat; implementare şi evaluare).</w:t>
      </w:r>
    </w:p>
    <w:p w:rsidR="00195BDF" w:rsidRPr="00195BDF" w:rsidRDefault="00195BDF" w:rsidP="00195BDF">
      <w:pPr>
        <w:rPr>
          <w:lang w:val="fr-FR"/>
        </w:rPr>
      </w:pPr>
      <w:r w:rsidRPr="00195BDF">
        <w:rPr>
          <w:lang w:val="fr-FR"/>
        </w:rPr>
        <w:t>Într-adevăr, conservarea acestui patrimoniu natural trebuie să fie înțeleasă în legătură cu dificultățile socio-economice ale zonei, iar arbitrajul imposibil între protecție și producție poate fi depășit prin identificarea, implementarea și promovarea unor noi modalități durabile, dar și viabile din punct de vedere economic în același timp, de utilizare a acestui patrimoniu.</w:t>
      </w:r>
    </w:p>
    <w:p w:rsidR="00195BDF" w:rsidRPr="00195BDF" w:rsidRDefault="00195BDF" w:rsidP="00195BDF">
      <w:pPr>
        <w:rPr>
          <w:lang w:val="fr-FR"/>
        </w:rPr>
      </w:pPr>
      <w:r w:rsidRPr="00195BDF">
        <w:rPr>
          <w:lang w:val="fr-FR"/>
        </w:rPr>
        <w:t>Turismul durabil pare a fi sectorul care combină cel mai bine, având în vedere condițiile locale, raționamentul economic și logica de protecție, cu scopul de a produce beneficii durabile pentru comunitățile locale.</w:t>
      </w:r>
    </w:p>
    <w:p w:rsidR="00195BDF" w:rsidRPr="00195BDF" w:rsidRDefault="00195BDF" w:rsidP="00195BDF">
      <w:pPr>
        <w:rPr>
          <w:lang w:val="fr-FR"/>
        </w:rPr>
      </w:pPr>
      <w:r w:rsidRPr="00195BDF">
        <w:rPr>
          <w:lang w:val="fr-FR"/>
        </w:rPr>
        <w:t>Cone</w:t>
      </w:r>
      <w:r w:rsidR="00271A1D">
        <w:rPr>
          <w:lang w:val="fr-FR"/>
        </w:rPr>
        <w:t>ctarea dezvoltării turismului cu</w:t>
      </w:r>
      <w:r w:rsidRPr="00195BDF">
        <w:rPr>
          <w:lang w:val="fr-FR"/>
        </w:rPr>
        <w:t xml:space="preserve"> protecția mediului a fost deja un obiectiv comun al mediului politic și societății civile, inclus în programul 2007-2013. Regiunea Transfrontalieră a creat un brand teritorial comun, iar Autoritățile naționale din România și Bulgaria sunt responsabile de Domeniul de prioritate SUERD (Strategia Uniunii Europene pentru Regiunea Dunării): "Promovarea culturii și turismului, a contactelor directe între oameni".</w:t>
      </w:r>
    </w:p>
    <w:p w:rsidR="00BE65B4" w:rsidRPr="00195BDF" w:rsidRDefault="00BE65B4" w:rsidP="00950460">
      <w:pPr>
        <w:rPr>
          <w:lang w:val="fr-FR" w:eastAsia="ro-RO"/>
        </w:rPr>
      </w:pPr>
      <w:r w:rsidRPr="00195BDF">
        <w:rPr>
          <w:szCs w:val="24"/>
          <w:lang w:val="fr-FR" w:eastAsia="en-US"/>
        </w:rPr>
        <w:t>O evaluare recentã a siturilor turistice îndelungul teritoriului transfrontalier indicã o varietate de 423 situri turistice în ambele ţãri.</w:t>
      </w:r>
    </w:p>
    <w:p w:rsidR="00195BDF" w:rsidRPr="00195BDF" w:rsidRDefault="00195BDF" w:rsidP="00950460">
      <w:pPr>
        <w:rPr>
          <w:lang w:val="fr-FR" w:eastAsia="ro-RO"/>
        </w:rPr>
      </w:pPr>
      <w:r w:rsidRPr="00195BDF">
        <w:rPr>
          <w:lang w:val="fr-FR" w:eastAsia="ro-RO"/>
        </w:rPr>
        <w:t>Cele mai importante sunt situate în partea de vest a regiunii: "Pietrele de la Belogradchik"</w:t>
      </w:r>
      <w:r>
        <w:rPr>
          <w:lang w:val="fr-FR" w:eastAsia="ro-RO"/>
        </w:rPr>
        <w:t>, cu cetatea din secolul al III-</w:t>
      </w:r>
      <w:r w:rsidRPr="00195BDF">
        <w:rPr>
          <w:lang w:val="fr-FR" w:eastAsia="ro-RO"/>
        </w:rPr>
        <w:t>lea, Peștera Măgura, Peștera Ledenika și formațiunile stâncoase Ritlite.</w:t>
      </w:r>
    </w:p>
    <w:p w:rsidR="00B1411D" w:rsidRPr="00195BDF" w:rsidRDefault="004C59A8" w:rsidP="00950460">
      <w:pPr>
        <w:rPr>
          <w:sz w:val="22"/>
          <w:lang w:val="fr-FR" w:eastAsia="en-US"/>
        </w:rPr>
      </w:pPr>
      <w:r w:rsidRPr="00376C40">
        <w:rPr>
          <w:lang w:val="fr-FR" w:eastAsia="ro-RO"/>
        </w:rPr>
        <w:t>Douã din</w:t>
      </w:r>
      <w:r w:rsidR="00271A1D">
        <w:rPr>
          <w:lang w:val="fr-FR" w:eastAsia="ro-RO"/>
        </w:rPr>
        <w:t>tre</w:t>
      </w:r>
      <w:r w:rsidRPr="00376C40">
        <w:rPr>
          <w:lang w:val="fr-FR" w:eastAsia="ro-RO"/>
        </w:rPr>
        <w:t xml:space="preserve"> cele nouã situri bulgare de patrimoniu cultural şi natural protejate de UNESCO sunt situate în regiunea transfrontalierã – Mãnãstirea de Piatrã din Ivanovo şi Rezervaţia Naturalã Srebarna</w:t>
      </w:r>
    </w:p>
    <w:p w:rsidR="00195BDF" w:rsidRPr="00195BDF" w:rsidRDefault="00195BDF" w:rsidP="00195BDF">
      <w:pPr>
        <w:rPr>
          <w:lang w:val="fr-FR"/>
        </w:rPr>
      </w:pPr>
      <w:r w:rsidRPr="00195BDF">
        <w:rPr>
          <w:lang w:val="fr-FR"/>
        </w:rPr>
        <w:t>Cu toate acestea, turismul este subdezvoltat în zonă și mai ales distribuit inegal între Marea Neagră și tot restul regiunii.</w:t>
      </w:r>
    </w:p>
    <w:p w:rsidR="00195BDF" w:rsidRPr="00195BDF" w:rsidRDefault="00195BDF" w:rsidP="00195BDF">
      <w:pPr>
        <w:rPr>
          <w:lang w:val="fr-FR"/>
        </w:rPr>
      </w:pPr>
      <w:r w:rsidRPr="00195BDF">
        <w:rPr>
          <w:lang w:val="fr-FR"/>
        </w:rPr>
        <w:t>Turismul durabil din jurul Dunării este încă în curs de dezvoltare și evoluează într-o piață cu totul diferită (cantitativ și calitativ)</w:t>
      </w:r>
      <w:r w:rsidR="003C585C">
        <w:rPr>
          <w:lang w:val="fr-FR"/>
        </w:rPr>
        <w:t>, față</w:t>
      </w:r>
      <w:r w:rsidR="00A961CC">
        <w:rPr>
          <w:lang w:val="fr-FR"/>
        </w:rPr>
        <w:t xml:space="preserve"> de</w:t>
      </w:r>
      <w:r w:rsidRPr="00195BDF">
        <w:rPr>
          <w:lang w:val="fr-FR"/>
        </w:rPr>
        <w:t xml:space="preserve"> turismul de masă sezonier al Mării Negre, de exemplu, în 2012 au fost 80.000 de locuri de cazare în Constanța și 6.000 în </w:t>
      </w:r>
      <w:r w:rsidRPr="00195BDF">
        <w:rPr>
          <w:lang w:val="fr-FR"/>
        </w:rPr>
        <w:lastRenderedPageBreak/>
        <w:t>VelikoTarnovo</w:t>
      </w:r>
      <w:r w:rsidR="003C585C">
        <w:rPr>
          <w:lang w:val="fr-FR"/>
        </w:rPr>
        <w:t>,</w:t>
      </w:r>
      <w:r w:rsidRPr="00195BDF">
        <w:rPr>
          <w:lang w:val="fr-FR"/>
        </w:rPr>
        <w:t xml:space="preserve">care </w:t>
      </w:r>
      <w:r w:rsidR="003C585C">
        <w:rPr>
          <w:lang w:val="fr-FR"/>
        </w:rPr>
        <w:t xml:space="preserve">reprezintă </w:t>
      </w:r>
      <w:r w:rsidRPr="00195BDF">
        <w:rPr>
          <w:lang w:val="fr-FR"/>
        </w:rPr>
        <w:t xml:space="preserve">cel mai mare număr </w:t>
      </w:r>
      <w:r w:rsidR="00A961CC">
        <w:rPr>
          <w:lang w:val="fr-FR"/>
        </w:rPr>
        <w:t xml:space="preserve">din restul zonei, </w:t>
      </w:r>
      <w:r w:rsidRPr="00195BDF">
        <w:rPr>
          <w:lang w:val="fr-FR"/>
        </w:rPr>
        <w:t>excep</w:t>
      </w:r>
      <w:r w:rsidR="00A961CC">
        <w:rPr>
          <w:lang w:val="fr-FR"/>
        </w:rPr>
        <w:t>tând Dobrich și litoralul</w:t>
      </w:r>
      <w:r w:rsidRPr="00195BDF">
        <w:rPr>
          <w:lang w:val="fr-FR"/>
        </w:rPr>
        <w:t xml:space="preserve"> Marea Neagră.</w:t>
      </w:r>
    </w:p>
    <w:p w:rsidR="00195BDF" w:rsidRPr="00195BDF" w:rsidRDefault="00195BDF" w:rsidP="00195BDF">
      <w:pPr>
        <w:rPr>
          <w:lang w:val="fr-FR"/>
        </w:rPr>
      </w:pPr>
      <w:r w:rsidRPr="00376C40">
        <w:rPr>
          <w:lang w:val="fr-FR"/>
        </w:rPr>
        <w:t xml:space="preserve">Un fapt important este că în timp ce capacitatea de cazare din Constanța a scăzut din 2010, există o categorie de județe / districte care au prezentat o creștere constantă a capacităților lor turistice, în ciuda crizei economice: VelikoTarnovo, Mehedinți, Dolj și Montana. </w:t>
      </w:r>
      <w:r w:rsidRPr="00195BDF">
        <w:rPr>
          <w:lang w:val="fr-FR"/>
        </w:rPr>
        <w:t>Această caracteristică și divergențele sale față de evoluția celorlalte județe / districte reprezintă un indicator al dezvoltării unui turism durabil în aceste zone. Acest potențial poate crește o dată cu dezvoltarea turismului nautic pe cursul inferior al Dunării, împreună cu crearea de trasee tematice transfrontaliere și drumuri verzi.</w:t>
      </w:r>
    </w:p>
    <w:p w:rsidR="005C4E50" w:rsidRPr="005C4E50" w:rsidRDefault="005C4E50" w:rsidP="005C4E50">
      <w:pPr>
        <w:rPr>
          <w:snapToGrid w:val="0"/>
          <w:lang w:val="fr-FR" w:eastAsia="ro-RO"/>
        </w:rPr>
      </w:pPr>
      <w:r w:rsidRPr="00A961CC">
        <w:rPr>
          <w:snapToGrid w:val="0"/>
          <w:lang w:val="fr-FR" w:eastAsia="ro-RO"/>
        </w:rPr>
        <w:t>Mai mult, prezervarea patrimoniului cultural şi natural este cheia pentru gestionarea turismului sezonier, a cãrui singurã posibilitate este adesea limitatã la zona litoralului în perioada de varã. Într-adevãr, sezonalitatea este  o problemã majorã pentru industria turismului şi pentru impactul sãu economic asupra teritoriului, pentru cã instabilitatea veniturilor din turism descurajează implicarea în dezvoltarea turismului și asumarea directã a rãspunderii locuitorilor  în sectoarele legate de turism sau indirectã prin intermediul cheltuielilor turiștilor.</w:t>
      </w:r>
    </w:p>
    <w:p w:rsidR="00A0071B" w:rsidRPr="00FF685E" w:rsidRDefault="00A0071B" w:rsidP="00A0071B">
      <w:pPr>
        <w:rPr>
          <w:snapToGrid w:val="0"/>
          <w:lang w:val="fr-FR" w:eastAsia="ro-RO"/>
        </w:rPr>
      </w:pPr>
    </w:p>
    <w:p w:rsidR="00A961CC" w:rsidRDefault="00A961CC" w:rsidP="00A961CC">
      <w:pPr>
        <w:pStyle w:val="Heading8"/>
        <w:rPr>
          <w:lang w:val="en-US"/>
        </w:rPr>
      </w:pPr>
      <w:r>
        <w:rPr>
          <w:lang w:val="en-US"/>
        </w:rPr>
        <w:t>Dezvoltare Economică &amp; Coeziune</w:t>
      </w:r>
      <w:r w:rsidRPr="00A961CC">
        <w:rPr>
          <w:lang w:val="en-US"/>
        </w:rPr>
        <w:t xml:space="preserve"> Socială</w:t>
      </w:r>
    </w:p>
    <w:p w:rsidR="00D76773" w:rsidRPr="00276698" w:rsidRDefault="00D76773" w:rsidP="00950460">
      <w:pPr>
        <w:rPr>
          <w:lang w:val="en-US"/>
        </w:rPr>
      </w:pPr>
      <w:r w:rsidRPr="00A961CC">
        <w:rPr>
          <w:szCs w:val="24"/>
          <w:lang w:val="en-US" w:eastAsia="en-US"/>
        </w:rPr>
        <w:t xml:space="preserve">O regiune transfrontalieră inteligentă </w:t>
      </w:r>
      <w:r w:rsidRPr="00A961CC">
        <w:rPr>
          <w:rFonts w:ascii="Cambria Math" w:hAnsi="Cambria Math" w:cs="Cambria Math"/>
          <w:szCs w:val="24"/>
          <w:lang w:val="en-US" w:eastAsia="en-US"/>
        </w:rPr>
        <w:t>ș</w:t>
      </w:r>
      <w:r w:rsidRPr="00A961CC">
        <w:rPr>
          <w:szCs w:val="24"/>
          <w:lang w:val="en-US" w:eastAsia="en-US"/>
        </w:rPr>
        <w:t>i durabilă trebuie să fie incluzivã, sã promoveze ini</w:t>
      </w:r>
      <w:r w:rsidRPr="00A961CC">
        <w:rPr>
          <w:rFonts w:ascii="Cambria Math" w:hAnsi="Cambria Math" w:cs="Cambria Math"/>
          <w:szCs w:val="24"/>
          <w:lang w:val="en-US" w:eastAsia="en-US"/>
        </w:rPr>
        <w:t>ț</w:t>
      </w:r>
      <w:r w:rsidRPr="00A961CC">
        <w:rPr>
          <w:szCs w:val="24"/>
          <w:lang w:val="en-US" w:eastAsia="en-US"/>
        </w:rPr>
        <w:t>iative, în scopul de a crea o schimbare în conceptul  cooperãrii, care leagã cele două state membre, prin rezolvarea de probleme specifice într-o zonă distinctă, pânã la abordarea integratoare,  fuziunea a două sisteme în cadrul unui singur teritoriu.</w:t>
      </w:r>
    </w:p>
    <w:p w:rsidR="00A961CC" w:rsidRPr="00A961CC" w:rsidRDefault="00A961CC" w:rsidP="00A961CC">
      <w:pPr>
        <w:rPr>
          <w:szCs w:val="24"/>
          <w:lang w:val="fr-FR" w:eastAsia="en-US"/>
        </w:rPr>
      </w:pPr>
      <w:r w:rsidRPr="00A961CC">
        <w:rPr>
          <w:szCs w:val="24"/>
          <w:lang w:val="fr-FR" w:eastAsia="en-US"/>
        </w:rPr>
        <w:t>Regiunea transfrontalieră are nevoie de această schimbare în ceea ce privește problemele critice precum coeziunea socială. Într-adevăr, zona cunoaște dificultăți profunde și structurale în ceea ce privește toată tematica cu privire la coeziunea socială.</w:t>
      </w:r>
    </w:p>
    <w:p w:rsidR="00A961CC" w:rsidRPr="00A961CC" w:rsidRDefault="00A961CC" w:rsidP="00A961CC">
      <w:pPr>
        <w:rPr>
          <w:szCs w:val="24"/>
          <w:lang w:val="fr-FR" w:eastAsia="en-US"/>
        </w:rPr>
      </w:pPr>
      <w:r w:rsidRPr="00A961CC">
        <w:rPr>
          <w:szCs w:val="24"/>
          <w:lang w:val="fr-FR" w:eastAsia="en-US"/>
        </w:rPr>
        <w:t>Piața forței de muncă este una dintre cele mai urgente și orizontale, deoarece include aspecte precum sărăcia, educația, egalitatea de gen și este strâns legată de structura economică de ansamblu a zonei. Mai mult decât atât, problematica unei piețe</w:t>
      </w:r>
      <w:r>
        <w:rPr>
          <w:szCs w:val="24"/>
          <w:lang w:val="fr-FR" w:eastAsia="en-US"/>
        </w:rPr>
        <w:t xml:space="preserve"> comune este o piatră de bază</w:t>
      </w:r>
      <w:r w:rsidRPr="00A961CC">
        <w:rPr>
          <w:szCs w:val="24"/>
          <w:lang w:val="fr-FR" w:eastAsia="en-US"/>
        </w:rPr>
        <w:t xml:space="preserve"> a integrării și este de obicei văzută ca primul pas al unui proces de integrare regională.</w:t>
      </w:r>
    </w:p>
    <w:p w:rsidR="00A961CC" w:rsidRPr="00A961CC" w:rsidRDefault="00A961CC" w:rsidP="00A961CC">
      <w:pPr>
        <w:rPr>
          <w:szCs w:val="24"/>
          <w:lang w:val="fr-FR" w:eastAsia="en-US"/>
        </w:rPr>
      </w:pPr>
      <w:r w:rsidRPr="00A961CC">
        <w:rPr>
          <w:szCs w:val="24"/>
          <w:lang w:val="fr-FR" w:eastAsia="en-US"/>
        </w:rPr>
        <w:t>În ceea ce privește munca, zona este, fără nicio îndoială, blocată în cercul vicios predominant de regiuni sub</w:t>
      </w:r>
      <w:r>
        <w:rPr>
          <w:szCs w:val="24"/>
          <w:lang w:val="fr-FR" w:eastAsia="en-US"/>
        </w:rPr>
        <w:t>-</w:t>
      </w:r>
      <w:r w:rsidRPr="00A961CC">
        <w:rPr>
          <w:szCs w:val="24"/>
          <w:lang w:val="fr-FR" w:eastAsia="en-US"/>
        </w:rPr>
        <w:t>dezvoltate.</w:t>
      </w:r>
    </w:p>
    <w:p w:rsidR="00A961CC" w:rsidRPr="00A961CC" w:rsidRDefault="00A961CC" w:rsidP="00A961CC">
      <w:pPr>
        <w:rPr>
          <w:szCs w:val="24"/>
          <w:lang w:val="fr-FR" w:eastAsia="en-US"/>
        </w:rPr>
      </w:pPr>
      <w:r w:rsidRPr="00A961CC">
        <w:rPr>
          <w:szCs w:val="24"/>
          <w:lang w:val="fr-FR" w:eastAsia="en-US"/>
        </w:rPr>
        <w:t>Este o piață</w:t>
      </w:r>
      <w:r w:rsidR="00C23236">
        <w:rPr>
          <w:szCs w:val="24"/>
          <w:lang w:val="fr-FR" w:eastAsia="en-US"/>
        </w:rPr>
        <w:t xml:space="preserve"> unde</w:t>
      </w:r>
      <w:r w:rsidRPr="00A961CC">
        <w:rPr>
          <w:szCs w:val="24"/>
          <w:lang w:val="fr-FR" w:eastAsia="en-US"/>
        </w:rPr>
        <w:t xml:space="preserve"> oferta este neadaptată pentru a se potrivi unei cereri slabe, dezorganizate, care nu dă semnale pozitive pentru mediul înconjurător. Cu alte cuvinte, este o piață în care muncitorii sunt necalificați, iar companiile sunt izolate unele </w:t>
      </w:r>
      <w:proofErr w:type="gramStart"/>
      <w:r w:rsidRPr="00A961CC">
        <w:rPr>
          <w:szCs w:val="24"/>
          <w:lang w:val="fr-FR" w:eastAsia="en-US"/>
        </w:rPr>
        <w:t>de altele</w:t>
      </w:r>
      <w:proofErr w:type="gramEnd"/>
      <w:r w:rsidRPr="00A961CC">
        <w:rPr>
          <w:szCs w:val="24"/>
          <w:lang w:val="fr-FR" w:eastAsia="en-US"/>
        </w:rPr>
        <w:t xml:space="preserve"> și de sistemul de educație și formare profesională. Ca urmare, putem remarca un nivel ridicat de inactivitate și șomaj și un nivel regional diminuat al salariului mediu net lunar. În România, zona </w:t>
      </w:r>
      <w:proofErr w:type="gramStart"/>
      <w:r w:rsidRPr="00A961CC">
        <w:rPr>
          <w:szCs w:val="24"/>
          <w:lang w:val="fr-FR" w:eastAsia="en-US"/>
        </w:rPr>
        <w:t>a</w:t>
      </w:r>
      <w:proofErr w:type="gramEnd"/>
      <w:r w:rsidRPr="00A961CC">
        <w:rPr>
          <w:szCs w:val="24"/>
          <w:lang w:val="fr-FR" w:eastAsia="en-US"/>
        </w:rPr>
        <w:t xml:space="preserve"> afișat în 2012, un salariu mediu net lunar care a reprezentat 85% din media națională, în timp ce zona transfrontalieră bulgară a fost chiar mai prost plătită în comparație cu nivelurile naționale și de capital. Inegalitățile teritoriale la nivel național sunt de asemenea prezente în regiune, unde arată</w:t>
      </w:r>
      <w:r w:rsidR="00FF11CA">
        <w:rPr>
          <w:szCs w:val="24"/>
          <w:lang w:val="fr-FR" w:eastAsia="en-US"/>
        </w:rPr>
        <w:t>,</w:t>
      </w:r>
      <w:r w:rsidRPr="00A961CC">
        <w:rPr>
          <w:szCs w:val="24"/>
          <w:lang w:val="fr-FR" w:eastAsia="en-US"/>
        </w:rPr>
        <w:t xml:space="preserve"> sub diferite forme</w:t>
      </w:r>
      <w:r w:rsidR="00FF11CA">
        <w:rPr>
          <w:szCs w:val="24"/>
          <w:lang w:val="fr-FR" w:eastAsia="en-US"/>
        </w:rPr>
        <w:t>,</w:t>
      </w:r>
      <w:r w:rsidRPr="00A961CC">
        <w:rPr>
          <w:szCs w:val="24"/>
          <w:lang w:val="fr-FR" w:eastAsia="en-US"/>
        </w:rPr>
        <w:t xml:space="preserve"> caracterul inadecvat al pieței regionale a muncii și </w:t>
      </w:r>
      <w:proofErr w:type="gramStart"/>
      <w:r w:rsidRPr="00A961CC">
        <w:rPr>
          <w:szCs w:val="24"/>
          <w:lang w:val="fr-FR" w:eastAsia="en-US"/>
        </w:rPr>
        <w:t>a</w:t>
      </w:r>
      <w:proofErr w:type="gramEnd"/>
      <w:r w:rsidRPr="00A961CC">
        <w:rPr>
          <w:szCs w:val="24"/>
          <w:lang w:val="fr-FR" w:eastAsia="en-US"/>
        </w:rPr>
        <w:t xml:space="preserve"> mediului său pentru a satisface nevoile și a completa decalajele din zonă.</w:t>
      </w:r>
    </w:p>
    <w:p w:rsidR="00A961CC" w:rsidRPr="00A961CC" w:rsidRDefault="00A961CC" w:rsidP="00A961CC">
      <w:pPr>
        <w:rPr>
          <w:szCs w:val="24"/>
          <w:lang w:val="fr-FR" w:eastAsia="en-US"/>
        </w:rPr>
      </w:pPr>
      <w:r w:rsidRPr="00A961CC">
        <w:rPr>
          <w:szCs w:val="24"/>
          <w:lang w:val="fr-FR" w:eastAsia="en-US"/>
        </w:rPr>
        <w:t xml:space="preserve">Această combinație de șomaj și salarii mici este de obicei înțeleasă ca o consecință </w:t>
      </w:r>
      <w:proofErr w:type="gramStart"/>
      <w:r w:rsidRPr="00A961CC">
        <w:rPr>
          <w:szCs w:val="24"/>
          <w:lang w:val="fr-FR" w:eastAsia="en-US"/>
        </w:rPr>
        <w:t>a</w:t>
      </w:r>
      <w:proofErr w:type="gramEnd"/>
      <w:r w:rsidRPr="00A961CC">
        <w:rPr>
          <w:szCs w:val="24"/>
          <w:lang w:val="fr-FR" w:eastAsia="en-US"/>
        </w:rPr>
        <w:t xml:space="preserve"> lipsei de calificare a </w:t>
      </w:r>
      <w:r w:rsidR="00FF11CA">
        <w:rPr>
          <w:szCs w:val="24"/>
          <w:lang w:val="fr-FR" w:eastAsia="en-US"/>
        </w:rPr>
        <w:t>forței de muncă</w:t>
      </w:r>
      <w:r w:rsidRPr="00A961CC">
        <w:rPr>
          <w:szCs w:val="24"/>
          <w:lang w:val="fr-FR" w:eastAsia="en-US"/>
        </w:rPr>
        <w:t>. Într-adevăr, nivelul de educație este unul dintre factorii principali ai excluderii de pe piața forței de muncă regionale.</w:t>
      </w:r>
    </w:p>
    <w:p w:rsidR="00A961CC" w:rsidRPr="00A961CC" w:rsidRDefault="00A961CC" w:rsidP="00A961CC">
      <w:pPr>
        <w:rPr>
          <w:szCs w:val="24"/>
          <w:lang w:val="fr-FR" w:eastAsia="en-US"/>
        </w:rPr>
      </w:pPr>
      <w:r w:rsidRPr="00A961CC">
        <w:rPr>
          <w:szCs w:val="24"/>
          <w:lang w:val="fr-FR" w:eastAsia="en-US"/>
        </w:rPr>
        <w:t>În partea română</w:t>
      </w:r>
      <w:r w:rsidR="00FF11CA">
        <w:rPr>
          <w:szCs w:val="24"/>
          <w:lang w:val="fr-FR" w:eastAsia="en-US"/>
        </w:rPr>
        <w:t>,</w:t>
      </w:r>
      <w:r w:rsidRPr="00A961CC">
        <w:rPr>
          <w:szCs w:val="24"/>
          <w:lang w:val="fr-FR" w:eastAsia="en-US"/>
        </w:rPr>
        <w:t xml:space="preserve"> diferența privind rata șomajului în rândul persoanelor cu studii universitare și cele cu un nivel de educație mai scăzut este mai importantă decât rata națională (în afară de </w:t>
      </w:r>
      <w:r w:rsidRPr="00A961CC">
        <w:rPr>
          <w:szCs w:val="24"/>
          <w:lang w:val="fr-FR" w:eastAsia="en-US"/>
        </w:rPr>
        <w:lastRenderedPageBreak/>
        <w:t>Constanța). Rata șomajului în rând</w:t>
      </w:r>
      <w:r w:rsidR="00FF11CA">
        <w:rPr>
          <w:szCs w:val="24"/>
          <w:lang w:val="fr-FR" w:eastAsia="en-US"/>
        </w:rPr>
        <w:t>ul oamenilor cu studii medii</w:t>
      </w:r>
      <w:r w:rsidRPr="00A961CC">
        <w:rPr>
          <w:szCs w:val="24"/>
          <w:lang w:val="fr-FR" w:eastAsia="en-US"/>
        </w:rPr>
        <w:t xml:space="preserve"> este de asemenea importantă, în timp ce sectorul economic se plânge de lipsă de r</w:t>
      </w:r>
      <w:r w:rsidR="00FF11CA">
        <w:rPr>
          <w:szCs w:val="24"/>
          <w:lang w:val="fr-FR" w:eastAsia="en-US"/>
        </w:rPr>
        <w:t>esurse umane cu studii medii</w:t>
      </w:r>
      <w:r w:rsidRPr="00A961CC">
        <w:rPr>
          <w:szCs w:val="24"/>
          <w:lang w:val="fr-FR" w:eastAsia="en-US"/>
        </w:rPr>
        <w:t xml:space="preserve"> bine instruite.</w:t>
      </w:r>
    </w:p>
    <w:p w:rsidR="00A961CC" w:rsidRPr="00A961CC" w:rsidRDefault="00A961CC" w:rsidP="00A961CC">
      <w:pPr>
        <w:rPr>
          <w:szCs w:val="24"/>
          <w:lang w:val="fr-FR" w:eastAsia="en-US"/>
        </w:rPr>
      </w:pPr>
      <w:r w:rsidRPr="00A961CC">
        <w:rPr>
          <w:szCs w:val="24"/>
          <w:lang w:val="fr-FR" w:eastAsia="en-US"/>
        </w:rPr>
        <w:t>În partea bulgară, rata șomajului în rândul persoanelor cu studii superioare este</w:t>
      </w:r>
      <w:proofErr w:type="gramStart"/>
      <w:r w:rsidR="00FF11CA">
        <w:rPr>
          <w:szCs w:val="24"/>
          <w:lang w:val="fr-FR" w:eastAsia="en-US"/>
        </w:rPr>
        <w:t>,</w:t>
      </w:r>
      <w:r w:rsidRPr="00A961CC">
        <w:rPr>
          <w:szCs w:val="24"/>
          <w:lang w:val="fr-FR" w:eastAsia="en-US"/>
        </w:rPr>
        <w:t>de</w:t>
      </w:r>
      <w:proofErr w:type="gramEnd"/>
      <w:r w:rsidRPr="00A961CC">
        <w:rPr>
          <w:szCs w:val="24"/>
          <w:lang w:val="fr-FR" w:eastAsia="en-US"/>
        </w:rPr>
        <w:t xml:space="preserve"> asemenea</w:t>
      </w:r>
      <w:r w:rsidR="00FF11CA">
        <w:rPr>
          <w:szCs w:val="24"/>
          <w:lang w:val="fr-FR" w:eastAsia="en-US"/>
        </w:rPr>
        <w:t>,</w:t>
      </w:r>
      <w:r w:rsidRPr="00A961CC">
        <w:rPr>
          <w:szCs w:val="24"/>
          <w:lang w:val="fr-FR" w:eastAsia="en-US"/>
        </w:rPr>
        <w:t xml:space="preserve"> mult mai importantă decât la nivel național. </w:t>
      </w:r>
      <w:proofErr w:type="gramStart"/>
      <w:r w:rsidRPr="00A961CC">
        <w:rPr>
          <w:szCs w:val="24"/>
          <w:lang w:val="fr-FR" w:eastAsia="en-US"/>
        </w:rPr>
        <w:t>De exemplu</w:t>
      </w:r>
      <w:proofErr w:type="gramEnd"/>
      <w:r w:rsidRPr="00A961CC">
        <w:rPr>
          <w:szCs w:val="24"/>
          <w:lang w:val="fr-FR" w:eastAsia="en-US"/>
        </w:rPr>
        <w:t>, în districtul Ruse, în septembrie 2013, rata șomajului în funcție de tipul de învățământ este după cum urmează: studii</w:t>
      </w:r>
      <w:r w:rsidR="00FF11CA">
        <w:rPr>
          <w:szCs w:val="24"/>
          <w:lang w:val="fr-FR" w:eastAsia="en-US"/>
        </w:rPr>
        <w:t xml:space="preserve"> primare - 39%, studii medii</w:t>
      </w:r>
      <w:r w:rsidRPr="00A961CC">
        <w:rPr>
          <w:szCs w:val="24"/>
          <w:lang w:val="fr-FR" w:eastAsia="en-US"/>
        </w:rPr>
        <w:t xml:space="preserve"> - 49% și studii </w:t>
      </w:r>
      <w:r w:rsidR="00FF11CA">
        <w:rPr>
          <w:szCs w:val="24"/>
          <w:lang w:val="fr-FR" w:eastAsia="en-US"/>
        </w:rPr>
        <w:t>superioare</w:t>
      </w:r>
      <w:r w:rsidRPr="00A961CC">
        <w:rPr>
          <w:szCs w:val="24"/>
          <w:lang w:val="fr-FR" w:eastAsia="en-US"/>
        </w:rPr>
        <w:t xml:space="preserve"> - 12%. Aceasta este o tendință îngrijorătoare având în vedere că districtul este printre ce</w:t>
      </w:r>
      <w:r w:rsidR="00FF11CA">
        <w:rPr>
          <w:szCs w:val="24"/>
          <w:lang w:val="fr-FR" w:eastAsia="en-US"/>
        </w:rPr>
        <w:t>l mai performant</w:t>
      </w:r>
      <w:r w:rsidRPr="00A961CC">
        <w:rPr>
          <w:szCs w:val="24"/>
          <w:lang w:val="fr-FR" w:eastAsia="en-US"/>
        </w:rPr>
        <w:t xml:space="preserve"> din regiunea transfrontalieră.</w:t>
      </w:r>
    </w:p>
    <w:p w:rsidR="00A961CC" w:rsidRPr="00A961CC" w:rsidRDefault="00A961CC" w:rsidP="00A961CC">
      <w:pPr>
        <w:rPr>
          <w:szCs w:val="24"/>
          <w:lang w:val="fr-FR" w:eastAsia="en-US"/>
        </w:rPr>
      </w:pPr>
      <w:r w:rsidRPr="00A961CC">
        <w:rPr>
          <w:szCs w:val="24"/>
          <w:lang w:val="fr-FR" w:eastAsia="en-US"/>
        </w:rPr>
        <w:t>Toată această situație este probabil din cauza unei combinații de factori, cum ar fi lipsa de oportunități de lucru locale pentru persoanele cu un nivel mai scazut de educație, o rată mai mica de persoane cu studii superioare decât media națională și fenomenul "exodului creierelor" în rândul populației cu studii superioare în favoarea orașului București sau Sofia și către alte centre urbane mai mari sau chiar țări străine pentru studenții cu cele mai căutate cursuri de formare.</w:t>
      </w:r>
    </w:p>
    <w:p w:rsidR="00A961CC" w:rsidRPr="00A961CC" w:rsidRDefault="00A961CC" w:rsidP="00A961CC">
      <w:pPr>
        <w:rPr>
          <w:szCs w:val="24"/>
          <w:lang w:val="fr-FR" w:eastAsia="en-US"/>
        </w:rPr>
      </w:pPr>
      <w:r w:rsidRPr="00A961CC">
        <w:rPr>
          <w:szCs w:val="24"/>
          <w:lang w:val="fr-FR" w:eastAsia="en-US"/>
        </w:rPr>
        <w:t>În ciuda diferențelor în ceea ce privește structura ocupării forței de muncă și evoluția șomajului, întreaga zonă transfrontalieră pare a afișa similitudini în ceea ce privește oportunitățile de angajare pentru persoanele cu un nivel de studii superioare. Acest lucru indică o dificultate relativ comună a centrelor universitare din zona transfrontalieră în a răspunde la cererea reală de pe piața forței de muncă.</w:t>
      </w:r>
    </w:p>
    <w:p w:rsidR="00A961CC" w:rsidRPr="00A961CC" w:rsidRDefault="00A961CC" w:rsidP="00A961CC">
      <w:pPr>
        <w:rPr>
          <w:szCs w:val="24"/>
          <w:lang w:val="fr-FR" w:eastAsia="en-US"/>
        </w:rPr>
      </w:pPr>
      <w:r w:rsidRPr="00A961CC">
        <w:rPr>
          <w:szCs w:val="24"/>
          <w:lang w:val="fr-FR" w:eastAsia="en-US"/>
        </w:rPr>
        <w:t>Aceste dificultăți pe care sistemul de învățământ secundar și universitar le au în perceperea nevoilor de pe piața muncii regionale și fenomenul exodului de creiere arată în schimb faptul că firmele nu reușesc să ofere perspective concrete celor mai educați pe măsură ce ele nu reușesc să dea semnale pozitive pentru populația generală cu scopul de a evalua decizia de a rămâne mai mult timp în sistemul de învățământ.</w:t>
      </w:r>
    </w:p>
    <w:p w:rsidR="00A961CC" w:rsidRPr="00A961CC" w:rsidRDefault="00A961CC" w:rsidP="00A961CC">
      <w:pPr>
        <w:rPr>
          <w:szCs w:val="24"/>
          <w:lang w:val="fr-FR" w:eastAsia="en-US"/>
        </w:rPr>
      </w:pPr>
      <w:r w:rsidRPr="00A961CC">
        <w:rPr>
          <w:szCs w:val="24"/>
          <w:lang w:val="fr-FR" w:eastAsia="en-US"/>
        </w:rPr>
        <w:t>Atractivitatea companiilor locale</w:t>
      </w:r>
      <w:r w:rsidR="00A30FE4">
        <w:rPr>
          <w:szCs w:val="24"/>
          <w:lang w:val="fr-FR" w:eastAsia="en-US"/>
        </w:rPr>
        <w:t>,</w:t>
      </w:r>
      <w:r w:rsidRPr="00A961CC">
        <w:rPr>
          <w:szCs w:val="24"/>
          <w:lang w:val="fr-FR" w:eastAsia="en-US"/>
        </w:rPr>
        <w:t xml:space="preserve"> privind crearea și integrarea progresivă a piețelor locale de bunuri, servicii și capitaluri într-o piață transfrontalieră</w:t>
      </w:r>
      <w:r w:rsidR="00A30FE4">
        <w:rPr>
          <w:szCs w:val="24"/>
          <w:lang w:val="fr-FR" w:eastAsia="en-US"/>
        </w:rPr>
        <w:t>,</w:t>
      </w:r>
      <w:r w:rsidRPr="00A961CC">
        <w:rPr>
          <w:szCs w:val="24"/>
          <w:lang w:val="fr-FR" w:eastAsia="en-US"/>
        </w:rPr>
        <w:t xml:space="preserve"> este cheia pentru a schimba percepțiile negative sau incertitudinile populației, sistemului </w:t>
      </w:r>
      <w:proofErr w:type="gramStart"/>
      <w:r w:rsidRPr="00A961CC">
        <w:rPr>
          <w:szCs w:val="24"/>
          <w:lang w:val="fr-FR" w:eastAsia="en-US"/>
        </w:rPr>
        <w:t>de educație</w:t>
      </w:r>
      <w:proofErr w:type="gramEnd"/>
      <w:r w:rsidRPr="00A961CC">
        <w:rPr>
          <w:szCs w:val="24"/>
          <w:lang w:val="fr-FR" w:eastAsia="en-US"/>
        </w:rPr>
        <w:t xml:space="preserve"> și chiar ale investitorilor.</w:t>
      </w:r>
    </w:p>
    <w:p w:rsidR="00A961CC" w:rsidRPr="00A961CC" w:rsidRDefault="00A961CC" w:rsidP="00A961CC">
      <w:pPr>
        <w:rPr>
          <w:szCs w:val="24"/>
          <w:lang w:val="fr-FR" w:eastAsia="en-US"/>
        </w:rPr>
      </w:pPr>
      <w:r w:rsidRPr="00A961CC">
        <w:rPr>
          <w:szCs w:val="24"/>
          <w:lang w:val="fr-FR" w:eastAsia="en-US"/>
        </w:rPr>
        <w:t>Teoretic</w:t>
      </w:r>
      <w:r w:rsidR="00A30FE4">
        <w:rPr>
          <w:szCs w:val="24"/>
          <w:lang w:val="fr-FR" w:eastAsia="en-US"/>
        </w:rPr>
        <w:t>,</w:t>
      </w:r>
      <w:r w:rsidRPr="00A961CC">
        <w:rPr>
          <w:szCs w:val="24"/>
          <w:lang w:val="fr-FR" w:eastAsia="en-US"/>
        </w:rPr>
        <w:t xml:space="preserve"> această piață există deja, dar în practică o serie de obst</w:t>
      </w:r>
      <w:r w:rsidR="00F32375">
        <w:rPr>
          <w:szCs w:val="24"/>
          <w:lang w:val="fr-FR" w:eastAsia="en-US"/>
        </w:rPr>
        <w:t>acole o împiedică să fie folositoare</w:t>
      </w:r>
      <w:r w:rsidRPr="00A961CC">
        <w:rPr>
          <w:szCs w:val="24"/>
          <w:lang w:val="fr-FR" w:eastAsia="en-US"/>
        </w:rPr>
        <w:t xml:space="preserve"> și eficientă. Primul aspect îl reprezintă nevoia ca antreprenorii și managerii de companii să înțeleagă că mediul lor regional și transfrontalier nu este doar o ușă deschisă concurenților, ci mai degrabă o modalitate de a extinde o piață, de a diversifica oferta și de a lua decizii strategice, cum ar fi externalizarea sau crearea de noi oportunități pentru a urmări extinderea activităților lor.</w:t>
      </w:r>
    </w:p>
    <w:p w:rsidR="00A961CC" w:rsidRPr="00A961CC" w:rsidRDefault="00A961CC" w:rsidP="00A961CC">
      <w:pPr>
        <w:rPr>
          <w:szCs w:val="24"/>
          <w:lang w:val="fr-FR" w:eastAsia="en-US"/>
        </w:rPr>
      </w:pPr>
      <w:r w:rsidRPr="00A961CC">
        <w:rPr>
          <w:szCs w:val="24"/>
          <w:lang w:val="fr-FR" w:eastAsia="en-US"/>
        </w:rPr>
        <w:t>Această perspectivă ideală în zona transfrontalieră poate deveni realitate numai în cazul în care inițiativele sunt încurajate spre crearea de rețele antreprenoriale și de inovare, în cadrul regiunii, care va permite efectuarea de schimburi în ceea ce privește cele mai de bază și f</w:t>
      </w:r>
      <w:r w:rsidR="00B70639">
        <w:rPr>
          <w:szCs w:val="24"/>
          <w:lang w:val="fr-FR" w:eastAsia="en-US"/>
        </w:rPr>
        <w:t>undamentale elemente de capital:</w:t>
      </w:r>
      <w:r w:rsidRPr="00A961CC">
        <w:rPr>
          <w:szCs w:val="24"/>
          <w:lang w:val="fr-FR" w:eastAsia="en-US"/>
        </w:rPr>
        <w:t xml:space="preserve"> cunoștințe.</w:t>
      </w:r>
    </w:p>
    <w:p w:rsidR="00A961CC" w:rsidRPr="00A961CC" w:rsidRDefault="00A961CC" w:rsidP="00A961CC">
      <w:pPr>
        <w:rPr>
          <w:szCs w:val="24"/>
          <w:lang w:val="fr-FR" w:eastAsia="en-US"/>
        </w:rPr>
      </w:pPr>
      <w:r w:rsidRPr="00A961CC">
        <w:rPr>
          <w:szCs w:val="24"/>
          <w:lang w:val="fr-FR" w:eastAsia="en-US"/>
        </w:rPr>
        <w:t>Prin urmare, rețelele transfrontaliere pot contribui la un climat antreprenorial mai bun prin facilitarea transferului și dezvoltării de strategii și soluții de sprijinire a afacerilor pentru a face față provocărilor regionale.</w:t>
      </w:r>
    </w:p>
    <w:p w:rsidR="00A961CC" w:rsidRPr="00A961CC" w:rsidRDefault="00A961CC" w:rsidP="00A961CC">
      <w:pPr>
        <w:rPr>
          <w:szCs w:val="24"/>
          <w:lang w:val="fr-FR" w:eastAsia="en-US"/>
        </w:rPr>
      </w:pPr>
      <w:r w:rsidRPr="00A961CC">
        <w:rPr>
          <w:szCs w:val="24"/>
          <w:lang w:val="fr-FR" w:eastAsia="en-US"/>
        </w:rPr>
        <w:t>Cu acest scop, metodele de sprijinire a afacerilor se pot concentra pe înlăturarea barierelor și a blocajelor pentru</w:t>
      </w:r>
      <w:r w:rsidR="000E2C8E">
        <w:rPr>
          <w:szCs w:val="24"/>
          <w:lang w:val="fr-FR" w:eastAsia="en-US"/>
        </w:rPr>
        <w:t xml:space="preserve"> start-up-uri și întreprinderi</w:t>
      </w:r>
      <w:r w:rsidRPr="00A961CC">
        <w:rPr>
          <w:szCs w:val="24"/>
          <w:lang w:val="fr-FR" w:eastAsia="en-US"/>
        </w:rPr>
        <w:t xml:space="preserve"> existente, de exemplu prin facilitarea unui </w:t>
      </w:r>
      <w:r w:rsidRPr="00610053">
        <w:rPr>
          <w:szCs w:val="24"/>
          <w:lang w:val="fr-FR" w:eastAsia="en-US"/>
        </w:rPr>
        <w:t xml:space="preserve">incubator de </w:t>
      </w:r>
      <w:r w:rsidR="00610053" w:rsidRPr="00610053">
        <w:rPr>
          <w:szCs w:val="24"/>
          <w:lang w:val="fr-FR" w:eastAsia="en-US"/>
        </w:rPr>
        <w:t>sprijin</w:t>
      </w:r>
      <w:r w:rsidRPr="00A961CC">
        <w:rPr>
          <w:szCs w:val="24"/>
          <w:lang w:val="fr-FR" w:eastAsia="en-US"/>
        </w:rPr>
        <w:t xml:space="preserve"> la distanță, promovarea unor mecanisme de finanțare inovatoare, dezvoltarea de modele de afaceri inclusive și prin utilizarea specifică a achizițiilor publice.</w:t>
      </w:r>
    </w:p>
    <w:p w:rsidR="00A961CC" w:rsidRPr="00A961CC" w:rsidRDefault="00A961CC" w:rsidP="00A961CC">
      <w:pPr>
        <w:rPr>
          <w:szCs w:val="24"/>
          <w:lang w:val="fr-FR" w:eastAsia="en-US"/>
        </w:rPr>
      </w:pPr>
      <w:r w:rsidRPr="00A961CC">
        <w:rPr>
          <w:szCs w:val="24"/>
          <w:lang w:val="fr-FR" w:eastAsia="en-US"/>
        </w:rPr>
        <w:t>Sprijinul în afaceri se po</w:t>
      </w:r>
      <w:r w:rsidR="00A30FE4">
        <w:rPr>
          <w:szCs w:val="24"/>
          <w:lang w:val="fr-FR" w:eastAsia="en-US"/>
        </w:rPr>
        <w:t>a</w:t>
      </w:r>
      <w:r w:rsidRPr="00A961CC">
        <w:rPr>
          <w:szCs w:val="24"/>
          <w:lang w:val="fr-FR" w:eastAsia="en-US"/>
        </w:rPr>
        <w:t>t</w:t>
      </w:r>
      <w:r w:rsidR="00A30FE4">
        <w:rPr>
          <w:szCs w:val="24"/>
          <w:lang w:val="fr-FR" w:eastAsia="en-US"/>
        </w:rPr>
        <w:t>e</w:t>
      </w:r>
      <w:r w:rsidRPr="00A961CC">
        <w:rPr>
          <w:szCs w:val="24"/>
          <w:lang w:val="fr-FR" w:eastAsia="en-US"/>
        </w:rPr>
        <w:t xml:space="preserve"> concentra, de asemenea, pe realizarea potențialului de oportunități bazate pe localizare, cum ar fi patrimoniul cultural și natural unic din zona programului, prin </w:t>
      </w:r>
      <w:r w:rsidRPr="00A961CC">
        <w:rPr>
          <w:szCs w:val="24"/>
          <w:lang w:val="fr-FR" w:eastAsia="en-US"/>
        </w:rPr>
        <w:lastRenderedPageBreak/>
        <w:t>stimularea spiritului antreprenorial în industria de turism și industriile de experiență pe baza naturii de înaltă calitate și a patrimoniului, a vieții tradiționale și a altor experiențe autentice.</w:t>
      </w:r>
    </w:p>
    <w:p w:rsidR="00A961CC" w:rsidRPr="00A961CC" w:rsidRDefault="00A961CC" w:rsidP="00A961CC">
      <w:pPr>
        <w:rPr>
          <w:szCs w:val="24"/>
          <w:lang w:val="fr-FR" w:eastAsia="en-US"/>
        </w:rPr>
      </w:pPr>
      <w:r w:rsidRPr="00A961CC">
        <w:rPr>
          <w:szCs w:val="24"/>
          <w:lang w:val="fr-FR" w:eastAsia="en-US"/>
        </w:rPr>
        <w:t>Mai mult decât atât, sprijinirea și încurajarea spiritului antreprenorial în rândul grupurilor subreprezentate și un mai bun echilibru între femei și bărbați poate fi o modalitate de a sublinia importanța economiei sociale și a dezvoltării de întreprinderi sociale, care combină un scop social și societal cu spiritul antreprenorial al sectorului privat.</w:t>
      </w:r>
    </w:p>
    <w:p w:rsidR="00A961CC" w:rsidRPr="00A961CC" w:rsidRDefault="00A961CC" w:rsidP="00A961CC">
      <w:pPr>
        <w:rPr>
          <w:szCs w:val="24"/>
          <w:lang w:val="fr-FR" w:eastAsia="en-US"/>
        </w:rPr>
      </w:pPr>
      <w:r w:rsidRPr="00A961CC">
        <w:rPr>
          <w:szCs w:val="24"/>
          <w:lang w:val="fr-FR" w:eastAsia="en-US"/>
        </w:rPr>
        <w:t>Acest cadru are</w:t>
      </w:r>
      <w:r w:rsidR="000E2C8E">
        <w:rPr>
          <w:szCs w:val="24"/>
          <w:lang w:val="fr-FR" w:eastAsia="en-US"/>
        </w:rPr>
        <w:t xml:space="preserve"> scopul de a facilita spiritul </w:t>
      </w:r>
      <w:r w:rsidRPr="00A961CC">
        <w:rPr>
          <w:szCs w:val="24"/>
          <w:lang w:val="fr-FR" w:eastAsia="en-US"/>
        </w:rPr>
        <w:t xml:space="preserve">antreprenorial și </w:t>
      </w:r>
      <w:proofErr w:type="gramStart"/>
      <w:r w:rsidRPr="00A961CC">
        <w:rPr>
          <w:szCs w:val="24"/>
          <w:lang w:val="fr-FR" w:eastAsia="en-US"/>
        </w:rPr>
        <w:t>a</w:t>
      </w:r>
      <w:proofErr w:type="gramEnd"/>
      <w:r w:rsidRPr="00A961CC">
        <w:rPr>
          <w:szCs w:val="24"/>
          <w:lang w:val="fr-FR" w:eastAsia="en-US"/>
        </w:rPr>
        <w:t xml:space="preserve"> crea rețele de afaceri în regiunea transfrontalieră. Prin urmare, programul poate fi o pârghie pentru integrarea pe piața forței de muncă prin acordarea de asistență tehnică și informațională, cu scopul de a construi o cerere mai mare și mai structurată a forței de muncă în zonă.</w:t>
      </w:r>
    </w:p>
    <w:p w:rsidR="00A961CC" w:rsidRPr="00A961CC" w:rsidRDefault="00A961CC" w:rsidP="00A961CC">
      <w:pPr>
        <w:rPr>
          <w:szCs w:val="24"/>
          <w:lang w:val="fr-FR" w:eastAsia="en-US"/>
        </w:rPr>
      </w:pPr>
      <w:r w:rsidRPr="00A961CC">
        <w:rPr>
          <w:szCs w:val="24"/>
          <w:lang w:val="fr-FR" w:eastAsia="en-US"/>
        </w:rPr>
        <w:t>În schimb, zona transfrontalieră va trebui să investească în oameni și competențe și să se asigure că sistemele de educație și formare dezvoltă creativitatea și capacitatea de inovare a elevului și furnizează competențele necesare și cunoștințele necesare într-o piață a forței de muncă din ce în ce mai macro-regională și globalizată.</w:t>
      </w:r>
    </w:p>
    <w:p w:rsidR="00A961CC" w:rsidRPr="00A961CC" w:rsidRDefault="00A961CC" w:rsidP="00A961CC">
      <w:pPr>
        <w:rPr>
          <w:szCs w:val="24"/>
          <w:lang w:val="fr-FR" w:eastAsia="en-US"/>
        </w:rPr>
      </w:pPr>
      <w:r w:rsidRPr="00A961CC">
        <w:rPr>
          <w:szCs w:val="24"/>
          <w:lang w:val="fr-FR" w:eastAsia="en-US"/>
        </w:rPr>
        <w:t>Principalele obiective pot fi de a crește ponderea populației cu studii superioare și de a încuraja accesul la dezvoltare profesională, inclusiv la programe de învățare continuă și programe de învățare a limbilor străine, care sunt esențiale pentru mobilitatea transfrontalieră a muncitorilor.</w:t>
      </w:r>
    </w:p>
    <w:p w:rsidR="00A961CC" w:rsidRPr="00A961CC" w:rsidRDefault="00A961CC" w:rsidP="00A961CC">
      <w:pPr>
        <w:rPr>
          <w:szCs w:val="24"/>
          <w:lang w:val="fr-FR" w:eastAsia="en-US"/>
        </w:rPr>
      </w:pPr>
      <w:r w:rsidRPr="00A961CC">
        <w:rPr>
          <w:szCs w:val="24"/>
          <w:lang w:val="fr-FR" w:eastAsia="en-US"/>
        </w:rPr>
        <w:t xml:space="preserve">În acest sens, va fi necesar să se promoveze și să se sprijine inițiativele transfrontaliere care iau în considerare necesitatea de a adapta educația teoretică și formarea profesională la cerințele pieței forței de muncă transfrontaliere, pentru a crește relevanța ofertei educaționale și de formare profesională prin anticiparea cerințelor din </w:t>
      </w:r>
      <w:r w:rsidR="000F4EC5">
        <w:rPr>
          <w:szCs w:val="24"/>
          <w:lang w:val="fr-FR" w:eastAsia="en-US"/>
        </w:rPr>
        <w:t>sectorul privat transfrontalier</w:t>
      </w:r>
      <w:r w:rsidRPr="00A961CC">
        <w:rPr>
          <w:szCs w:val="24"/>
          <w:lang w:val="fr-FR" w:eastAsia="en-US"/>
        </w:rPr>
        <w:t xml:space="preserve"> la nivelul zonei programului și pentru a asigura aplicabilitatea materialului de învățare.</w:t>
      </w:r>
    </w:p>
    <w:p w:rsidR="00A961CC" w:rsidRPr="00376C40" w:rsidRDefault="00A961CC" w:rsidP="00A961CC">
      <w:pPr>
        <w:rPr>
          <w:szCs w:val="24"/>
          <w:lang w:val="fr-FR" w:eastAsia="en-US"/>
        </w:rPr>
      </w:pPr>
      <w:r w:rsidRPr="00376C40">
        <w:rPr>
          <w:szCs w:val="24"/>
          <w:lang w:val="fr-FR" w:eastAsia="en-US"/>
        </w:rPr>
        <w:t>În acest context, noi forme de parteneriate și cooperare între principalele părți interesate (piața forței de muncă, educație și formare profesională, cercetare și angajatori) trebuie să fie dezvoltate în continuare, deoarece angajatorii, de exemplu, joacă un rol important în identificarea cunoștințelor, abilităților și competențelor necesare în viața profesională.</w:t>
      </w:r>
    </w:p>
    <w:p w:rsidR="00A961CC" w:rsidRPr="00376C40" w:rsidRDefault="00A961CC" w:rsidP="00A961CC">
      <w:pPr>
        <w:rPr>
          <w:szCs w:val="24"/>
          <w:lang w:val="fr-FR" w:eastAsia="en-US"/>
        </w:rPr>
      </w:pPr>
      <w:r w:rsidRPr="00376C40">
        <w:rPr>
          <w:szCs w:val="24"/>
          <w:lang w:val="fr-FR" w:eastAsia="en-US"/>
        </w:rPr>
        <w:t>Apoi, pentru a crește șansele de angajare și potențialul antreprenorial al tuturor elevilor, o comunicare și cooperare activă ar trebui să fie dezvoltate în continuare între instituțiile de învățământ și formare profesională transfrontaliere</w:t>
      </w:r>
      <w:r w:rsidR="00D54526" w:rsidRPr="00376C40">
        <w:rPr>
          <w:szCs w:val="24"/>
          <w:lang w:val="fr-FR" w:eastAsia="en-US"/>
        </w:rPr>
        <w:t>,</w:t>
      </w:r>
      <w:r w:rsidRPr="00376C40">
        <w:rPr>
          <w:szCs w:val="24"/>
          <w:lang w:val="fr-FR" w:eastAsia="en-US"/>
        </w:rPr>
        <w:t xml:space="preserve"> pe de o parte</w:t>
      </w:r>
      <w:r w:rsidR="00D54526" w:rsidRPr="00376C40">
        <w:rPr>
          <w:szCs w:val="24"/>
          <w:lang w:val="fr-FR" w:eastAsia="en-US"/>
        </w:rPr>
        <w:t>,</w:t>
      </w:r>
      <w:r w:rsidRPr="00376C40">
        <w:rPr>
          <w:szCs w:val="24"/>
          <w:lang w:val="fr-FR" w:eastAsia="en-US"/>
        </w:rPr>
        <w:t xml:space="preserve"> și </w:t>
      </w:r>
      <w:r w:rsidR="000F4EC5">
        <w:rPr>
          <w:szCs w:val="24"/>
          <w:lang w:val="fr-FR" w:eastAsia="en-US"/>
        </w:rPr>
        <w:t xml:space="preserve">de </w:t>
      </w:r>
      <w:r w:rsidRPr="00376C40">
        <w:rPr>
          <w:szCs w:val="24"/>
          <w:lang w:val="fr-FR" w:eastAsia="en-US"/>
        </w:rPr>
        <w:t>angajatorii regionali</w:t>
      </w:r>
      <w:r w:rsidR="00D54526" w:rsidRPr="00376C40">
        <w:rPr>
          <w:szCs w:val="24"/>
          <w:lang w:val="fr-FR" w:eastAsia="en-US"/>
        </w:rPr>
        <w:t>,</w:t>
      </w:r>
      <w:r w:rsidRPr="00376C40">
        <w:rPr>
          <w:szCs w:val="24"/>
          <w:lang w:val="fr-FR" w:eastAsia="en-US"/>
        </w:rPr>
        <w:t xml:space="preserve"> pe de altă parte.</w:t>
      </w:r>
    </w:p>
    <w:p w:rsidR="00A961CC" w:rsidRPr="00376C40" w:rsidRDefault="00A961CC" w:rsidP="00A961CC">
      <w:pPr>
        <w:rPr>
          <w:szCs w:val="24"/>
          <w:lang w:val="fr-FR" w:eastAsia="en-US"/>
        </w:rPr>
      </w:pPr>
      <w:r w:rsidRPr="00376C40">
        <w:rPr>
          <w:szCs w:val="24"/>
          <w:lang w:val="fr-FR" w:eastAsia="en-US"/>
        </w:rPr>
        <w:t xml:space="preserve">În această măsură, piața muncii are mijloacele necesare pentru a fi </w:t>
      </w:r>
      <w:r w:rsidR="000F4EC5">
        <w:rPr>
          <w:szCs w:val="24"/>
          <w:lang w:val="fr-FR" w:eastAsia="en-US"/>
        </w:rPr>
        <w:t>cuprinzătoare</w:t>
      </w:r>
      <w:r w:rsidR="00C97A17" w:rsidRPr="00376C40">
        <w:rPr>
          <w:szCs w:val="24"/>
          <w:lang w:val="fr-FR" w:eastAsia="en-US"/>
        </w:rPr>
        <w:t xml:space="preserve"> dacă </w:t>
      </w:r>
      <w:r w:rsidRPr="00376C40">
        <w:rPr>
          <w:szCs w:val="24"/>
          <w:lang w:val="fr-FR" w:eastAsia="en-US"/>
        </w:rPr>
        <w:t>inițiative</w:t>
      </w:r>
      <w:r w:rsidR="00C97A17" w:rsidRPr="00376C40">
        <w:rPr>
          <w:szCs w:val="24"/>
          <w:lang w:val="fr-FR" w:eastAsia="en-US"/>
        </w:rPr>
        <w:t xml:space="preserve">le </w:t>
      </w:r>
      <w:r w:rsidRPr="00376C40">
        <w:rPr>
          <w:szCs w:val="24"/>
          <w:lang w:val="fr-FR" w:eastAsia="en-US"/>
        </w:rPr>
        <w:t>programul</w:t>
      </w:r>
      <w:r w:rsidR="00C97A17" w:rsidRPr="00376C40">
        <w:rPr>
          <w:szCs w:val="24"/>
          <w:lang w:val="fr-FR" w:eastAsia="en-US"/>
        </w:rPr>
        <w:t>ui</w:t>
      </w:r>
      <w:r w:rsidRPr="00376C40">
        <w:rPr>
          <w:szCs w:val="24"/>
          <w:lang w:val="fr-FR" w:eastAsia="en-US"/>
        </w:rPr>
        <w:t xml:space="preserve"> joacă rolul unui </w:t>
      </w:r>
      <w:r w:rsidR="00C97A17" w:rsidRPr="00376C40">
        <w:rPr>
          <w:szCs w:val="24"/>
          <w:lang w:val="fr-FR" w:eastAsia="en-US"/>
        </w:rPr>
        <w:t>”matchmaker”</w:t>
      </w:r>
      <w:r w:rsidRPr="00376C40">
        <w:rPr>
          <w:szCs w:val="24"/>
          <w:lang w:val="fr-FR" w:eastAsia="en-US"/>
        </w:rPr>
        <w:t xml:space="preserve"> care facilitează întâlnirea dintre societățile inovatoare cu o perspectivă transfrontalieră și muncitorii care au posibilitatea de a avea acces la o educație sau o formare care se potrivește nevoilor acestor companii.</w:t>
      </w:r>
    </w:p>
    <w:p w:rsidR="00A961CC" w:rsidRPr="00A961CC" w:rsidRDefault="00A961CC" w:rsidP="00A961CC">
      <w:pPr>
        <w:rPr>
          <w:szCs w:val="24"/>
          <w:lang w:val="fr-FR" w:eastAsia="en-US"/>
        </w:rPr>
      </w:pPr>
      <w:r w:rsidRPr="00A961CC">
        <w:rPr>
          <w:szCs w:val="24"/>
          <w:lang w:val="fr-FR" w:eastAsia="en-US"/>
        </w:rPr>
        <w:t>Mai mult decât atât, crearea de piețe comune a muncii se bazează pe un echilibru. Dacă învățământul și programele de formare reușesc să ofere o calificare progresivă a forței de muncă, aceste eforturi vor fi zadarnice dacă firmele nu sunt încă dispuse sau pregătite să o angaj</w:t>
      </w:r>
      <w:r w:rsidR="000F4EC5">
        <w:rPr>
          <w:szCs w:val="24"/>
          <w:lang w:val="fr-FR" w:eastAsia="en-US"/>
        </w:rPr>
        <w:t>eze, calificarea costisitoare a</w:t>
      </w:r>
      <w:r w:rsidRPr="00A961CC">
        <w:rPr>
          <w:szCs w:val="24"/>
          <w:lang w:val="fr-FR" w:eastAsia="en-US"/>
        </w:rPr>
        <w:t xml:space="preserve"> acestor muncitori va fi profitabilă doar pentru alte zone, cum ar fi capitalele.</w:t>
      </w:r>
    </w:p>
    <w:p w:rsidR="00A961CC" w:rsidRPr="00376C40" w:rsidRDefault="00A961CC" w:rsidP="00A961CC">
      <w:pPr>
        <w:rPr>
          <w:szCs w:val="24"/>
          <w:highlight w:val="green"/>
          <w:lang w:val="fr-FR" w:eastAsia="en-US"/>
        </w:rPr>
      </w:pPr>
      <w:r w:rsidRPr="00376C40">
        <w:rPr>
          <w:szCs w:val="24"/>
          <w:lang w:val="fr-FR" w:eastAsia="en-US"/>
        </w:rPr>
        <w:t>Este necesară construirea pe termen scurt a unor legături între structurile pre-existente de ambele părți ale graniței și oferirea unei game largi de informații privind cele mai bune practici, strategii de afaceri și oportunități, dar va exista o provocare în a convinge muncitorii să rămână, dacă firmele regionale nu sunt inteligente și inovatoare și nu creează valoare sau în cazul în care societățile din afară nu văd încă niciun interes în a investi într-o regiune transfrontalieră cu probleme grave de mobilitate și unde dublarea reglementărilor nu este, din păcate, corelată cu dublarea fondurilor, clienților și profiturilor.</w:t>
      </w:r>
    </w:p>
    <w:p w:rsidR="00D76773" w:rsidRPr="00376C40" w:rsidRDefault="00D76773" w:rsidP="00A0071B">
      <w:pPr>
        <w:rPr>
          <w:lang w:val="fr-FR"/>
        </w:rPr>
      </w:pPr>
      <w:r w:rsidRPr="00376C40">
        <w:rPr>
          <w:szCs w:val="24"/>
          <w:lang w:val="fr-FR" w:eastAsia="en-US"/>
        </w:rPr>
        <w:lastRenderedPageBreak/>
        <w:t>Astfel, dezvoltarea transfrontalieră a unei pie</w:t>
      </w:r>
      <w:r w:rsidRPr="00376C40">
        <w:rPr>
          <w:rFonts w:ascii="Cambria Math" w:hAnsi="Cambria Math" w:cs="Cambria Math"/>
          <w:szCs w:val="24"/>
          <w:lang w:val="fr-FR" w:eastAsia="en-US"/>
        </w:rPr>
        <w:t>ț</w:t>
      </w:r>
      <w:r w:rsidRPr="00376C40">
        <w:rPr>
          <w:szCs w:val="24"/>
          <w:lang w:val="fr-FR" w:eastAsia="en-US"/>
        </w:rPr>
        <w:t>e comune a muncii trebuie să devină o modalitate de a găsi noi solu</w:t>
      </w:r>
      <w:r w:rsidRPr="00376C40">
        <w:rPr>
          <w:rFonts w:ascii="Cambria Math" w:hAnsi="Cambria Math" w:cs="Cambria Math"/>
          <w:szCs w:val="24"/>
          <w:lang w:val="fr-FR" w:eastAsia="en-US"/>
        </w:rPr>
        <w:t>ț</w:t>
      </w:r>
      <w:r w:rsidRPr="00376C40">
        <w:rPr>
          <w:szCs w:val="24"/>
          <w:lang w:val="fr-FR" w:eastAsia="en-US"/>
        </w:rPr>
        <w:t>ii, pentru a promova noi ini</w:t>
      </w:r>
      <w:r w:rsidRPr="00376C40">
        <w:rPr>
          <w:rFonts w:ascii="Cambria Math" w:hAnsi="Cambria Math" w:cs="Cambria Math"/>
          <w:szCs w:val="24"/>
          <w:lang w:val="fr-FR" w:eastAsia="en-US"/>
        </w:rPr>
        <w:t>ț</w:t>
      </w:r>
      <w:r w:rsidRPr="00376C40">
        <w:rPr>
          <w:szCs w:val="24"/>
          <w:lang w:val="fr-FR" w:eastAsia="en-US"/>
        </w:rPr>
        <w:t xml:space="preserve">iative, pentru a atrage noi actori intr-o zonã transfrontalierã cu un nivel adecvat de dezvoltare. Aceasta va face posibilã deschiderea drumului pentru o integrare mai profundă </w:t>
      </w:r>
      <w:r w:rsidRPr="00376C40">
        <w:rPr>
          <w:rFonts w:ascii="Cambria Math" w:hAnsi="Cambria Math" w:cs="Cambria Math"/>
          <w:szCs w:val="24"/>
          <w:lang w:val="fr-FR" w:eastAsia="en-US"/>
        </w:rPr>
        <w:t>ș</w:t>
      </w:r>
      <w:r w:rsidRPr="00376C40">
        <w:rPr>
          <w:szCs w:val="24"/>
          <w:lang w:val="fr-FR" w:eastAsia="en-US"/>
        </w:rPr>
        <w:t>i benefică pentru cetă</w:t>
      </w:r>
      <w:r w:rsidRPr="00376C40">
        <w:rPr>
          <w:rFonts w:ascii="Cambria Math" w:hAnsi="Cambria Math" w:cs="Cambria Math"/>
          <w:szCs w:val="24"/>
          <w:lang w:val="fr-FR" w:eastAsia="en-US"/>
        </w:rPr>
        <w:t>ț</w:t>
      </w:r>
      <w:r w:rsidRPr="00376C40">
        <w:rPr>
          <w:szCs w:val="24"/>
          <w:lang w:val="fr-FR" w:eastAsia="en-US"/>
        </w:rPr>
        <w:t xml:space="preserve">enii </w:t>
      </w:r>
      <w:r w:rsidRPr="00376C40">
        <w:rPr>
          <w:rFonts w:ascii="Cambria Math" w:hAnsi="Cambria Math" w:cs="Cambria Math"/>
          <w:szCs w:val="24"/>
          <w:lang w:val="fr-FR" w:eastAsia="en-US"/>
        </w:rPr>
        <w:t>ș</w:t>
      </w:r>
      <w:r w:rsidRPr="00376C40">
        <w:rPr>
          <w:szCs w:val="24"/>
          <w:lang w:val="fr-FR" w:eastAsia="en-US"/>
        </w:rPr>
        <w:t>i pie</w:t>
      </w:r>
      <w:r w:rsidRPr="00376C40">
        <w:rPr>
          <w:rFonts w:ascii="Cambria Math" w:hAnsi="Cambria Math" w:cs="Cambria Math"/>
          <w:szCs w:val="24"/>
          <w:lang w:val="fr-FR" w:eastAsia="en-US"/>
        </w:rPr>
        <w:t>ț</w:t>
      </w:r>
      <w:r w:rsidRPr="00376C40">
        <w:rPr>
          <w:szCs w:val="24"/>
          <w:lang w:val="fr-FR" w:eastAsia="en-US"/>
        </w:rPr>
        <w:t>ele europene.</w:t>
      </w:r>
    </w:p>
    <w:p w:rsidR="00B1411D" w:rsidRDefault="00C97A17" w:rsidP="00A0071B">
      <w:pPr>
        <w:pStyle w:val="Heading8"/>
        <w:rPr>
          <w:lang w:val="en-US"/>
        </w:rPr>
      </w:pPr>
      <w:r>
        <w:rPr>
          <w:lang w:val="en-US"/>
        </w:rPr>
        <w:t>Accessibilitate</w:t>
      </w:r>
    </w:p>
    <w:p w:rsidR="00C97A17" w:rsidRPr="006F7519" w:rsidRDefault="00C97A17" w:rsidP="00C97A17">
      <w:pPr>
        <w:rPr>
          <w:lang w:val="it-IT" w:eastAsia="en-US"/>
        </w:rPr>
      </w:pPr>
      <w:r w:rsidRPr="00C97A17">
        <w:rPr>
          <w:lang w:val="en-US" w:eastAsia="en-US"/>
        </w:rPr>
        <w:t>În Bulgaria și România, cele mai frecvente mijloace de transport sunt autoturismele, în ciuda densității totale foarte reduse a drumurilor publice de 22.95 km / 100km</w:t>
      </w:r>
      <w:r w:rsidR="005129D0">
        <w:rPr>
          <w:lang w:val="en-US" w:eastAsia="en-US"/>
        </w:rPr>
        <w:t>p</w:t>
      </w:r>
      <w:r w:rsidRPr="00C97A17">
        <w:rPr>
          <w:lang w:val="en-US" w:eastAsia="en-US"/>
        </w:rPr>
        <w:t xml:space="preserve"> în comparație cu media UE de 110 km / 100 km</w:t>
      </w:r>
      <w:r w:rsidR="005129D0">
        <w:rPr>
          <w:lang w:val="en-US" w:eastAsia="en-US"/>
        </w:rPr>
        <w:t>p</w:t>
      </w:r>
      <w:r w:rsidRPr="00C97A17">
        <w:rPr>
          <w:lang w:val="en-US" w:eastAsia="en-US"/>
        </w:rPr>
        <w:t xml:space="preserve">. </w:t>
      </w:r>
      <w:r w:rsidRPr="006F7519">
        <w:rPr>
          <w:lang w:val="it-IT" w:eastAsia="en-US"/>
        </w:rPr>
        <w:t>Rețeaua de drumuri publice este mai concentrată în România decât în Bulgaria, iar densitatea drumurilor de-a lungul Dunării este în mare măsură sub media națională.</w:t>
      </w:r>
    </w:p>
    <w:p w:rsidR="00C97A17" w:rsidRPr="00C97A17" w:rsidRDefault="00C97A17" w:rsidP="00C97A17">
      <w:pPr>
        <w:rPr>
          <w:lang w:val="fr-FR" w:eastAsia="en-US"/>
        </w:rPr>
      </w:pPr>
      <w:r w:rsidRPr="006F7519">
        <w:rPr>
          <w:lang w:val="it-IT" w:eastAsia="en-US"/>
        </w:rPr>
        <w:t xml:space="preserve">În anumite secțiuni, starea proastă a drumurilor creează dificultăți serioase pentru întreținerea pe timp de iarnă a rețelei de drumuri, care de multe ori duce la izolarea localităților. </w:t>
      </w:r>
      <w:r w:rsidRPr="00C97A17">
        <w:rPr>
          <w:lang w:val="fr-FR" w:eastAsia="en-US"/>
        </w:rPr>
        <w:t xml:space="preserve">Mai mult decât atât, unele dintre aceste drumuri sunt expuse la inundații, în special de-a lungul afluenților Dunării de pe teritoriul românesc, iar multe au o capacitate insuficientă, ceea ce duce la congestii și ca o consecință, la un mai mare timp de călătorie, costuri de exploatare </w:t>
      </w:r>
      <w:proofErr w:type="gramStart"/>
      <w:r w:rsidRPr="00C97A17">
        <w:rPr>
          <w:lang w:val="fr-FR" w:eastAsia="en-US"/>
        </w:rPr>
        <w:t>a</w:t>
      </w:r>
      <w:proofErr w:type="gramEnd"/>
      <w:r w:rsidRPr="00C97A17">
        <w:rPr>
          <w:lang w:val="fr-FR" w:eastAsia="en-US"/>
        </w:rPr>
        <w:t xml:space="preserve"> vehiculelor, accidente și daune aduse mediului. Mai mult decât atât, lipsa de conectivitate dintre zona interioară a țării și Dunăre este un obstacol principal pentru centrul multimodal / dezvoltarea portului și, prin urmare, pentru dezvoltarea economică a zonelor situate de-a lungul Dunării.</w:t>
      </w:r>
    </w:p>
    <w:p w:rsidR="00C97A17" w:rsidRPr="00C97A17" w:rsidRDefault="00C97A17" w:rsidP="00C97A17">
      <w:pPr>
        <w:rPr>
          <w:lang w:val="fr-FR" w:eastAsia="en-US"/>
        </w:rPr>
      </w:pPr>
      <w:r w:rsidRPr="00C97A17">
        <w:rPr>
          <w:lang w:val="fr-FR" w:eastAsia="en-US"/>
        </w:rPr>
        <w:t>Calitatea slabă a rețelelor de drumuri secundare și terțiare conduce la riscuri mai mari de accidente, ambuteiaje, etc. Măsuri de siguranță trebuie să fie introduse în legătură cu transportul rutier, precum și transportul fluvial de marfă și călători. Soluții ar putea fi dezvoltate</w:t>
      </w:r>
      <w:r w:rsidR="005129D0">
        <w:rPr>
          <w:lang w:val="fr-FR" w:eastAsia="en-US"/>
        </w:rPr>
        <w:t>,</w:t>
      </w:r>
      <w:r w:rsidRPr="00C97A17">
        <w:rPr>
          <w:lang w:val="fr-FR" w:eastAsia="en-US"/>
        </w:rPr>
        <w:t xml:space="preserve"> spre exemplu</w:t>
      </w:r>
      <w:r w:rsidR="005129D0">
        <w:rPr>
          <w:lang w:val="fr-FR" w:eastAsia="en-US"/>
        </w:rPr>
        <w:t>,</w:t>
      </w:r>
      <w:r w:rsidRPr="00C97A17">
        <w:rPr>
          <w:lang w:val="fr-FR" w:eastAsia="en-US"/>
        </w:rPr>
        <w:t xml:space="preserve"> printr-o cooperare strânsă între părțile interesate de rețeaua rutieră din Bulgaria și România.</w:t>
      </w:r>
    </w:p>
    <w:p w:rsidR="00C97A17" w:rsidRPr="00C97A17" w:rsidRDefault="00C97A17" w:rsidP="00C97A17">
      <w:pPr>
        <w:rPr>
          <w:lang w:val="fr-FR" w:eastAsia="en-US"/>
        </w:rPr>
      </w:pPr>
      <w:r w:rsidRPr="00C97A17">
        <w:rPr>
          <w:lang w:val="fr-FR" w:eastAsia="en-US"/>
        </w:rPr>
        <w:t>Zona transfrontalieră ar putea beneficia</w:t>
      </w:r>
      <w:r w:rsidR="005129D0">
        <w:rPr>
          <w:lang w:val="fr-FR" w:eastAsia="en-US"/>
        </w:rPr>
        <w:t>,</w:t>
      </w:r>
      <w:r w:rsidRPr="00C97A17">
        <w:rPr>
          <w:lang w:val="fr-FR" w:eastAsia="en-US"/>
        </w:rPr>
        <w:t xml:space="preserve"> în mare măsură</w:t>
      </w:r>
      <w:r w:rsidR="005129D0">
        <w:rPr>
          <w:lang w:val="fr-FR" w:eastAsia="en-US"/>
        </w:rPr>
        <w:t>,</w:t>
      </w:r>
      <w:r w:rsidRPr="00C97A17">
        <w:rPr>
          <w:lang w:val="fr-FR" w:eastAsia="en-US"/>
        </w:rPr>
        <w:t xml:space="preserve"> de coordonare, ceea </w:t>
      </w:r>
      <w:proofErr w:type="gramStart"/>
      <w:r w:rsidRPr="00C97A17">
        <w:rPr>
          <w:lang w:val="fr-FR" w:eastAsia="en-US"/>
        </w:rPr>
        <w:t>ce</w:t>
      </w:r>
      <w:proofErr w:type="gramEnd"/>
      <w:r w:rsidRPr="00C97A17">
        <w:rPr>
          <w:lang w:val="fr-FR" w:eastAsia="en-US"/>
        </w:rPr>
        <w:t xml:space="preserve"> ar duce la concepte, strategii, instrumente și standarde pentru a rezolva probleme comune legate de mobilitatea urbană (de exemplu, elaborarea de planuri de mobilitate urbană durabilă), dezvoltare urbană integrată, etc.</w:t>
      </w:r>
    </w:p>
    <w:p w:rsidR="00C97A17" w:rsidRPr="00C97A17" w:rsidRDefault="00C97A17" w:rsidP="00C97A17">
      <w:pPr>
        <w:rPr>
          <w:lang w:val="fr-FR" w:eastAsia="en-US"/>
        </w:rPr>
      </w:pPr>
      <w:r w:rsidRPr="00C97A17">
        <w:rPr>
          <w:lang w:val="fr-FR" w:eastAsia="en-US"/>
        </w:rPr>
        <w:t>Densitatea căilor ferate funcționale este de</w:t>
      </w:r>
      <w:r w:rsidR="005129D0">
        <w:rPr>
          <w:lang w:val="fr-FR" w:eastAsia="en-US"/>
        </w:rPr>
        <w:t xml:space="preserve"> aproximativ 46.1 km la 1000 kmp,</w:t>
      </w:r>
      <w:r w:rsidRPr="00C97A17">
        <w:rPr>
          <w:lang w:val="fr-FR" w:eastAsia="en-US"/>
        </w:rPr>
        <w:t xml:space="preserve"> în R</w:t>
      </w:r>
      <w:r w:rsidR="005129D0">
        <w:rPr>
          <w:lang w:val="fr-FR" w:eastAsia="en-US"/>
        </w:rPr>
        <w:t>omânia și de 38.9 km la 1000 kmp,</w:t>
      </w:r>
      <w:r w:rsidRPr="00C97A17">
        <w:rPr>
          <w:lang w:val="fr-FR" w:eastAsia="en-US"/>
        </w:rPr>
        <w:t xml:space="preserve"> în Bulgaria, fiind sub me</w:t>
      </w:r>
      <w:r w:rsidR="005129D0">
        <w:rPr>
          <w:lang w:val="fr-FR" w:eastAsia="en-US"/>
        </w:rPr>
        <w:t>dia țărilor UE (65 km / 1000 kmp</w:t>
      </w:r>
      <w:r w:rsidRPr="00C97A17">
        <w:rPr>
          <w:lang w:val="fr-FR" w:eastAsia="en-US"/>
        </w:rPr>
        <w:t>). În timp ce căile ferate sunt tot mai folosite pentru transportul de marfă în România</w:t>
      </w:r>
      <w:r w:rsidR="005129D0">
        <w:rPr>
          <w:lang w:val="fr-FR" w:eastAsia="en-US"/>
        </w:rPr>
        <w:t>,</w:t>
      </w:r>
      <w:r w:rsidRPr="00C97A17">
        <w:rPr>
          <w:lang w:val="fr-FR" w:eastAsia="en-US"/>
        </w:rPr>
        <w:t xml:space="preserve"> începând cu anul 2007, acest mod de transport a scăzut în Bulgaria pentru aceeași perioadă (cota sa a scăzut aproape cu 50%).</w:t>
      </w:r>
    </w:p>
    <w:p w:rsidR="00C97A17" w:rsidRPr="00C97A17" w:rsidRDefault="00C97A17" w:rsidP="00C97A17">
      <w:pPr>
        <w:rPr>
          <w:lang w:val="fr-FR" w:eastAsia="en-US"/>
        </w:rPr>
      </w:pPr>
      <w:r w:rsidRPr="00C97A17">
        <w:rPr>
          <w:lang w:val="fr-FR" w:eastAsia="en-US"/>
        </w:rPr>
        <w:t>În momentul de față există două poduri pentru transportul rutier peste Dunăre</w:t>
      </w:r>
      <w:r w:rsidR="005129D0">
        <w:rPr>
          <w:lang w:val="fr-FR" w:eastAsia="en-US"/>
        </w:rPr>
        <w:t>,</w:t>
      </w:r>
      <w:r w:rsidRPr="00C97A17">
        <w:rPr>
          <w:lang w:val="fr-FR" w:eastAsia="en-US"/>
        </w:rPr>
        <w:t xml:space="preserve"> între România și Bulgaria</w:t>
      </w:r>
      <w:r w:rsidR="005129D0">
        <w:rPr>
          <w:lang w:val="fr-FR" w:eastAsia="en-US"/>
        </w:rPr>
        <w:t>,</w:t>
      </w:r>
      <w:r w:rsidR="00C3122B">
        <w:rPr>
          <w:lang w:val="fr-FR" w:eastAsia="en-US"/>
        </w:rPr>
        <w:t xml:space="preserve"> Calafat-Vidin şi Giurgiu-Ruse</w:t>
      </w:r>
      <w:r w:rsidRPr="00C97A17">
        <w:rPr>
          <w:lang w:val="fr-FR" w:eastAsia="en-US"/>
        </w:rPr>
        <w:t>. Cel din urmă are nevoie de reparații masive și are o punte de cale ferată care este în prezent închisă și care se întâmplă să fie conexiunea principală de cale ferată între Bulgaria și România.</w:t>
      </w:r>
    </w:p>
    <w:p w:rsidR="00C97A17" w:rsidRPr="00C97A17" w:rsidRDefault="00C97A17" w:rsidP="00C97A17">
      <w:pPr>
        <w:rPr>
          <w:lang w:val="fr-FR" w:eastAsia="en-US"/>
        </w:rPr>
      </w:pPr>
      <w:r w:rsidRPr="00C97A17">
        <w:rPr>
          <w:lang w:val="fr-FR" w:eastAsia="en-US"/>
        </w:rPr>
        <w:t>În scopul de a îmbunătăți conectivitatea transfrontalieră, renovarea podului Giurgiu-Ruse și construcția unuia sau a două noi poduri rutiere care traversează Dunărea și care leagă cele două țări sunt în prezent avute în vedere.</w:t>
      </w:r>
    </w:p>
    <w:p w:rsidR="00C97A17" w:rsidRPr="00C97A17" w:rsidRDefault="00C97A17" w:rsidP="00C97A17">
      <w:pPr>
        <w:rPr>
          <w:lang w:val="fr-FR" w:eastAsia="en-US"/>
        </w:rPr>
      </w:pPr>
      <w:r w:rsidRPr="00C97A17">
        <w:rPr>
          <w:lang w:val="fr-FR" w:eastAsia="en-US"/>
        </w:rPr>
        <w:t>Aceste noi poduri vor fi construite cu scopul de a reduce numărul de</w:t>
      </w:r>
      <w:r w:rsidR="005129D0">
        <w:rPr>
          <w:lang w:val="fr-FR" w:eastAsia="en-US"/>
        </w:rPr>
        <w:t>,</w:t>
      </w:r>
      <w:r w:rsidRPr="00C97A17">
        <w:rPr>
          <w:lang w:val="fr-FR" w:eastAsia="en-US"/>
        </w:rPr>
        <w:t xml:space="preserve"> așa-numitele</w:t>
      </w:r>
      <w:r w:rsidR="005129D0">
        <w:rPr>
          <w:lang w:val="fr-FR" w:eastAsia="en-US"/>
        </w:rPr>
        <w:t>,</w:t>
      </w:r>
      <w:r w:rsidRPr="00C97A17">
        <w:rPr>
          <w:lang w:val="fr-FR" w:eastAsia="en-US"/>
        </w:rPr>
        <w:t xml:space="preserve"> infrastructuri "înfundate", în special prin frontiera comună de-a lungul Dunării, ale căror consecințe sunt o conectivitate scăzută între cele două țări și o accesibilitate scăzută a zonelor transfrontaliere </w:t>
      </w:r>
      <w:proofErr w:type="gramStart"/>
      <w:r w:rsidRPr="00C97A17">
        <w:rPr>
          <w:lang w:val="fr-FR" w:eastAsia="en-US"/>
        </w:rPr>
        <w:t>la infrastructurile</w:t>
      </w:r>
      <w:proofErr w:type="gramEnd"/>
      <w:r w:rsidRPr="00C97A17">
        <w:rPr>
          <w:lang w:val="fr-FR" w:eastAsia="en-US"/>
        </w:rPr>
        <w:t xml:space="preserve"> naționale existente și la coridoarele principale.</w:t>
      </w:r>
    </w:p>
    <w:p w:rsidR="00C97A17" w:rsidRPr="00C97A17" w:rsidRDefault="00C97A17" w:rsidP="00C97A17">
      <w:pPr>
        <w:rPr>
          <w:lang w:val="fr-FR" w:eastAsia="en-US"/>
        </w:rPr>
      </w:pPr>
      <w:r w:rsidRPr="00C97A17">
        <w:rPr>
          <w:lang w:val="fr-FR" w:eastAsia="en-US"/>
        </w:rPr>
        <w:lastRenderedPageBreak/>
        <w:t xml:space="preserve">De exemplu, așezări istorice cu </w:t>
      </w:r>
      <w:proofErr w:type="gramStart"/>
      <w:r w:rsidRPr="00C97A17">
        <w:rPr>
          <w:lang w:val="fr-FR" w:eastAsia="en-US"/>
        </w:rPr>
        <w:t>un</w:t>
      </w:r>
      <w:proofErr w:type="gramEnd"/>
      <w:r w:rsidRPr="00C97A17">
        <w:rPr>
          <w:lang w:val="fr-FR" w:eastAsia="en-US"/>
        </w:rPr>
        <w:t xml:space="preserve"> mare potențial de cooperare reciprocă, cum ar fi orașele înfrățite Călărași-Silistra</w:t>
      </w:r>
      <w:r w:rsidR="005129D0">
        <w:rPr>
          <w:lang w:val="fr-FR" w:eastAsia="en-US"/>
        </w:rPr>
        <w:t>,</w:t>
      </w:r>
      <w:r w:rsidRPr="00C97A17">
        <w:rPr>
          <w:lang w:val="fr-FR" w:eastAsia="en-US"/>
        </w:rPr>
        <w:t xml:space="preserve"> încă duc lipsă de legături necesare care l</w:t>
      </w:r>
      <w:r w:rsidR="005129D0">
        <w:rPr>
          <w:lang w:val="fr-FR" w:eastAsia="en-US"/>
        </w:rPr>
        <w:t xml:space="preserve">e-ar permite acestor orașe </w:t>
      </w:r>
      <w:r w:rsidRPr="00C97A17">
        <w:rPr>
          <w:lang w:val="fr-FR" w:eastAsia="en-US"/>
        </w:rPr>
        <w:t>să</w:t>
      </w:r>
      <w:r w:rsidR="005129D0">
        <w:rPr>
          <w:lang w:val="fr-FR" w:eastAsia="en-US"/>
        </w:rPr>
        <w:t xml:space="preserve"> poată</w:t>
      </w:r>
      <w:r w:rsidRPr="00C97A17">
        <w:rPr>
          <w:lang w:val="fr-FR" w:eastAsia="en-US"/>
        </w:rPr>
        <w:t xml:space="preserve"> fi conectate în mod eficient la sistemul de transport terestru.</w:t>
      </w:r>
    </w:p>
    <w:p w:rsidR="00C97A17" w:rsidRPr="00C97A17" w:rsidRDefault="00C97A17" w:rsidP="00C97A17">
      <w:pPr>
        <w:rPr>
          <w:lang w:val="fr-FR" w:eastAsia="en-US"/>
        </w:rPr>
      </w:pPr>
      <w:r w:rsidRPr="00C97A17">
        <w:rPr>
          <w:lang w:val="fr-FR" w:eastAsia="en-US"/>
        </w:rPr>
        <w:t>Prin urmare, îmbunătățirea conectivității interne cu principalele aglomerări urbane ale regiunii transfrontaliere și</w:t>
      </w:r>
      <w:r w:rsidR="005129D0">
        <w:rPr>
          <w:lang w:val="fr-FR" w:eastAsia="en-US"/>
        </w:rPr>
        <w:t>,</w:t>
      </w:r>
      <w:r w:rsidRPr="00C97A17">
        <w:rPr>
          <w:lang w:val="fr-FR" w:eastAsia="en-US"/>
        </w:rPr>
        <w:t xml:space="preserve"> de asemenea, cu capitalele situate în vecinătatea </w:t>
      </w:r>
      <w:proofErr w:type="gramStart"/>
      <w:r w:rsidRPr="00C97A17">
        <w:rPr>
          <w:lang w:val="fr-FR" w:eastAsia="en-US"/>
        </w:rPr>
        <w:t>sa</w:t>
      </w:r>
      <w:proofErr w:type="gramEnd"/>
      <w:r w:rsidRPr="00C97A17">
        <w:rPr>
          <w:lang w:val="fr-FR" w:eastAsia="en-US"/>
        </w:rPr>
        <w:t xml:space="preserve"> este critică pentru abordarea disparităților teritoriale din zonă.</w:t>
      </w:r>
    </w:p>
    <w:p w:rsidR="00C97A17" w:rsidRPr="00C97A17" w:rsidRDefault="00C97A17" w:rsidP="00C97A17">
      <w:pPr>
        <w:rPr>
          <w:lang w:val="fr-FR" w:eastAsia="en-US"/>
        </w:rPr>
      </w:pPr>
      <w:r w:rsidRPr="00C97A17">
        <w:rPr>
          <w:lang w:val="fr-FR" w:eastAsia="en-US"/>
        </w:rPr>
        <w:t>La scara UE, Dunărea este considerată ca o axă de transport majoră în Europa Centrală, care leagă Europa de Vest de Marea Neagră, dar, în același timp, din cauza acestor dificultăți mari în ceea ce privește accesibilitatea regională, zona programului de cooperare transfrontalieră nu poate profita de poziția sa geografică strategică și puține inițiative sunt lansate la nivel local pentru a dezvolta infrastructurile râurilor.</w:t>
      </w:r>
    </w:p>
    <w:p w:rsidR="00C97A17" w:rsidRPr="00C97A17" w:rsidRDefault="00C97A17" w:rsidP="00C97A17">
      <w:pPr>
        <w:rPr>
          <w:lang w:val="fr-FR" w:eastAsia="en-US"/>
        </w:rPr>
      </w:pPr>
      <w:r w:rsidRPr="00C97A17">
        <w:rPr>
          <w:lang w:val="fr-FR" w:eastAsia="en-US"/>
        </w:rPr>
        <w:t>Fluviul Dunărea este străbătut de două coridoare europene TEN-T de transport pe teritoriul regiunii transfrontaliere, care leagă Europa Centrală și de Nord de Orientul Mijlociu și partea de sud-est a continentului. Acesta este legat prin canalul Main-Dunăre de Rin și, prin urmare, conectează direct zona transfrontalieră cu 9 țări, de la Marea Nordului până la Marea Neagră, pe o lungime de 3,500 km, lucru care este crucial pentru 6 din cele 9 țări SUERD care sunt "blocate la țărm", fără ieșiri la mare.</w:t>
      </w:r>
    </w:p>
    <w:p w:rsidR="00C97A17" w:rsidRPr="00C97A17" w:rsidRDefault="00C97A17" w:rsidP="00C97A17">
      <w:pPr>
        <w:rPr>
          <w:lang w:val="fr-FR" w:eastAsia="en-US"/>
        </w:rPr>
      </w:pPr>
      <w:r w:rsidRPr="00C97A17">
        <w:rPr>
          <w:lang w:val="fr-FR" w:eastAsia="en-US"/>
        </w:rPr>
        <w:t>Fluviul Dunărea este, prin urmare, mai mult decât un atu valoros pentru dezvoltarea economică regională și cooperarea transfrontalieră; acesta este o miză majoră pentru UE și o pârghie cheie de dezvoltare pentru membrii săi estici.</w:t>
      </w:r>
    </w:p>
    <w:p w:rsidR="00C97A17" w:rsidRPr="00C97A17" w:rsidRDefault="00C97A17" w:rsidP="00C97A17">
      <w:pPr>
        <w:rPr>
          <w:lang w:val="fr-FR" w:eastAsia="en-US"/>
        </w:rPr>
      </w:pPr>
      <w:r w:rsidRPr="00C97A17">
        <w:rPr>
          <w:lang w:val="fr-FR" w:eastAsia="en-US"/>
        </w:rPr>
        <w:t>Dunărea și afluenții săi sunt rutele tradiționale de transport de marfă și 115 milioane de oameni trăiesc în bazinul Dunării, ale căror țări au generat în 2011</w:t>
      </w:r>
      <w:r w:rsidR="00F44053">
        <w:rPr>
          <w:lang w:val="fr-FR" w:eastAsia="en-US"/>
        </w:rPr>
        <w:t xml:space="preserve"> -</w:t>
      </w:r>
      <w:r w:rsidRPr="00C97A17">
        <w:rPr>
          <w:lang w:val="fr-FR" w:eastAsia="en-US"/>
        </w:rPr>
        <w:t xml:space="preserve"> 1.300 de miliarde </w:t>
      </w:r>
      <w:proofErr w:type="gramStart"/>
      <w:r w:rsidRPr="00C97A17">
        <w:rPr>
          <w:lang w:val="fr-FR" w:eastAsia="en-US"/>
        </w:rPr>
        <w:t>de euro</w:t>
      </w:r>
      <w:proofErr w:type="gramEnd"/>
      <w:r w:rsidRPr="00C97A17">
        <w:rPr>
          <w:lang w:val="fr-FR" w:eastAsia="en-US"/>
        </w:rPr>
        <w:t xml:space="preserve"> în cadrul PIB (excluzând Germania). Prin dezvoltarea unei rețele combinate de transport fluvial și maritim (Dunăre și Marea Neagră) sau transport de bunuri maritim / fluvial și rutier / feroviar, orașele portuare situate în zona programului au potențialul de a deveni centre logistice de neprețuit pentru țările lor și pentru UE și de a transforma zona transfrontalieră România-Bulgaria într-o poartă de est a UE. Elaborarea de strategii referitoare la îmbunătățirea serviciilor de mobilitate oferite în porturi este esențială pentru a spori potențialul lor de a deveni centre logistice.</w:t>
      </w:r>
    </w:p>
    <w:p w:rsidR="00C97A17" w:rsidRPr="00C97A17" w:rsidRDefault="00C97A17" w:rsidP="00C97A17">
      <w:pPr>
        <w:rPr>
          <w:lang w:val="fr-FR" w:eastAsia="en-US"/>
        </w:rPr>
      </w:pPr>
      <w:r w:rsidRPr="00C97A17">
        <w:rPr>
          <w:lang w:val="fr-FR" w:eastAsia="en-US"/>
        </w:rPr>
        <w:t>Strategia UE</w:t>
      </w:r>
      <w:r w:rsidR="00F44053">
        <w:rPr>
          <w:lang w:val="fr-FR" w:eastAsia="en-US"/>
        </w:rPr>
        <w:t>,</w:t>
      </w:r>
      <w:r w:rsidRPr="00C97A17">
        <w:rPr>
          <w:lang w:val="fr-FR" w:eastAsia="en-US"/>
        </w:rPr>
        <w:t xml:space="preserve"> privind regiunea Dunării</w:t>
      </w:r>
      <w:r w:rsidR="00F44053">
        <w:rPr>
          <w:lang w:val="fr-FR" w:eastAsia="en-US"/>
        </w:rPr>
        <w:t>,</w:t>
      </w:r>
      <w:r w:rsidRPr="00C97A17">
        <w:rPr>
          <w:lang w:val="fr-FR" w:eastAsia="en-US"/>
        </w:rPr>
        <w:t xml:space="preserve"> are scopul de a exploata pe deplin potențialul fluviului ca o </w:t>
      </w:r>
      <w:proofErr w:type="gramStart"/>
      <w:r w:rsidRPr="00C97A17">
        <w:rPr>
          <w:lang w:val="fr-FR" w:eastAsia="en-US"/>
        </w:rPr>
        <w:t>cale</w:t>
      </w:r>
      <w:proofErr w:type="gramEnd"/>
      <w:r w:rsidRPr="00C97A17">
        <w:rPr>
          <w:lang w:val="fr-FR" w:eastAsia="en-US"/>
        </w:rPr>
        <w:t xml:space="preserve"> navigabilă și de a crește cu 20% volumul transportului prin eliminarea obstacolelor privind navigarea. Cu toate acestea, această strategie comunitară este compromisă de o problemă transfrontalieră principală, nivelurile scăzute de apă pe Dunăre</w:t>
      </w:r>
      <w:r w:rsidR="00F44053">
        <w:rPr>
          <w:lang w:val="fr-FR" w:eastAsia="en-US"/>
        </w:rPr>
        <w:t>,</w:t>
      </w:r>
      <w:r w:rsidRPr="00C97A17">
        <w:rPr>
          <w:lang w:val="fr-FR" w:eastAsia="en-US"/>
        </w:rPr>
        <w:t xml:space="preserve"> unde transportul în timpul lunilor uscate este de multe ori oprit în mai multe puncte din zona transfrontalieră de-a lungul cursului inferior al Dunării (de exemplu, Porțile de Fier II - Călărași). Cu toate acestea, un pas important a fost făcut de către România și Bulgaria, care s-au angajat în îmbunătățirea navigabilității Dunării într-un Memorandum de Înțelegere semnat în 2012.</w:t>
      </w:r>
    </w:p>
    <w:p w:rsidR="00C97A17" w:rsidRPr="00C97A17" w:rsidRDefault="00C3122B" w:rsidP="00C97A17">
      <w:pPr>
        <w:rPr>
          <w:lang w:val="fr-FR" w:eastAsia="en-US"/>
        </w:rPr>
      </w:pPr>
      <w:r>
        <w:rPr>
          <w:lang w:val="fr-FR" w:eastAsia="en-US"/>
        </w:rPr>
        <w:t>Din păcate, rolul f</w:t>
      </w:r>
      <w:r w:rsidR="00C97A17" w:rsidRPr="00C97A17">
        <w:rPr>
          <w:lang w:val="fr-FR" w:eastAsia="en-US"/>
        </w:rPr>
        <w:t xml:space="preserve">luviului și legătura sa cu Marea Neagră sunt încă subestimate în viața economică a zonei transfrontaliere, în timp ce regiunea transfrontalieră România-Bulgaria are potențialul de a deveni poarta </w:t>
      </w:r>
      <w:proofErr w:type="gramStart"/>
      <w:r w:rsidR="00C97A17" w:rsidRPr="00C97A17">
        <w:rPr>
          <w:lang w:val="fr-FR" w:eastAsia="en-US"/>
        </w:rPr>
        <w:t>de est</w:t>
      </w:r>
      <w:proofErr w:type="gramEnd"/>
      <w:r w:rsidR="00C97A17" w:rsidRPr="00C97A17">
        <w:rPr>
          <w:lang w:val="fr-FR" w:eastAsia="en-US"/>
        </w:rPr>
        <w:t xml:space="preserve"> a UE și să consolideze coeziunea economică și cooperarea politică dintre țările din Europa Centrală și de Vest și Asia.</w:t>
      </w:r>
    </w:p>
    <w:p w:rsidR="00C97A17" w:rsidRPr="00C97A17" w:rsidRDefault="00C97A17" w:rsidP="00C97A17">
      <w:pPr>
        <w:rPr>
          <w:lang w:val="fr-FR" w:eastAsia="en-US"/>
        </w:rPr>
      </w:pPr>
      <w:r w:rsidRPr="00376C40">
        <w:rPr>
          <w:lang w:val="fr-FR" w:eastAsia="en-US"/>
        </w:rPr>
        <w:t xml:space="preserve">Există mijloace și măsuri concrete imediate care trebuie luate pentru a dezvolta transportul fluvial și maritim combinat (Dunăre și Marea Neagră) sau transportul maritim și rutier / feroviar de mărfuri, care ar putea deveni un sector important pentru economia regională. </w:t>
      </w:r>
      <w:r w:rsidRPr="00C97A17">
        <w:rPr>
          <w:lang w:val="fr-FR" w:eastAsia="en-US"/>
        </w:rPr>
        <w:t>Astfel, regiunea va deveni mai atractivă pentru afaceri și pentru invest</w:t>
      </w:r>
      <w:r w:rsidR="00F44053">
        <w:rPr>
          <w:lang w:val="fr-FR" w:eastAsia="en-US"/>
        </w:rPr>
        <w:t>ițiile străine datorită poziționării</w:t>
      </w:r>
      <w:r w:rsidRPr="00C97A17">
        <w:rPr>
          <w:lang w:val="fr-FR" w:eastAsia="en-US"/>
        </w:rPr>
        <w:t xml:space="preserve"> sale strategice și disponibilității ridicate a infrastructurii de transport, cum ar fi </w:t>
      </w:r>
      <w:r w:rsidRPr="00C97A17">
        <w:rPr>
          <w:lang w:val="fr-FR" w:eastAsia="en-US"/>
        </w:rPr>
        <w:lastRenderedPageBreak/>
        <w:t>coridoarele de transport paneuropene, drumuri și căi ferate, un port internațional și aeroporturi internaționale în vecinătatea sa.</w:t>
      </w:r>
    </w:p>
    <w:p w:rsidR="00B1411D" w:rsidRPr="00276698" w:rsidRDefault="00F44053" w:rsidP="00A0071B">
      <w:pPr>
        <w:pStyle w:val="Heading8"/>
        <w:rPr>
          <w:lang w:val="en-US"/>
        </w:rPr>
      </w:pPr>
      <w:r>
        <w:rPr>
          <w:lang w:val="en-US"/>
        </w:rPr>
        <w:t>Guvernare</w:t>
      </w:r>
    </w:p>
    <w:p w:rsidR="00F44053" w:rsidRPr="00F44053" w:rsidRDefault="00F44053" w:rsidP="00F44053">
      <w:pPr>
        <w:rPr>
          <w:rStyle w:val="BookTitle"/>
          <w:b w:val="0"/>
          <w:bCs w:val="0"/>
          <w:smallCaps w:val="0"/>
          <w:spacing w:val="0"/>
          <w:lang w:val="fr-FR"/>
        </w:rPr>
      </w:pPr>
      <w:bookmarkStart w:id="8" w:name="_Toc389657956"/>
      <w:r w:rsidRPr="00F44053">
        <w:rPr>
          <w:rStyle w:val="BookTitle"/>
          <w:b w:val="0"/>
          <w:bCs w:val="0"/>
          <w:smallCaps w:val="0"/>
          <w:spacing w:val="0"/>
          <w:lang w:val="fr-FR"/>
        </w:rPr>
        <w:t>Consolidarea capacității instituționale și administrative la toate nivelurile și în toate domeniil</w:t>
      </w:r>
      <w:r w:rsidR="004710AA">
        <w:rPr>
          <w:rStyle w:val="BookTitle"/>
          <w:b w:val="0"/>
          <w:bCs w:val="0"/>
          <w:smallCaps w:val="0"/>
          <w:spacing w:val="0"/>
          <w:lang w:val="fr-FR"/>
        </w:rPr>
        <w:t>e și promovarea bunei guvernări</w:t>
      </w:r>
      <w:r w:rsidRPr="00F44053">
        <w:rPr>
          <w:rStyle w:val="BookTitle"/>
          <w:b w:val="0"/>
          <w:bCs w:val="0"/>
          <w:smallCaps w:val="0"/>
          <w:spacing w:val="0"/>
          <w:lang w:val="fr-FR"/>
        </w:rPr>
        <w:t xml:space="preserve"> este un obiectiv-cheie abordat de regulamentele UE privind fondurile ESI. Consolidarea cooperării instituționale de peste graniță este principalul motiv de a fi al ETC: regulamentele UE relevante recunosc acest fapt și chiar extind noțiunea Priorității de investiții corespunzătoare - alături de capacitatea de consolidare interadministrativă, cooperarea cu instituții și cetățeni ar trebui de asemenea să să fie încurajată.</w:t>
      </w:r>
    </w:p>
    <w:p w:rsidR="00F44053" w:rsidRPr="00F44053" w:rsidRDefault="00F44053" w:rsidP="00F44053">
      <w:pPr>
        <w:rPr>
          <w:rStyle w:val="BookTitle"/>
          <w:b w:val="0"/>
          <w:bCs w:val="0"/>
          <w:smallCaps w:val="0"/>
          <w:spacing w:val="0"/>
          <w:lang w:val="fr-FR"/>
        </w:rPr>
      </w:pPr>
      <w:r w:rsidRPr="00F44053">
        <w:rPr>
          <w:rStyle w:val="BookTitle"/>
          <w:b w:val="0"/>
          <w:bCs w:val="0"/>
          <w:smallCaps w:val="0"/>
          <w:spacing w:val="0"/>
          <w:lang w:val="fr-FR"/>
        </w:rPr>
        <w:t>În contextul zonei transfrontaliere România-Bulgaria</w:t>
      </w:r>
      <w:r w:rsidR="00185B35">
        <w:rPr>
          <w:rStyle w:val="BookTitle"/>
          <w:b w:val="0"/>
          <w:bCs w:val="0"/>
          <w:smallCaps w:val="0"/>
          <w:spacing w:val="0"/>
          <w:lang w:val="fr-FR"/>
        </w:rPr>
        <w:t>,</w:t>
      </w:r>
      <w:r w:rsidRPr="00F44053">
        <w:rPr>
          <w:rStyle w:val="BookTitle"/>
          <w:b w:val="0"/>
          <w:bCs w:val="0"/>
          <w:smallCaps w:val="0"/>
          <w:spacing w:val="0"/>
          <w:lang w:val="fr-FR"/>
        </w:rPr>
        <w:t xml:space="preserve"> două state extrem de centralizate, cu instituții și politici specifice, problema centrală este necesitatea de a promova colaborarea între actorii publici și privați, în scopul de a crea mecanisme de coordonare comune pentru a aborda provocările comune la o scară mai largă decât cele teritoriale și administrative NUTS 3 actuale.</w:t>
      </w:r>
    </w:p>
    <w:p w:rsidR="00F44053" w:rsidRPr="00F44053" w:rsidRDefault="00F44053" w:rsidP="00F44053">
      <w:pPr>
        <w:rPr>
          <w:rStyle w:val="BookTitle"/>
          <w:b w:val="0"/>
          <w:bCs w:val="0"/>
          <w:smallCaps w:val="0"/>
          <w:spacing w:val="0"/>
          <w:lang w:val="fr-FR"/>
        </w:rPr>
      </w:pPr>
      <w:r w:rsidRPr="00F44053">
        <w:rPr>
          <w:rStyle w:val="BookTitle"/>
          <w:b w:val="0"/>
          <w:bCs w:val="0"/>
          <w:smallCaps w:val="0"/>
          <w:spacing w:val="0"/>
          <w:lang w:val="fr-FR"/>
        </w:rPr>
        <w:t>Programul transfrontalier RO-BG ar trebui să contribuie la transferul de cunoștințe și la cooperarea între părțile interesate publice și private. Acest lucru este important mai ales în contextul românesc</w:t>
      </w:r>
      <w:r w:rsidR="004710AA">
        <w:rPr>
          <w:rStyle w:val="BookTitle"/>
          <w:b w:val="0"/>
          <w:bCs w:val="0"/>
          <w:smallCaps w:val="0"/>
          <w:spacing w:val="0"/>
          <w:lang w:val="fr-FR"/>
        </w:rPr>
        <w:t>,</w:t>
      </w:r>
      <w:r w:rsidRPr="00F44053">
        <w:rPr>
          <w:rStyle w:val="BookTitle"/>
          <w:b w:val="0"/>
          <w:bCs w:val="0"/>
          <w:smallCaps w:val="0"/>
          <w:spacing w:val="0"/>
          <w:lang w:val="fr-FR"/>
        </w:rPr>
        <w:t xml:space="preserve"> în care procesul de descentralizare actual va oferi noi responsabilități pentru actorii publici locali, care nu sunt întotdeauna gata să gestioneze domeniile centralizate anterioare, cum ar fi sănătatea, turismul etc.</w:t>
      </w:r>
    </w:p>
    <w:p w:rsidR="00F44053" w:rsidRPr="00F44053" w:rsidRDefault="00F44053" w:rsidP="00F44053">
      <w:pPr>
        <w:rPr>
          <w:rStyle w:val="BookTitle"/>
          <w:b w:val="0"/>
          <w:bCs w:val="0"/>
          <w:smallCaps w:val="0"/>
          <w:spacing w:val="0"/>
          <w:lang w:val="fr-FR"/>
        </w:rPr>
      </w:pPr>
      <w:r w:rsidRPr="00F44053">
        <w:rPr>
          <w:rStyle w:val="BookTitle"/>
          <w:b w:val="0"/>
          <w:bCs w:val="0"/>
          <w:smallCaps w:val="0"/>
          <w:spacing w:val="0"/>
          <w:lang w:val="fr-FR"/>
        </w:rPr>
        <w:t>Problema centrală este necesitatea de a crea o coordonare între două state centralizate, cu instituții și politici specifice.</w:t>
      </w:r>
    </w:p>
    <w:p w:rsidR="00F44053" w:rsidRPr="00F44053" w:rsidRDefault="00F44053" w:rsidP="00F44053">
      <w:pPr>
        <w:rPr>
          <w:rStyle w:val="BookTitle"/>
          <w:b w:val="0"/>
          <w:bCs w:val="0"/>
          <w:smallCaps w:val="0"/>
          <w:spacing w:val="0"/>
          <w:lang w:val="fr-FR"/>
        </w:rPr>
      </w:pPr>
      <w:r w:rsidRPr="00F44053">
        <w:rPr>
          <w:rStyle w:val="BookTitle"/>
          <w:b w:val="0"/>
          <w:bCs w:val="0"/>
          <w:smallCaps w:val="0"/>
          <w:spacing w:val="0"/>
          <w:lang w:val="fr-FR"/>
        </w:rPr>
        <w:t>Programul transfrontalier RO-BG are scopul de a contribui la transferul de cunoștințe și cooperare între administrații. Acest lucru este important mai ales în contextul românesc</w:t>
      </w:r>
      <w:r w:rsidR="004710AA">
        <w:rPr>
          <w:rStyle w:val="BookTitle"/>
          <w:b w:val="0"/>
          <w:bCs w:val="0"/>
          <w:smallCaps w:val="0"/>
          <w:spacing w:val="0"/>
          <w:lang w:val="fr-FR"/>
        </w:rPr>
        <w:t>,</w:t>
      </w:r>
      <w:r w:rsidRPr="00F44053">
        <w:rPr>
          <w:rStyle w:val="BookTitle"/>
          <w:b w:val="0"/>
          <w:bCs w:val="0"/>
          <w:smallCaps w:val="0"/>
          <w:spacing w:val="0"/>
          <w:lang w:val="fr-FR"/>
        </w:rPr>
        <w:t xml:space="preserve"> în care procesul de descentralizare actual va oferi noi responsabilități pentru actorii publici locali, care nu sunt întotdeauna gata să gestioneze domeniile centralizate anterioare, cum ar fi sănătatea, turismul etc.</w:t>
      </w:r>
    </w:p>
    <w:p w:rsidR="00F44053" w:rsidRPr="00F44053" w:rsidRDefault="004710AA" w:rsidP="00F44053">
      <w:pPr>
        <w:rPr>
          <w:rStyle w:val="BookTitle"/>
          <w:b w:val="0"/>
          <w:bCs w:val="0"/>
          <w:smallCaps w:val="0"/>
          <w:spacing w:val="0"/>
          <w:lang w:val="fr-FR"/>
        </w:rPr>
      </w:pPr>
      <w:r>
        <w:rPr>
          <w:rStyle w:val="BookTitle"/>
          <w:b w:val="0"/>
          <w:bCs w:val="0"/>
          <w:smallCaps w:val="0"/>
          <w:spacing w:val="0"/>
          <w:lang w:val="fr-FR"/>
        </w:rPr>
        <w:t>Mai mult, având în vedere</w:t>
      </w:r>
      <w:r w:rsidR="00F44053" w:rsidRPr="00F44053">
        <w:rPr>
          <w:rStyle w:val="BookTitle"/>
          <w:b w:val="0"/>
          <w:bCs w:val="0"/>
          <w:smallCaps w:val="0"/>
          <w:spacing w:val="0"/>
          <w:lang w:val="fr-FR"/>
        </w:rPr>
        <w:t xml:space="preserve"> autonomia lor fiscală relativ scăzută și dependența lor masivă față de subvenții guvernamentale centrale și redistribuiri financiare, atât nivelurile administrative municipale / locale</w:t>
      </w:r>
      <w:r>
        <w:rPr>
          <w:rStyle w:val="BookTitle"/>
          <w:b w:val="0"/>
          <w:bCs w:val="0"/>
          <w:smallCaps w:val="0"/>
          <w:spacing w:val="0"/>
          <w:lang w:val="fr-FR"/>
        </w:rPr>
        <w:t>,</w:t>
      </w:r>
      <w:r w:rsidR="00F44053" w:rsidRPr="00F44053">
        <w:rPr>
          <w:rStyle w:val="BookTitle"/>
          <w:b w:val="0"/>
          <w:bCs w:val="0"/>
          <w:smallCaps w:val="0"/>
          <w:spacing w:val="0"/>
          <w:lang w:val="fr-FR"/>
        </w:rPr>
        <w:t xml:space="preserve"> cât și cele județene / ale districtelor rămân într-o poziție secundară de facto față de guvernul central.</w:t>
      </w:r>
    </w:p>
    <w:p w:rsidR="00F44053" w:rsidRPr="00F44053" w:rsidRDefault="00F44053" w:rsidP="00F44053">
      <w:pPr>
        <w:rPr>
          <w:rStyle w:val="BookTitle"/>
          <w:b w:val="0"/>
          <w:bCs w:val="0"/>
          <w:smallCaps w:val="0"/>
          <w:spacing w:val="0"/>
          <w:lang w:val="fr-FR"/>
        </w:rPr>
      </w:pPr>
      <w:r w:rsidRPr="00F44053">
        <w:rPr>
          <w:rStyle w:val="BookTitle"/>
          <w:b w:val="0"/>
          <w:bCs w:val="0"/>
          <w:smallCaps w:val="0"/>
          <w:spacing w:val="0"/>
          <w:lang w:val="fr-FR"/>
        </w:rPr>
        <w:t xml:space="preserve">Aceste aspecte reprezintă preocupări majore pentru dezvoltarea transfrontalieră, împreună cu transparența și accesibilitatea. Ele demonstrează necesitatea de a lua în considerare alte modalități de a înțelege mediul instituțional al zonei, în scopul de a sublinia pe deplin nevoile sale fundamentale și răspunsurile concrete </w:t>
      </w:r>
      <w:proofErr w:type="gramStart"/>
      <w:r w:rsidRPr="00F44053">
        <w:rPr>
          <w:rStyle w:val="BookTitle"/>
          <w:b w:val="0"/>
          <w:bCs w:val="0"/>
          <w:smallCaps w:val="0"/>
          <w:spacing w:val="0"/>
          <w:lang w:val="fr-FR"/>
        </w:rPr>
        <w:t>la ele</w:t>
      </w:r>
      <w:proofErr w:type="gramEnd"/>
      <w:r w:rsidRPr="00F44053">
        <w:rPr>
          <w:rStyle w:val="BookTitle"/>
          <w:b w:val="0"/>
          <w:bCs w:val="0"/>
          <w:smallCaps w:val="0"/>
          <w:spacing w:val="0"/>
          <w:lang w:val="fr-FR"/>
        </w:rPr>
        <w:t>.</w:t>
      </w:r>
    </w:p>
    <w:p w:rsidR="00F44053" w:rsidRPr="00F44053" w:rsidRDefault="00F44053" w:rsidP="00F44053">
      <w:pPr>
        <w:rPr>
          <w:rStyle w:val="BookTitle"/>
          <w:b w:val="0"/>
          <w:bCs w:val="0"/>
          <w:smallCaps w:val="0"/>
          <w:spacing w:val="0"/>
          <w:lang w:val="fr-FR"/>
        </w:rPr>
      </w:pPr>
      <w:r w:rsidRPr="00F44053">
        <w:rPr>
          <w:rStyle w:val="BookTitle"/>
          <w:b w:val="0"/>
          <w:bCs w:val="0"/>
          <w:smallCaps w:val="0"/>
          <w:spacing w:val="0"/>
          <w:lang w:val="fr-FR"/>
        </w:rPr>
        <w:t>Prin urmare, complexitatea zonei nu poate fi epuizată cu grila de analiză a administrațiilor / instituțiilor în care interacționează părțile interesate și ar trebui să fie mai degrabă înțelese cu paradigma mai flexibilă și holistică de guvernare în care participă și cooperează părțile interesate.</w:t>
      </w:r>
    </w:p>
    <w:p w:rsidR="00F44053" w:rsidRPr="00F44053" w:rsidRDefault="00F44053" w:rsidP="00F44053">
      <w:pPr>
        <w:rPr>
          <w:rStyle w:val="BookTitle"/>
          <w:b w:val="0"/>
          <w:bCs w:val="0"/>
          <w:smallCaps w:val="0"/>
          <w:spacing w:val="0"/>
          <w:lang w:val="fr-FR"/>
        </w:rPr>
      </w:pPr>
      <w:r w:rsidRPr="00F44053">
        <w:rPr>
          <w:rStyle w:val="BookTitle"/>
          <w:b w:val="0"/>
          <w:bCs w:val="0"/>
          <w:smallCaps w:val="0"/>
          <w:spacing w:val="0"/>
          <w:lang w:val="fr-FR"/>
        </w:rPr>
        <w:t>Înt</w:t>
      </w:r>
      <w:r w:rsidR="004710AA">
        <w:rPr>
          <w:rStyle w:val="BookTitle"/>
          <w:b w:val="0"/>
          <w:bCs w:val="0"/>
          <w:smallCaps w:val="0"/>
          <w:spacing w:val="0"/>
          <w:lang w:val="fr-FR"/>
        </w:rPr>
        <w:t>r-adevăr, termenul de guvernare include actori</w:t>
      </w:r>
      <w:r w:rsidRPr="00F44053">
        <w:rPr>
          <w:rStyle w:val="BookTitle"/>
          <w:b w:val="0"/>
          <w:bCs w:val="0"/>
          <w:smallCaps w:val="0"/>
          <w:spacing w:val="0"/>
          <w:lang w:val="fr-FR"/>
        </w:rPr>
        <w:t xml:space="preserve"> atât publici</w:t>
      </w:r>
      <w:r w:rsidR="004710AA">
        <w:rPr>
          <w:rStyle w:val="BookTitle"/>
          <w:b w:val="0"/>
          <w:bCs w:val="0"/>
          <w:smallCaps w:val="0"/>
          <w:spacing w:val="0"/>
          <w:lang w:val="fr-FR"/>
        </w:rPr>
        <w:t>,</w:t>
      </w:r>
      <w:r w:rsidRPr="00F44053">
        <w:rPr>
          <w:rStyle w:val="BookTitle"/>
          <w:b w:val="0"/>
          <w:bCs w:val="0"/>
          <w:smallCaps w:val="0"/>
          <w:spacing w:val="0"/>
          <w:lang w:val="fr-FR"/>
        </w:rPr>
        <w:t xml:space="preserve"> cât și privați, în calitate de autorități publice (de la cele cen</w:t>
      </w:r>
      <w:r w:rsidR="004710AA">
        <w:rPr>
          <w:rStyle w:val="BookTitle"/>
          <w:b w:val="0"/>
          <w:bCs w:val="0"/>
          <w:smallCaps w:val="0"/>
          <w:spacing w:val="0"/>
          <w:lang w:val="fr-FR"/>
        </w:rPr>
        <w:t>trale la cele locale), agenții</w:t>
      </w:r>
      <w:r w:rsidRPr="00F44053">
        <w:rPr>
          <w:rStyle w:val="BookTitle"/>
          <w:b w:val="0"/>
          <w:bCs w:val="0"/>
          <w:smallCaps w:val="0"/>
          <w:spacing w:val="0"/>
          <w:lang w:val="fr-FR"/>
        </w:rPr>
        <w:t xml:space="preserve"> ale autorităților publi</w:t>
      </w:r>
      <w:r w:rsidR="004710AA">
        <w:rPr>
          <w:rStyle w:val="BookTitle"/>
          <w:b w:val="0"/>
          <w:bCs w:val="0"/>
          <w:smallCaps w:val="0"/>
          <w:spacing w:val="0"/>
          <w:lang w:val="fr-FR"/>
        </w:rPr>
        <w:t>ce (de exemplu, Agen</w:t>
      </w:r>
      <w:r w:rsidRPr="00F44053">
        <w:rPr>
          <w:rStyle w:val="BookTitle"/>
          <w:b w:val="0"/>
          <w:bCs w:val="0"/>
          <w:smallCaps w:val="0"/>
          <w:spacing w:val="0"/>
          <w:lang w:val="fr-FR"/>
        </w:rPr>
        <w:t xml:space="preserve">ția de </w:t>
      </w:r>
      <w:r w:rsidR="004710AA">
        <w:rPr>
          <w:rStyle w:val="BookTitle"/>
          <w:b w:val="0"/>
          <w:bCs w:val="0"/>
          <w:smallCaps w:val="0"/>
          <w:spacing w:val="0"/>
          <w:lang w:val="fr-FR"/>
        </w:rPr>
        <w:t>Dezvoltare Regională), parteneriate</w:t>
      </w:r>
      <w:r w:rsidRPr="00F44053">
        <w:rPr>
          <w:rStyle w:val="BookTitle"/>
          <w:b w:val="0"/>
          <w:bCs w:val="0"/>
          <w:smallCaps w:val="0"/>
          <w:spacing w:val="0"/>
          <w:lang w:val="fr-FR"/>
        </w:rPr>
        <w:t xml:space="preserve"> publice-private, asociații non-guvernamentale, asociații de afaceri și bineînteles ale cetățenilor.</w:t>
      </w:r>
    </w:p>
    <w:p w:rsidR="00F44053" w:rsidRPr="00F44053" w:rsidRDefault="00F44053" w:rsidP="00F44053">
      <w:pPr>
        <w:rPr>
          <w:rStyle w:val="BookTitle"/>
          <w:b w:val="0"/>
          <w:bCs w:val="0"/>
          <w:smallCaps w:val="0"/>
          <w:spacing w:val="0"/>
          <w:lang w:val="fr-FR"/>
        </w:rPr>
      </w:pPr>
      <w:r w:rsidRPr="00F44053">
        <w:rPr>
          <w:rStyle w:val="BookTitle"/>
          <w:b w:val="0"/>
          <w:bCs w:val="0"/>
          <w:smallCaps w:val="0"/>
          <w:spacing w:val="0"/>
          <w:lang w:val="fr-FR"/>
        </w:rPr>
        <w:t xml:space="preserve">Având în vedere această diversitate ale părților interesate, procesul de cooperare poate fi văzut fie vertical (în cazul interacțiunii între diferite niveluri ale administrației </w:t>
      </w:r>
      <w:r w:rsidR="004710AA">
        <w:rPr>
          <w:rStyle w:val="BookTitle"/>
          <w:b w:val="0"/>
          <w:bCs w:val="0"/>
          <w:smallCaps w:val="0"/>
          <w:spacing w:val="0"/>
          <w:lang w:val="fr-FR"/>
        </w:rPr>
        <w:t>publice pe o bază ierarhică), fie</w:t>
      </w:r>
      <w:r w:rsidRPr="00F44053">
        <w:rPr>
          <w:rStyle w:val="BookTitle"/>
          <w:b w:val="0"/>
          <w:bCs w:val="0"/>
          <w:smallCaps w:val="0"/>
          <w:spacing w:val="0"/>
          <w:lang w:val="fr-FR"/>
        </w:rPr>
        <w:t xml:space="preserve"> orizontal (în cazul în care alte părți interesate, publice sau private, sunt implicate).</w:t>
      </w:r>
    </w:p>
    <w:p w:rsidR="00F44053" w:rsidRPr="00F44053" w:rsidRDefault="00F44053" w:rsidP="00F44053">
      <w:pPr>
        <w:rPr>
          <w:rStyle w:val="BookTitle"/>
          <w:b w:val="0"/>
          <w:bCs w:val="0"/>
          <w:smallCaps w:val="0"/>
          <w:spacing w:val="0"/>
          <w:lang w:val="fr-FR"/>
        </w:rPr>
      </w:pPr>
      <w:r w:rsidRPr="00F44053">
        <w:rPr>
          <w:rStyle w:val="BookTitle"/>
          <w:b w:val="0"/>
          <w:bCs w:val="0"/>
          <w:smallCaps w:val="0"/>
          <w:spacing w:val="0"/>
          <w:lang w:val="fr-FR"/>
        </w:rPr>
        <w:lastRenderedPageBreak/>
        <w:t>În situația actuală, ultima opțiune nu este încă pe deplin exploatată, din cauza constrângerilor legale și tradițiilor politice și sociale naționale, care nu incită participarea actorilor privați în procesul de luare a deciziilor și la o abordare de jos în sus în ceea ce privește formularea de politici publice.</w:t>
      </w:r>
    </w:p>
    <w:p w:rsidR="00F44053" w:rsidRPr="00F44053" w:rsidRDefault="00F44053" w:rsidP="00F44053">
      <w:pPr>
        <w:rPr>
          <w:rStyle w:val="BookTitle"/>
          <w:b w:val="0"/>
          <w:bCs w:val="0"/>
          <w:smallCaps w:val="0"/>
          <w:spacing w:val="0"/>
          <w:lang w:val="fr-FR"/>
        </w:rPr>
      </w:pPr>
      <w:r w:rsidRPr="00F44053">
        <w:rPr>
          <w:rStyle w:val="BookTitle"/>
          <w:b w:val="0"/>
          <w:bCs w:val="0"/>
          <w:smallCaps w:val="0"/>
          <w:spacing w:val="0"/>
          <w:lang w:val="fr-FR"/>
        </w:rPr>
        <w:t xml:space="preserve">Cu toate acestea, opțiunea orizontală este în general considerată ca esențială pentru asigurarea eficacității și eficienței politicilor publice. În acest caz, statul central, în timp ce rămâne coordonatorul principal, emitentul regulamentelor și furnizorul de finanțare publică pentru politicile de dezvoltare teritorială, devine, din </w:t>
      </w:r>
      <w:proofErr w:type="gramStart"/>
      <w:r w:rsidRPr="00F44053">
        <w:rPr>
          <w:rStyle w:val="BookTitle"/>
          <w:b w:val="0"/>
          <w:bCs w:val="0"/>
          <w:smallCaps w:val="0"/>
          <w:spacing w:val="0"/>
          <w:lang w:val="fr-FR"/>
        </w:rPr>
        <w:t>ce</w:t>
      </w:r>
      <w:proofErr w:type="gramEnd"/>
      <w:r w:rsidRPr="00F44053">
        <w:rPr>
          <w:rStyle w:val="BookTitle"/>
          <w:b w:val="0"/>
          <w:bCs w:val="0"/>
          <w:smallCaps w:val="0"/>
          <w:spacing w:val="0"/>
          <w:lang w:val="fr-FR"/>
        </w:rPr>
        <w:t xml:space="preserve"> în ce mai mult, doar una dintre părțile interesate în cadrul strategiilor și polit</w:t>
      </w:r>
      <w:r w:rsidR="002D43AB">
        <w:rPr>
          <w:rStyle w:val="BookTitle"/>
          <w:b w:val="0"/>
          <w:bCs w:val="0"/>
          <w:smallCaps w:val="0"/>
          <w:spacing w:val="0"/>
          <w:lang w:val="fr-FR"/>
        </w:rPr>
        <w:t>icilor de succes ale guvernării</w:t>
      </w:r>
      <w:r w:rsidRPr="00F44053">
        <w:rPr>
          <w:rStyle w:val="BookTitle"/>
          <w:b w:val="0"/>
          <w:bCs w:val="0"/>
          <w:smallCaps w:val="0"/>
          <w:spacing w:val="0"/>
          <w:lang w:val="fr-FR"/>
        </w:rPr>
        <w:t xml:space="preserve"> teritoriale.</w:t>
      </w:r>
    </w:p>
    <w:p w:rsidR="00F44053" w:rsidRPr="00F44053" w:rsidRDefault="00F44053" w:rsidP="00F44053">
      <w:pPr>
        <w:rPr>
          <w:rStyle w:val="BookTitle"/>
          <w:b w:val="0"/>
          <w:bCs w:val="0"/>
          <w:smallCaps w:val="0"/>
          <w:spacing w:val="0"/>
          <w:lang w:val="fr-FR"/>
        </w:rPr>
      </w:pPr>
      <w:r w:rsidRPr="00F44053">
        <w:rPr>
          <w:rStyle w:val="BookTitle"/>
          <w:b w:val="0"/>
          <w:bCs w:val="0"/>
          <w:smallCaps w:val="0"/>
          <w:spacing w:val="0"/>
          <w:lang w:val="fr-FR"/>
        </w:rPr>
        <w:t>Având în vedere cadrele sale de reglementare eterogene și structura instituțională și culturală, teritoriul transfrontalier necesită un proces de guvernare coordonat, bazat pe orizontalitate, pe abordări de jos în sus și pe principiul subsidiarității, în scopul de a asigura o adaptare mare la realitățile locale specifice.</w:t>
      </w:r>
    </w:p>
    <w:p w:rsidR="00F44053" w:rsidRPr="00F44053" w:rsidRDefault="002D43AB" w:rsidP="00F44053">
      <w:pPr>
        <w:rPr>
          <w:rStyle w:val="BookTitle"/>
          <w:b w:val="0"/>
          <w:bCs w:val="0"/>
          <w:smallCaps w:val="0"/>
          <w:spacing w:val="0"/>
          <w:lang w:val="fr-FR"/>
        </w:rPr>
      </w:pPr>
      <w:r>
        <w:rPr>
          <w:rStyle w:val="BookTitle"/>
          <w:b w:val="0"/>
          <w:bCs w:val="0"/>
          <w:smallCaps w:val="0"/>
          <w:spacing w:val="0"/>
          <w:lang w:val="fr-FR"/>
        </w:rPr>
        <w:t>Guvernarea</w:t>
      </w:r>
      <w:r w:rsidR="00F44053" w:rsidRPr="00F44053">
        <w:rPr>
          <w:rStyle w:val="BookTitle"/>
          <w:b w:val="0"/>
          <w:bCs w:val="0"/>
          <w:smallCaps w:val="0"/>
          <w:spacing w:val="0"/>
          <w:lang w:val="fr-FR"/>
        </w:rPr>
        <w:t xml:space="preserve"> permite experimentarea și punerea în aplicare de noi forme de decizie și de elaborare a politicilor, care sunt cruciale pentru a</w:t>
      </w:r>
      <w:r w:rsidR="00546CED">
        <w:rPr>
          <w:rStyle w:val="BookTitle"/>
          <w:b w:val="0"/>
          <w:bCs w:val="0"/>
          <w:smallCaps w:val="0"/>
          <w:spacing w:val="0"/>
          <w:lang w:val="fr-FR"/>
        </w:rPr>
        <w:t xml:space="preserve"> face față forțelor de influenţă</w:t>
      </w:r>
      <w:r w:rsidR="00F44053" w:rsidRPr="00F44053">
        <w:rPr>
          <w:rStyle w:val="BookTitle"/>
          <w:b w:val="0"/>
          <w:bCs w:val="0"/>
          <w:smallCaps w:val="0"/>
          <w:spacing w:val="0"/>
          <w:lang w:val="fr-FR"/>
        </w:rPr>
        <w:t>, cum ar fi schimbările climatice, globalizarea, schimbările socio-demografice și deficitul de fonduri publice. Într-adevăr, administrațiile publice vor trebui să consolideze serviciile și procesele lor și să fie mai predispuse să coopereze cu societatea civilă, în scopul de a reduce decalajul financiar și uman între prerogativele și resursele lor.</w:t>
      </w:r>
    </w:p>
    <w:p w:rsidR="00F44053" w:rsidRPr="00F44053" w:rsidRDefault="00F44053" w:rsidP="00F44053">
      <w:pPr>
        <w:rPr>
          <w:rStyle w:val="BookTitle"/>
          <w:b w:val="0"/>
          <w:bCs w:val="0"/>
          <w:smallCaps w:val="0"/>
          <w:spacing w:val="0"/>
          <w:lang w:val="fr-FR"/>
        </w:rPr>
      </w:pPr>
      <w:r w:rsidRPr="00F44053">
        <w:rPr>
          <w:rStyle w:val="BookTitle"/>
          <w:b w:val="0"/>
          <w:bCs w:val="0"/>
          <w:smallCaps w:val="0"/>
          <w:spacing w:val="0"/>
          <w:lang w:val="fr-FR"/>
        </w:rPr>
        <w:t>Cooperarea transfrontalieră poate facilita, de asemenea, transferul și dezvoltarea de soluții inovatoare pentru a aborda viabilitatea furnizării de servicii publice și asigurarea necesităților de bază.</w:t>
      </w:r>
    </w:p>
    <w:p w:rsidR="00F44053" w:rsidRPr="00F44053" w:rsidRDefault="00F44053" w:rsidP="00F44053">
      <w:pPr>
        <w:rPr>
          <w:rStyle w:val="BookTitle"/>
          <w:b w:val="0"/>
          <w:bCs w:val="0"/>
          <w:smallCaps w:val="0"/>
          <w:spacing w:val="0"/>
          <w:lang w:val="fr-FR"/>
        </w:rPr>
      </w:pPr>
      <w:r w:rsidRPr="00F44053">
        <w:rPr>
          <w:rStyle w:val="BookTitle"/>
          <w:b w:val="0"/>
          <w:bCs w:val="0"/>
          <w:smallCaps w:val="0"/>
          <w:spacing w:val="0"/>
          <w:lang w:val="fr-FR"/>
        </w:rPr>
        <w:t>Problemele privind sănătatea și problemele sociale sunt de obicei transferate autorităților locale și regionale, care au tendința de a le instituționaliza prin finanțarea de infrastructuri de mari dimensiuni. UE a subliniat recent</w:t>
      </w:r>
      <w:r w:rsidR="002D43AB">
        <w:rPr>
          <w:rStyle w:val="BookTitle"/>
          <w:b w:val="0"/>
          <w:bCs w:val="0"/>
          <w:smallCaps w:val="0"/>
          <w:spacing w:val="0"/>
          <w:lang w:val="fr-FR"/>
        </w:rPr>
        <w:t xml:space="preserve">, </w:t>
      </w:r>
      <w:r w:rsidR="002D43AB" w:rsidRPr="00F44053">
        <w:rPr>
          <w:rStyle w:val="BookTitle"/>
          <w:b w:val="0"/>
          <w:bCs w:val="0"/>
          <w:smallCaps w:val="0"/>
          <w:spacing w:val="0"/>
          <w:lang w:val="fr-FR"/>
        </w:rPr>
        <w:t>unor noi state membre</w:t>
      </w:r>
      <w:r w:rsidR="002D43AB">
        <w:rPr>
          <w:rStyle w:val="BookTitle"/>
          <w:b w:val="0"/>
          <w:bCs w:val="0"/>
          <w:smallCaps w:val="0"/>
          <w:spacing w:val="0"/>
          <w:lang w:val="fr-FR"/>
        </w:rPr>
        <w:t>,</w:t>
      </w:r>
      <w:r w:rsidRPr="00F44053">
        <w:rPr>
          <w:rStyle w:val="BookTitle"/>
          <w:b w:val="0"/>
          <w:bCs w:val="0"/>
          <w:smallCaps w:val="0"/>
          <w:spacing w:val="0"/>
          <w:lang w:val="fr-FR"/>
        </w:rPr>
        <w:t xml:space="preserve"> necesitatea de a facilita punerea în aplicare de ONG-uri în domeniul serviciilor de sănătate și sociale, având în vedere ideea că ele pot oferi o îngrijire egală sau chiar mai bună pentru utilizator prin intermediul unor servicii comunitare. Persoanele cu handicap, de exemplu, trăiesc adesea într-o infrastructură foarte mare în timp ce calitatea vieții lor ar fi îmbunătățită printr-o muncă în folosul comunității, o facilitate de mici dimensiuni care este de obicei condusă de un ONG și integrată în zonă cu scopul de a lupta împotriva stigmatizării și prejudecăților.</w:t>
      </w:r>
    </w:p>
    <w:p w:rsidR="00F44053" w:rsidRPr="000F64DC" w:rsidRDefault="00F44053" w:rsidP="00F44053">
      <w:pPr>
        <w:rPr>
          <w:rStyle w:val="BookTitle"/>
          <w:b w:val="0"/>
          <w:bCs w:val="0"/>
          <w:smallCaps w:val="0"/>
          <w:spacing w:val="0"/>
          <w:lang w:val="fr-FR"/>
        </w:rPr>
      </w:pPr>
      <w:r w:rsidRPr="000F64DC">
        <w:rPr>
          <w:rStyle w:val="BookTitle"/>
          <w:b w:val="0"/>
          <w:bCs w:val="0"/>
          <w:smallCaps w:val="0"/>
          <w:spacing w:val="0"/>
          <w:lang w:val="fr-FR"/>
        </w:rPr>
        <w:t>Inițiativele comunitare pot fi un foarte bun prilej de a pune în aplicare practici de guvernare în zona transfrontalieră, deoarece sectorul privat va trebui neapărat să lucreze împreună cu autoritățile publice în probleme cum ar fi formarea profesională a angajaților și cu o deplină respectare a cadrului legal care reglementează furnizarea de servicii pentru populațiile vulnerabile, precum p</w:t>
      </w:r>
      <w:r w:rsidR="000F64DC" w:rsidRPr="000F64DC">
        <w:rPr>
          <w:rStyle w:val="BookTitle"/>
          <w:b w:val="0"/>
          <w:bCs w:val="0"/>
          <w:smallCaps w:val="0"/>
          <w:spacing w:val="0"/>
          <w:lang w:val="fr-FR"/>
        </w:rPr>
        <w:t>ersoanele în vârstă, copiii</w:t>
      </w:r>
      <w:r w:rsidRPr="000F64DC">
        <w:rPr>
          <w:rStyle w:val="BookTitle"/>
          <w:b w:val="0"/>
          <w:bCs w:val="0"/>
          <w:smallCaps w:val="0"/>
          <w:spacing w:val="0"/>
          <w:lang w:val="fr-FR"/>
        </w:rPr>
        <w:t xml:space="preserve"> sau persoanele cu handicap.</w:t>
      </w:r>
    </w:p>
    <w:p w:rsidR="00F44053" w:rsidRPr="00F44053" w:rsidRDefault="00F44053" w:rsidP="00F44053">
      <w:pPr>
        <w:rPr>
          <w:rStyle w:val="BookTitle"/>
          <w:b w:val="0"/>
          <w:bCs w:val="0"/>
          <w:smallCaps w:val="0"/>
          <w:spacing w:val="0"/>
          <w:lang w:val="fr-FR"/>
        </w:rPr>
      </w:pPr>
      <w:r w:rsidRPr="00F44053">
        <w:rPr>
          <w:rStyle w:val="BookTitle"/>
          <w:b w:val="0"/>
          <w:bCs w:val="0"/>
          <w:smallCaps w:val="0"/>
          <w:spacing w:val="0"/>
          <w:lang w:val="fr-FR"/>
        </w:rPr>
        <w:t xml:space="preserve">Mai mult decât atât, Comisia Europeană </w:t>
      </w:r>
      <w:proofErr w:type="gramStart"/>
      <w:r w:rsidRPr="00F44053">
        <w:rPr>
          <w:rStyle w:val="BookTitle"/>
          <w:b w:val="0"/>
          <w:bCs w:val="0"/>
          <w:smallCaps w:val="0"/>
          <w:spacing w:val="0"/>
          <w:lang w:val="fr-FR"/>
        </w:rPr>
        <w:t>a</w:t>
      </w:r>
      <w:proofErr w:type="gramEnd"/>
      <w:r w:rsidRPr="00F44053">
        <w:rPr>
          <w:rStyle w:val="BookTitle"/>
          <w:b w:val="0"/>
          <w:bCs w:val="0"/>
          <w:smallCaps w:val="0"/>
          <w:spacing w:val="0"/>
          <w:lang w:val="fr-FR"/>
        </w:rPr>
        <w:t xml:space="preserve"> propus noi instrumente, în scopul de a promova dezvoltarea integrată la nivel teritorial. O îmbunătățire a practicilor de guvernare din zona transfrontalieră, prin punerea în aplicare a rețelelor orizontale pe care programul transfrontalier urmărește să le stimuleze, ar fi o pârghie ese</w:t>
      </w:r>
      <w:r w:rsidR="000F64DC">
        <w:rPr>
          <w:rStyle w:val="BookTitle"/>
          <w:b w:val="0"/>
          <w:bCs w:val="0"/>
          <w:smallCaps w:val="0"/>
          <w:spacing w:val="0"/>
          <w:lang w:val="fr-FR"/>
        </w:rPr>
        <w:t>nțială pentru a accesa acest tip</w:t>
      </w:r>
      <w:r w:rsidRPr="00F44053">
        <w:rPr>
          <w:rStyle w:val="BookTitle"/>
          <w:b w:val="0"/>
          <w:bCs w:val="0"/>
          <w:smallCaps w:val="0"/>
          <w:spacing w:val="0"/>
          <w:lang w:val="fr-FR"/>
        </w:rPr>
        <w:t xml:space="preserve"> nou de fonduri și un pas înainte pentru a sprijini și fundamenta eficiența practicilor de guvernare din zonă.</w:t>
      </w:r>
    </w:p>
    <w:p w:rsidR="00F44053" w:rsidRPr="006F7519" w:rsidRDefault="00F44053" w:rsidP="00F44053">
      <w:pPr>
        <w:rPr>
          <w:rStyle w:val="BookTitle"/>
          <w:b w:val="0"/>
          <w:bCs w:val="0"/>
          <w:smallCaps w:val="0"/>
          <w:spacing w:val="0"/>
          <w:lang w:val="fr-FR"/>
        </w:rPr>
      </w:pPr>
      <w:r w:rsidRPr="00F44053">
        <w:rPr>
          <w:rStyle w:val="BookTitle"/>
          <w:b w:val="0"/>
          <w:bCs w:val="0"/>
          <w:smallCaps w:val="0"/>
          <w:spacing w:val="0"/>
          <w:lang w:val="fr-FR"/>
        </w:rPr>
        <w:t xml:space="preserve">La o scară mai mare, această vizibilitate progresivă și activitate de guvernare va fi un avantaj cheie pentru </w:t>
      </w:r>
      <w:proofErr w:type="gramStart"/>
      <w:r w:rsidRPr="00F44053">
        <w:rPr>
          <w:rStyle w:val="BookTitle"/>
          <w:b w:val="0"/>
          <w:bCs w:val="0"/>
          <w:smallCaps w:val="0"/>
          <w:spacing w:val="0"/>
          <w:lang w:val="fr-FR"/>
        </w:rPr>
        <w:t>a</w:t>
      </w:r>
      <w:proofErr w:type="gramEnd"/>
      <w:r w:rsidRPr="00F44053">
        <w:rPr>
          <w:rStyle w:val="BookTitle"/>
          <w:b w:val="0"/>
          <w:bCs w:val="0"/>
          <w:smallCaps w:val="0"/>
          <w:spacing w:val="0"/>
          <w:lang w:val="fr-FR"/>
        </w:rPr>
        <w:t xml:space="preserve"> integra inițiativele transfrontaliere într-un instrument mai larg al politicii de coeziune teritorială a UE, macro-regiunea. </w:t>
      </w:r>
      <w:r w:rsidRPr="006F7519">
        <w:rPr>
          <w:rStyle w:val="BookTitle"/>
          <w:b w:val="0"/>
          <w:bCs w:val="0"/>
          <w:smallCaps w:val="0"/>
          <w:spacing w:val="0"/>
          <w:lang w:val="fr-FR"/>
        </w:rPr>
        <w:t>Astfel, va fi posibilă evidențierea sinergiilor necesare care pot fi găsite în cadrul strategiilor programelor macro-regionale, cum ar fi SUERD (Strategia Regiunii Dunării).</w:t>
      </w:r>
    </w:p>
    <w:p w:rsidR="00F44053" w:rsidRPr="00F44053" w:rsidRDefault="00F44053" w:rsidP="00F44053">
      <w:pPr>
        <w:rPr>
          <w:rStyle w:val="BookTitle"/>
          <w:b w:val="0"/>
          <w:bCs w:val="0"/>
          <w:smallCaps w:val="0"/>
          <w:spacing w:val="0"/>
          <w:lang w:val="fr-FR"/>
        </w:rPr>
      </w:pPr>
      <w:r w:rsidRPr="00F44053">
        <w:rPr>
          <w:rStyle w:val="BookTitle"/>
          <w:b w:val="0"/>
          <w:bCs w:val="0"/>
          <w:smallCaps w:val="0"/>
          <w:spacing w:val="0"/>
          <w:lang w:val="fr-FR"/>
        </w:rPr>
        <w:lastRenderedPageBreak/>
        <w:t>Construirea de rețele transfrontaliere este un element cheie pentru succesul programului. Prin urmare, guvernarea poate fi considerată ca o tematică orizontală veritabilă, deoarece trebuie să fie luată în considerare în orice alt obiectiv tematic.</w:t>
      </w:r>
    </w:p>
    <w:p w:rsidR="00F44053" w:rsidRPr="00F44053" w:rsidRDefault="00F44053" w:rsidP="00F44053">
      <w:pPr>
        <w:rPr>
          <w:rStyle w:val="BookTitle"/>
          <w:b w:val="0"/>
          <w:bCs w:val="0"/>
          <w:smallCaps w:val="0"/>
          <w:spacing w:val="0"/>
          <w:lang w:val="fr-FR"/>
        </w:rPr>
      </w:pPr>
      <w:r w:rsidRPr="00376C40">
        <w:rPr>
          <w:rStyle w:val="BookTitle"/>
          <w:b w:val="0"/>
          <w:bCs w:val="0"/>
          <w:smallCaps w:val="0"/>
          <w:spacing w:val="0"/>
          <w:lang w:val="fr-FR"/>
        </w:rPr>
        <w:t xml:space="preserve">Regiunea este încă în principal guvernată vertical, din aceste motive părțile interesate publice rămân interlocutorii centrali în orice abordare care dorește să răspundă nevoilor din zonă. </w:t>
      </w:r>
      <w:r w:rsidRPr="00F44053">
        <w:rPr>
          <w:rStyle w:val="BookTitle"/>
          <w:b w:val="0"/>
          <w:bCs w:val="0"/>
          <w:smallCaps w:val="0"/>
          <w:spacing w:val="0"/>
          <w:lang w:val="fr-FR"/>
        </w:rPr>
        <w:t>Provocarea va fi de a deschide progresiv și a instrui toate părțile interesate în ceea ce privește beneficiile prezente și viitoare ale practicilor de guvernare orizontale și multi-nivel.</w:t>
      </w:r>
    </w:p>
    <w:p w:rsidR="000F64DC" w:rsidRPr="006F7519" w:rsidRDefault="000F64DC" w:rsidP="00D40A93">
      <w:pPr>
        <w:pStyle w:val="Heading2"/>
        <w:rPr>
          <w:rStyle w:val="BookTitle"/>
          <w:rFonts w:eastAsia="Calibri"/>
          <w:b/>
          <w:bCs/>
          <w:smallCaps w:val="0"/>
          <w:spacing w:val="0"/>
          <w:lang w:val="it-IT"/>
        </w:rPr>
      </w:pPr>
      <w:bookmarkStart w:id="9" w:name="_Toc389668771"/>
      <w:bookmarkStart w:id="10" w:name="_Toc394837746"/>
      <w:bookmarkEnd w:id="8"/>
      <w:r w:rsidRPr="006F7519">
        <w:rPr>
          <w:rStyle w:val="BookTitle"/>
          <w:b/>
          <w:bCs/>
          <w:smallCaps w:val="0"/>
          <w:spacing w:val="0"/>
          <w:lang w:val="it-IT"/>
        </w:rPr>
        <w:t>Strategia Programului CBC România-Bulgaria</w:t>
      </w:r>
      <w:bookmarkEnd w:id="9"/>
      <w:bookmarkEnd w:id="10"/>
    </w:p>
    <w:p w:rsidR="000F64DC" w:rsidRDefault="000F64DC" w:rsidP="000F64DC">
      <w:pPr>
        <w:rPr>
          <w:szCs w:val="24"/>
          <w:lang w:val="ro-RO"/>
        </w:rPr>
      </w:pPr>
      <w:r w:rsidRPr="00BA21E6">
        <w:rPr>
          <w:szCs w:val="24"/>
          <w:lang w:val="ro-RO"/>
        </w:rPr>
        <w:t xml:space="preserve">Strategia generală </w:t>
      </w:r>
      <w:r>
        <w:rPr>
          <w:szCs w:val="24"/>
          <w:lang w:val="ro-RO"/>
        </w:rPr>
        <w:t>a</w:t>
      </w:r>
      <w:r w:rsidRPr="00BA21E6">
        <w:rPr>
          <w:szCs w:val="24"/>
          <w:lang w:val="ro-RO"/>
        </w:rPr>
        <w:t xml:space="preserve"> program</w:t>
      </w:r>
      <w:r>
        <w:rPr>
          <w:szCs w:val="24"/>
          <w:lang w:val="ro-RO"/>
        </w:rPr>
        <w:t>ului</w:t>
      </w:r>
      <w:r w:rsidRPr="00BA21E6">
        <w:rPr>
          <w:szCs w:val="24"/>
          <w:lang w:val="ro-RO"/>
        </w:rPr>
        <w:t xml:space="preserve"> a fost formulată </w:t>
      </w:r>
      <w:r>
        <w:rPr>
          <w:szCs w:val="24"/>
          <w:lang w:val="ro-RO"/>
        </w:rPr>
        <w:t>ca</w:t>
      </w:r>
      <w:r w:rsidRPr="00BA21E6">
        <w:rPr>
          <w:szCs w:val="24"/>
          <w:lang w:val="ro-RO"/>
        </w:rPr>
        <w:t xml:space="preserve"> răspuns direct la Strategia UE 2020 pentru o creștere inteligentă, durabilă și favorabilă incluziunii. În cadrul Strategiei UE 2020, UE a stabilit obiective ambițioase care trebuie atinse până în 2020</w:t>
      </w:r>
      <w:r>
        <w:rPr>
          <w:szCs w:val="24"/>
          <w:lang w:val="ro-RO"/>
        </w:rPr>
        <w:t>,</w:t>
      </w:r>
      <w:r w:rsidRPr="00BA21E6">
        <w:rPr>
          <w:szCs w:val="24"/>
          <w:lang w:val="ro-RO"/>
        </w:rPr>
        <w:t xml:space="preserve"> în cinci domenii principale:</w:t>
      </w:r>
    </w:p>
    <w:p w:rsidR="000F64DC" w:rsidRPr="002321D4" w:rsidRDefault="000F64DC" w:rsidP="000F64DC">
      <w:pPr>
        <w:pStyle w:val="ListParagraph"/>
        <w:rPr>
          <w:szCs w:val="24"/>
          <w:lang w:val="ro-RO"/>
        </w:rPr>
      </w:pPr>
      <w:r w:rsidRPr="002321D4">
        <w:rPr>
          <w:szCs w:val="24"/>
          <w:lang w:val="ro-RO"/>
        </w:rPr>
        <w:t>Ocuparea for</w:t>
      </w:r>
      <w:r w:rsidR="002734B6">
        <w:rPr>
          <w:szCs w:val="24"/>
          <w:lang w:val="ro-RO"/>
        </w:rPr>
        <w:t>ței de muncă: 75% dintre oamenii</w:t>
      </w:r>
      <w:r>
        <w:rPr>
          <w:szCs w:val="24"/>
          <w:lang w:val="ro-RO"/>
        </w:rPr>
        <w:t>cu vârste între</w:t>
      </w:r>
      <w:r w:rsidRPr="002321D4">
        <w:rPr>
          <w:szCs w:val="24"/>
          <w:lang w:val="ro-RO"/>
        </w:rPr>
        <w:t xml:space="preserve"> 20-64 de ani </w:t>
      </w:r>
      <w:r>
        <w:rPr>
          <w:szCs w:val="24"/>
          <w:lang w:val="ro-RO"/>
        </w:rPr>
        <w:t>să</w:t>
      </w:r>
      <w:r w:rsidRPr="002321D4">
        <w:rPr>
          <w:szCs w:val="24"/>
          <w:lang w:val="ro-RO"/>
        </w:rPr>
        <w:t xml:space="preserve"> fi</w:t>
      </w:r>
      <w:r>
        <w:rPr>
          <w:szCs w:val="24"/>
          <w:lang w:val="ro-RO"/>
        </w:rPr>
        <w:t>e</w:t>
      </w:r>
      <w:r w:rsidRPr="002321D4">
        <w:rPr>
          <w:szCs w:val="24"/>
          <w:lang w:val="ro-RO"/>
        </w:rPr>
        <w:t xml:space="preserve"> angaja</w:t>
      </w:r>
      <w:r>
        <w:rPr>
          <w:szCs w:val="24"/>
          <w:lang w:val="ro-RO"/>
        </w:rPr>
        <w:t>ți</w:t>
      </w:r>
    </w:p>
    <w:p w:rsidR="000F64DC" w:rsidRPr="002321D4" w:rsidRDefault="000F64DC" w:rsidP="000F64DC">
      <w:pPr>
        <w:pStyle w:val="ListParagraph"/>
        <w:rPr>
          <w:szCs w:val="24"/>
          <w:lang w:val="ro-RO"/>
        </w:rPr>
      </w:pPr>
      <w:r w:rsidRPr="002321D4">
        <w:rPr>
          <w:szCs w:val="24"/>
          <w:lang w:val="ro-RO"/>
        </w:rPr>
        <w:t>Cercetare și dezvoltare: 3% din PIB-ul UE să fie investit în cercetare și dezvoltare</w:t>
      </w:r>
    </w:p>
    <w:p w:rsidR="000F64DC" w:rsidRPr="002321D4" w:rsidRDefault="000F64DC" w:rsidP="000F64DC">
      <w:pPr>
        <w:pStyle w:val="ListParagraph"/>
        <w:rPr>
          <w:szCs w:val="24"/>
          <w:lang w:val="ro-RO"/>
        </w:rPr>
      </w:pPr>
      <w:r>
        <w:rPr>
          <w:szCs w:val="24"/>
          <w:lang w:val="ro-RO"/>
        </w:rPr>
        <w:t>Schimbări</w:t>
      </w:r>
      <w:r w:rsidRPr="002321D4">
        <w:rPr>
          <w:szCs w:val="24"/>
          <w:lang w:val="ro-RO"/>
        </w:rPr>
        <w:t xml:space="preserve"> climatice și energi</w:t>
      </w:r>
      <w:r>
        <w:rPr>
          <w:szCs w:val="24"/>
          <w:lang w:val="ro-RO"/>
        </w:rPr>
        <w:t>e</w:t>
      </w:r>
      <w:r w:rsidRPr="002321D4">
        <w:rPr>
          <w:szCs w:val="24"/>
          <w:lang w:val="ro-RO"/>
        </w:rPr>
        <w:t xml:space="preserve"> durabil</w:t>
      </w:r>
      <w:r>
        <w:rPr>
          <w:szCs w:val="24"/>
          <w:lang w:val="ro-RO"/>
        </w:rPr>
        <w:t>ă</w:t>
      </w:r>
      <w:r w:rsidRPr="002321D4">
        <w:rPr>
          <w:szCs w:val="24"/>
          <w:lang w:val="ro-RO"/>
        </w:rPr>
        <w:t xml:space="preserve">: emisiile de gaze cu efect de seră </w:t>
      </w:r>
      <w:r>
        <w:rPr>
          <w:szCs w:val="24"/>
          <w:lang w:val="ro-RO"/>
        </w:rPr>
        <w:t xml:space="preserve">să fie cu </w:t>
      </w:r>
      <w:r w:rsidRPr="002321D4">
        <w:rPr>
          <w:szCs w:val="24"/>
          <w:lang w:val="ro-RO"/>
        </w:rPr>
        <w:t>20% (sau chiar 30%, dacă există condiții favorabile) mai mic</w:t>
      </w:r>
      <w:r>
        <w:rPr>
          <w:szCs w:val="24"/>
          <w:lang w:val="ro-RO"/>
        </w:rPr>
        <w:t>i</w:t>
      </w:r>
      <w:r w:rsidRPr="002321D4">
        <w:rPr>
          <w:szCs w:val="24"/>
          <w:lang w:val="ro-RO"/>
        </w:rPr>
        <w:t xml:space="preserve"> decât </w:t>
      </w:r>
      <w:r>
        <w:rPr>
          <w:szCs w:val="24"/>
          <w:lang w:val="ro-RO"/>
        </w:rPr>
        <w:t xml:space="preserve">în </w:t>
      </w:r>
      <w:r w:rsidRPr="002321D4">
        <w:rPr>
          <w:szCs w:val="24"/>
          <w:lang w:val="ro-RO"/>
        </w:rPr>
        <w:t xml:space="preserve">1990; 20% </w:t>
      </w:r>
      <w:r>
        <w:rPr>
          <w:szCs w:val="24"/>
          <w:lang w:val="ro-RO"/>
        </w:rPr>
        <w:t xml:space="preserve">din </w:t>
      </w:r>
      <w:r w:rsidRPr="002321D4">
        <w:rPr>
          <w:szCs w:val="24"/>
          <w:lang w:val="ro-RO"/>
        </w:rPr>
        <w:t xml:space="preserve">energie </w:t>
      </w:r>
      <w:r>
        <w:rPr>
          <w:szCs w:val="24"/>
          <w:lang w:val="ro-RO"/>
        </w:rPr>
        <w:t>să provină din</w:t>
      </w:r>
      <w:r w:rsidRPr="002321D4">
        <w:rPr>
          <w:szCs w:val="24"/>
          <w:lang w:val="ro-RO"/>
        </w:rPr>
        <w:t xml:space="preserve"> surse </w:t>
      </w:r>
      <w:r>
        <w:rPr>
          <w:szCs w:val="24"/>
          <w:lang w:val="ro-RO"/>
        </w:rPr>
        <w:t xml:space="preserve">de energie </w:t>
      </w:r>
      <w:r w:rsidRPr="002321D4">
        <w:rPr>
          <w:szCs w:val="24"/>
          <w:lang w:val="ro-RO"/>
        </w:rPr>
        <w:t>regenerabil</w:t>
      </w:r>
      <w:r>
        <w:rPr>
          <w:szCs w:val="24"/>
          <w:lang w:val="ro-RO"/>
        </w:rPr>
        <w:t>ă</w:t>
      </w:r>
      <w:r w:rsidRPr="002321D4">
        <w:rPr>
          <w:szCs w:val="24"/>
          <w:lang w:val="ro-RO"/>
        </w:rPr>
        <w:t>, creșterea cu 20% a eficienței energetice</w:t>
      </w:r>
    </w:p>
    <w:p w:rsidR="000F64DC" w:rsidRPr="002321D4" w:rsidRDefault="000F64DC" w:rsidP="000F64DC">
      <w:pPr>
        <w:pStyle w:val="ListParagraph"/>
        <w:rPr>
          <w:szCs w:val="24"/>
          <w:lang w:val="ro-RO"/>
        </w:rPr>
      </w:pPr>
      <w:r>
        <w:rPr>
          <w:szCs w:val="24"/>
          <w:lang w:val="ro-RO"/>
        </w:rPr>
        <w:t>Educație</w:t>
      </w:r>
      <w:r w:rsidRPr="002321D4">
        <w:rPr>
          <w:szCs w:val="24"/>
          <w:lang w:val="ro-RO"/>
        </w:rPr>
        <w:t xml:space="preserve">: Reducerea ratelor de părăsire timpurie a școlii sub 10% și cel puțin 40% </w:t>
      </w:r>
      <w:r>
        <w:rPr>
          <w:szCs w:val="24"/>
          <w:lang w:val="ro-RO"/>
        </w:rPr>
        <w:t>dintre</w:t>
      </w:r>
      <w:r w:rsidRPr="002321D4">
        <w:rPr>
          <w:szCs w:val="24"/>
          <w:lang w:val="ro-RO"/>
        </w:rPr>
        <w:t xml:space="preserve"> tineri</w:t>
      </w:r>
      <w:r>
        <w:rPr>
          <w:szCs w:val="24"/>
          <w:lang w:val="ro-RO"/>
        </w:rPr>
        <w:t>icu vârste î</w:t>
      </w:r>
      <w:r w:rsidRPr="002321D4">
        <w:rPr>
          <w:szCs w:val="24"/>
          <w:lang w:val="ro-RO"/>
        </w:rPr>
        <w:t xml:space="preserve">ntre 30-34 </w:t>
      </w:r>
      <w:r>
        <w:rPr>
          <w:szCs w:val="24"/>
          <w:lang w:val="ro-RO"/>
        </w:rPr>
        <w:t xml:space="preserve">de </w:t>
      </w:r>
      <w:r w:rsidRPr="002321D4">
        <w:rPr>
          <w:szCs w:val="24"/>
          <w:lang w:val="ro-RO"/>
        </w:rPr>
        <w:t>an</w:t>
      </w:r>
      <w:r>
        <w:rPr>
          <w:szCs w:val="24"/>
          <w:lang w:val="ro-RO"/>
        </w:rPr>
        <w:t xml:space="preserve">isă-și finalizeze </w:t>
      </w:r>
      <w:r w:rsidRPr="002321D4">
        <w:rPr>
          <w:szCs w:val="24"/>
          <w:lang w:val="ro-RO"/>
        </w:rPr>
        <w:t>studii</w:t>
      </w:r>
      <w:r>
        <w:rPr>
          <w:szCs w:val="24"/>
          <w:lang w:val="ro-RO"/>
        </w:rPr>
        <w:t>lede nivelul trei</w:t>
      </w:r>
    </w:p>
    <w:p w:rsidR="000F64DC" w:rsidRDefault="000F64DC" w:rsidP="000F64DC">
      <w:pPr>
        <w:pStyle w:val="ListParagraph"/>
        <w:rPr>
          <w:szCs w:val="24"/>
          <w:lang w:val="ro-RO"/>
        </w:rPr>
      </w:pPr>
      <w:r>
        <w:rPr>
          <w:szCs w:val="24"/>
          <w:lang w:val="ro-RO"/>
        </w:rPr>
        <w:t>C</w:t>
      </w:r>
      <w:r w:rsidRPr="002321D4">
        <w:rPr>
          <w:szCs w:val="24"/>
          <w:lang w:val="ro-RO"/>
        </w:rPr>
        <w:t xml:space="preserve">ombaterea sărăciei și a excluziunii sociale: </w:t>
      </w:r>
      <w:r w:rsidR="002734B6">
        <w:rPr>
          <w:szCs w:val="24"/>
          <w:lang w:val="ro-RO"/>
        </w:rPr>
        <w:t>să exis</w:t>
      </w:r>
      <w:r>
        <w:rPr>
          <w:szCs w:val="24"/>
          <w:lang w:val="ro-RO"/>
        </w:rPr>
        <w:t xml:space="preserve">te cu </w:t>
      </w:r>
      <w:r w:rsidRPr="002321D4">
        <w:rPr>
          <w:szCs w:val="24"/>
          <w:lang w:val="ro-RO"/>
        </w:rPr>
        <w:t xml:space="preserve">cel puțin 20 de milioane mai puțini oameni </w:t>
      </w:r>
      <w:r>
        <w:rPr>
          <w:szCs w:val="24"/>
          <w:lang w:val="ro-RO"/>
        </w:rPr>
        <w:t>aflați în</w:t>
      </w:r>
      <w:r w:rsidRPr="002321D4">
        <w:rPr>
          <w:szCs w:val="24"/>
          <w:lang w:val="ro-RO"/>
        </w:rPr>
        <w:t xml:space="preserve"> sau </w:t>
      </w:r>
      <w:r>
        <w:rPr>
          <w:szCs w:val="24"/>
          <w:lang w:val="ro-RO"/>
        </w:rPr>
        <w:t xml:space="preserve">sub </w:t>
      </w:r>
      <w:r w:rsidRPr="002321D4">
        <w:rPr>
          <w:szCs w:val="24"/>
          <w:lang w:val="ro-RO"/>
        </w:rPr>
        <w:t>risc de sărăcie și excluziune socială</w:t>
      </w:r>
    </w:p>
    <w:p w:rsidR="0012569B" w:rsidRPr="00B4150A" w:rsidRDefault="0012569B" w:rsidP="0012569B">
      <w:pPr>
        <w:rPr>
          <w:szCs w:val="24"/>
          <w:lang w:val="ro-RO"/>
        </w:rPr>
      </w:pPr>
      <w:r w:rsidRPr="00B4150A">
        <w:rPr>
          <w:szCs w:val="24"/>
          <w:lang w:val="ro-RO"/>
        </w:rPr>
        <w:t>În acest context, programul de cooperare transfrontalierã România -Bulgaria 2014-2020 îşi propune sã extindã orizonturile regiunii, pentru a obţine rezultate concrete şi mãsurabile şi pentru a permite zonei sã devinã o regiune unde sã se poatã trãi, studia, lucra, vizita şi investi. Programul susţine procesul creãrii unor comunitãţi competitive şi sustenabile prin folosirea  într-un mod eficient a resurselor, promovarea iniţiativelor profitabile și a oportunităților oferite de dezvoltarea  fluxurilor transversale și orizontale în zona coridorului Dunăre / Marea Neagră.</w:t>
      </w:r>
    </w:p>
    <w:p w:rsidR="00F468D2" w:rsidRPr="00B4150A" w:rsidRDefault="00F468D2" w:rsidP="003D4249">
      <w:pPr>
        <w:rPr>
          <w:szCs w:val="24"/>
          <w:lang w:val="ro-RO"/>
        </w:rPr>
      </w:pPr>
      <w:r w:rsidRPr="00B4150A">
        <w:rPr>
          <w:szCs w:val="24"/>
          <w:lang w:val="ro-RO"/>
        </w:rPr>
        <w:t xml:space="preserve">Viziunea zonei transfrontaliere România-Bulgaria ca poartã de acces la zona de Est  a Dunării / Marea Neagrã,  ca punct central într-un largul Mãrii Negre-Dunăre-nordul Rinului, are ca scop să sprijine dezvoltarea zonei transfrontaliere, prin îmbunătățirea accesibilității, promovarea cooperării instituționale și protejarea și dezvoltarea activelor regionale. </w:t>
      </w:r>
    </w:p>
    <w:p w:rsidR="00B4150A" w:rsidRPr="002321D4" w:rsidRDefault="00B4150A" w:rsidP="00B4150A">
      <w:pPr>
        <w:rPr>
          <w:szCs w:val="24"/>
          <w:lang w:val="ro-RO"/>
        </w:rPr>
      </w:pPr>
      <w:r w:rsidRPr="002321D4">
        <w:rPr>
          <w:szCs w:val="24"/>
          <w:lang w:val="ro-RO"/>
        </w:rPr>
        <w:t>Protecția și utilizarea durabilă a resurselor naturale regionale sunt o necesitate care poate fi îndeplinit</w:t>
      </w:r>
      <w:r>
        <w:rPr>
          <w:szCs w:val="24"/>
          <w:lang w:val="ro-RO"/>
        </w:rPr>
        <w:t>ă,</w:t>
      </w:r>
      <w:r w:rsidRPr="002321D4">
        <w:rPr>
          <w:szCs w:val="24"/>
          <w:lang w:val="ro-RO"/>
        </w:rPr>
        <w:t xml:space="preserve"> în principal, printr-un m</w:t>
      </w:r>
      <w:r>
        <w:rPr>
          <w:szCs w:val="24"/>
          <w:lang w:val="ro-RO"/>
        </w:rPr>
        <w:t xml:space="preserve">anagement </w:t>
      </w:r>
      <w:r w:rsidR="002734B6">
        <w:rPr>
          <w:szCs w:val="24"/>
          <w:lang w:val="ro-RO"/>
        </w:rPr>
        <w:t>îmbunătățit al apelor "dulci</w:t>
      </w:r>
      <w:r w:rsidRPr="002321D4">
        <w:rPr>
          <w:szCs w:val="24"/>
          <w:lang w:val="ro-RO"/>
        </w:rPr>
        <w:t xml:space="preserve"> și sărat</w:t>
      </w:r>
      <w:r>
        <w:rPr>
          <w:szCs w:val="24"/>
          <w:lang w:val="ro-RO"/>
        </w:rPr>
        <w:t>e</w:t>
      </w:r>
      <w:r w:rsidRPr="002321D4">
        <w:rPr>
          <w:szCs w:val="24"/>
          <w:lang w:val="ro-RO"/>
        </w:rPr>
        <w:t>"</w:t>
      </w:r>
      <w:r>
        <w:rPr>
          <w:szCs w:val="24"/>
          <w:lang w:val="ro-RO"/>
        </w:rPr>
        <w:t>,</w:t>
      </w:r>
      <w:r w:rsidRPr="002321D4">
        <w:rPr>
          <w:szCs w:val="24"/>
          <w:lang w:val="ro-RO"/>
        </w:rPr>
        <w:t xml:space="preserve"> conceput pentru sprijini</w:t>
      </w:r>
      <w:r>
        <w:rPr>
          <w:szCs w:val="24"/>
          <w:lang w:val="ro-RO"/>
        </w:rPr>
        <w:t>rea</w:t>
      </w:r>
      <w:r w:rsidRPr="002321D4">
        <w:rPr>
          <w:szCs w:val="24"/>
          <w:lang w:val="ro-RO"/>
        </w:rPr>
        <w:t xml:space="preserve"> dezvolt</w:t>
      </w:r>
      <w:r>
        <w:rPr>
          <w:szCs w:val="24"/>
          <w:lang w:val="ro-RO"/>
        </w:rPr>
        <w:t>ă</w:t>
      </w:r>
      <w:r w:rsidRPr="002321D4">
        <w:rPr>
          <w:szCs w:val="24"/>
          <w:lang w:val="ro-RO"/>
        </w:rPr>
        <w:t>r</w:t>
      </w:r>
      <w:r>
        <w:rPr>
          <w:szCs w:val="24"/>
          <w:lang w:val="ro-RO"/>
        </w:rPr>
        <w:t>ii</w:t>
      </w:r>
      <w:r w:rsidRPr="002321D4">
        <w:rPr>
          <w:szCs w:val="24"/>
          <w:lang w:val="ro-RO"/>
        </w:rPr>
        <w:t xml:space="preserve"> economic</w:t>
      </w:r>
      <w:r>
        <w:rPr>
          <w:szCs w:val="24"/>
          <w:lang w:val="ro-RO"/>
        </w:rPr>
        <w:t>e</w:t>
      </w:r>
      <w:r w:rsidRPr="002321D4">
        <w:rPr>
          <w:szCs w:val="24"/>
          <w:lang w:val="ro-RO"/>
        </w:rPr>
        <w:t xml:space="preserve"> (irigații, industrie, generarea de energie, tr</w:t>
      </w:r>
      <w:r>
        <w:rPr>
          <w:szCs w:val="24"/>
          <w:lang w:val="ro-RO"/>
        </w:rPr>
        <w:t xml:space="preserve">ansport, turism, etc), pentru </w:t>
      </w:r>
      <w:r w:rsidRPr="002321D4">
        <w:rPr>
          <w:szCs w:val="24"/>
          <w:lang w:val="ro-RO"/>
        </w:rPr>
        <w:t>restabilirea și menținerea biodiversității și gestiona</w:t>
      </w:r>
      <w:r>
        <w:rPr>
          <w:szCs w:val="24"/>
          <w:lang w:val="ro-RO"/>
        </w:rPr>
        <w:t>rea</w:t>
      </w:r>
      <w:r w:rsidRPr="002321D4">
        <w:rPr>
          <w:szCs w:val="24"/>
          <w:lang w:val="ro-RO"/>
        </w:rPr>
        <w:t xml:space="preserve"> și preveni</w:t>
      </w:r>
      <w:r>
        <w:rPr>
          <w:szCs w:val="24"/>
          <w:lang w:val="ro-RO"/>
        </w:rPr>
        <w:t>rea</w:t>
      </w:r>
      <w:r w:rsidR="002734B6">
        <w:rPr>
          <w:szCs w:val="24"/>
          <w:lang w:val="ro-RO"/>
        </w:rPr>
        <w:t xml:space="preserve"> riscurilor</w:t>
      </w:r>
      <w:r w:rsidRPr="002321D4">
        <w:rPr>
          <w:szCs w:val="24"/>
          <w:lang w:val="ro-RO"/>
        </w:rPr>
        <w:t xml:space="preserve"> schimbărilor de mediu și climatice.</w:t>
      </w:r>
    </w:p>
    <w:p w:rsidR="00B4150A" w:rsidRDefault="00B4150A" w:rsidP="00B4150A">
      <w:pPr>
        <w:rPr>
          <w:szCs w:val="24"/>
          <w:lang w:val="ro-RO"/>
        </w:rPr>
      </w:pPr>
      <w:r w:rsidRPr="002321D4">
        <w:rPr>
          <w:szCs w:val="24"/>
          <w:lang w:val="ro-RO"/>
        </w:rPr>
        <w:t xml:space="preserve">Îmbunătățirea accesibilității este o altă problemă esențială pentru regiunea </w:t>
      </w:r>
      <w:r>
        <w:rPr>
          <w:szCs w:val="24"/>
          <w:lang w:val="ro-RO"/>
        </w:rPr>
        <w:t xml:space="preserve">transfrontalieră </w:t>
      </w:r>
      <w:r w:rsidRPr="002321D4">
        <w:rPr>
          <w:szCs w:val="24"/>
          <w:lang w:val="ro-RO"/>
        </w:rPr>
        <w:t>România-Bulgaria în calea sa spre a deveni poarta de est a UE și consolidarea cooperării economice, politice și sociale între țările din Euro</w:t>
      </w:r>
      <w:r>
        <w:rPr>
          <w:szCs w:val="24"/>
          <w:lang w:val="ro-RO"/>
        </w:rPr>
        <w:t xml:space="preserve">pa Centrală și de Vest și Asia. Teritoriul va </w:t>
      </w:r>
      <w:r w:rsidRPr="002321D4">
        <w:rPr>
          <w:szCs w:val="24"/>
          <w:lang w:val="ro-RO"/>
        </w:rPr>
        <w:t>deveni</w:t>
      </w:r>
      <w:r>
        <w:rPr>
          <w:szCs w:val="24"/>
          <w:lang w:val="ro-RO"/>
        </w:rPr>
        <w:t>, astfel,</w:t>
      </w:r>
      <w:r w:rsidRPr="002321D4">
        <w:rPr>
          <w:szCs w:val="24"/>
          <w:lang w:val="ro-RO"/>
        </w:rPr>
        <w:t xml:space="preserve"> mai atractiv pentru afaceri și pentru inve</w:t>
      </w:r>
      <w:r>
        <w:rPr>
          <w:szCs w:val="24"/>
          <w:lang w:val="ro-RO"/>
        </w:rPr>
        <w:t>stițiile străinedatorităp</w:t>
      </w:r>
      <w:r w:rsidR="002734B6">
        <w:rPr>
          <w:szCs w:val="24"/>
          <w:lang w:val="ro-RO"/>
        </w:rPr>
        <w:t>o</w:t>
      </w:r>
      <w:r>
        <w:rPr>
          <w:szCs w:val="24"/>
          <w:lang w:val="ro-RO"/>
        </w:rPr>
        <w:t>ziției</w:t>
      </w:r>
      <w:r w:rsidRPr="002321D4">
        <w:rPr>
          <w:szCs w:val="24"/>
          <w:lang w:val="ro-RO"/>
        </w:rPr>
        <w:t xml:space="preserve"> sale </w:t>
      </w:r>
      <w:r w:rsidRPr="002321D4">
        <w:rPr>
          <w:szCs w:val="24"/>
          <w:lang w:val="ro-RO"/>
        </w:rPr>
        <w:lastRenderedPageBreak/>
        <w:t>strategice și disponibilit</w:t>
      </w:r>
      <w:r>
        <w:rPr>
          <w:szCs w:val="24"/>
          <w:lang w:val="ro-RO"/>
        </w:rPr>
        <w:t>ății</w:t>
      </w:r>
      <w:r w:rsidRPr="002321D4">
        <w:rPr>
          <w:szCs w:val="24"/>
          <w:lang w:val="ro-RO"/>
        </w:rPr>
        <w:t xml:space="preserve"> ridicat</w:t>
      </w:r>
      <w:r>
        <w:rPr>
          <w:szCs w:val="24"/>
          <w:lang w:val="ro-RO"/>
        </w:rPr>
        <w:t>e</w:t>
      </w:r>
      <w:r w:rsidRPr="002321D4">
        <w:rPr>
          <w:szCs w:val="24"/>
          <w:lang w:val="ro-RO"/>
        </w:rPr>
        <w:t xml:space="preserve"> a infrastructurii de transport, creând astfel cadrul pentru investiții direct legate de obiectivele Europa 2020. De asemenea, regiunea are un potențial real de a dezvolta </w:t>
      </w:r>
      <w:r>
        <w:rPr>
          <w:szCs w:val="24"/>
          <w:lang w:val="ro-RO"/>
        </w:rPr>
        <w:t xml:space="preserve">transportul </w:t>
      </w:r>
      <w:r w:rsidRPr="002321D4">
        <w:rPr>
          <w:szCs w:val="24"/>
          <w:lang w:val="ro-RO"/>
        </w:rPr>
        <w:t>fluvial și maritim combinat (Dunăre și Marea Neagră) sau transportul maritim și rutier / feroviar de mărfuri, care ar putea deveni un sector important pentru economia zonei. Sprijinirea protej</w:t>
      </w:r>
      <w:r>
        <w:rPr>
          <w:szCs w:val="24"/>
          <w:lang w:val="ro-RO"/>
        </w:rPr>
        <w:t>ă</w:t>
      </w:r>
      <w:r w:rsidRPr="002321D4">
        <w:rPr>
          <w:szCs w:val="24"/>
          <w:lang w:val="ro-RO"/>
        </w:rPr>
        <w:t>r</w:t>
      </w:r>
      <w:r>
        <w:rPr>
          <w:szCs w:val="24"/>
          <w:lang w:val="ro-RO"/>
        </w:rPr>
        <w:t>ii</w:t>
      </w:r>
      <w:r w:rsidRPr="002321D4">
        <w:rPr>
          <w:szCs w:val="24"/>
          <w:lang w:val="ro-RO"/>
        </w:rPr>
        <w:t xml:space="preserve"> biodiversității este legată direct de sectorul turismul, care are un potențial puternic. Prin urmare, sprijinirea dezvoltării unei oferte de turism </w:t>
      </w:r>
      <w:r>
        <w:rPr>
          <w:szCs w:val="24"/>
          <w:lang w:val="ro-RO"/>
        </w:rPr>
        <w:t xml:space="preserve">pentru o </w:t>
      </w:r>
      <w:r w:rsidRPr="002321D4">
        <w:rPr>
          <w:szCs w:val="24"/>
          <w:lang w:val="ro-RO"/>
        </w:rPr>
        <w:t>"</w:t>
      </w:r>
      <w:r>
        <w:rPr>
          <w:szCs w:val="24"/>
          <w:lang w:val="ro-RO"/>
        </w:rPr>
        <w:t>Dunăre și Mare</w:t>
      </w:r>
      <w:r w:rsidRPr="002321D4">
        <w:rPr>
          <w:szCs w:val="24"/>
          <w:lang w:val="ro-RO"/>
        </w:rPr>
        <w:t xml:space="preserve"> Neagră verde și cultural</w:t>
      </w:r>
      <w:r>
        <w:rPr>
          <w:szCs w:val="24"/>
          <w:lang w:val="ro-RO"/>
        </w:rPr>
        <w:t>ă" este una</w:t>
      </w:r>
      <w:r w:rsidRPr="002321D4">
        <w:rPr>
          <w:szCs w:val="24"/>
          <w:lang w:val="ro-RO"/>
        </w:rPr>
        <w:t xml:space="preserve"> dintre principalele oportunități ale zonei transfrontaliere.</w:t>
      </w:r>
    </w:p>
    <w:p w:rsidR="00B4150A" w:rsidRPr="002321D4" w:rsidRDefault="00B4150A" w:rsidP="00B4150A">
      <w:pPr>
        <w:rPr>
          <w:szCs w:val="24"/>
          <w:lang w:val="ro-RO"/>
        </w:rPr>
      </w:pPr>
      <w:r w:rsidRPr="002321D4">
        <w:rPr>
          <w:szCs w:val="24"/>
          <w:lang w:val="ro-RO"/>
        </w:rPr>
        <w:t>Crearea unei imagini distinctiv</w:t>
      </w:r>
      <w:r>
        <w:rPr>
          <w:szCs w:val="24"/>
          <w:lang w:val="ro-RO"/>
        </w:rPr>
        <w:t>e</w:t>
      </w:r>
      <w:r w:rsidRPr="002321D4">
        <w:rPr>
          <w:szCs w:val="24"/>
          <w:lang w:val="ro-RO"/>
        </w:rPr>
        <w:t xml:space="preserve">, pe baza patrimoniului </w:t>
      </w:r>
      <w:r>
        <w:rPr>
          <w:szCs w:val="24"/>
          <w:lang w:val="ro-RO"/>
        </w:rPr>
        <w:t xml:space="preserve">transfrontalier </w:t>
      </w:r>
      <w:r w:rsidRPr="002321D4">
        <w:rPr>
          <w:szCs w:val="24"/>
          <w:lang w:val="ro-RO"/>
        </w:rPr>
        <w:t xml:space="preserve">natural și cultural unic și </w:t>
      </w:r>
      <w:r>
        <w:rPr>
          <w:szCs w:val="24"/>
          <w:lang w:val="ro-RO"/>
        </w:rPr>
        <w:t>a unor</w:t>
      </w:r>
      <w:r w:rsidRPr="002321D4">
        <w:rPr>
          <w:szCs w:val="24"/>
          <w:lang w:val="ro-RO"/>
        </w:rPr>
        <w:t xml:space="preserve"> produse și servicii inovatoare, trebuie să fie dezvoltat</w:t>
      </w:r>
      <w:r>
        <w:rPr>
          <w:szCs w:val="24"/>
          <w:lang w:val="ro-RO"/>
        </w:rPr>
        <w:t>ă</w:t>
      </w:r>
      <w:r w:rsidRPr="002321D4">
        <w:rPr>
          <w:szCs w:val="24"/>
          <w:lang w:val="ro-RO"/>
        </w:rPr>
        <w:t xml:space="preserve"> în scopul de a asigura o ofertă </w:t>
      </w:r>
      <w:r>
        <w:rPr>
          <w:szCs w:val="24"/>
          <w:lang w:val="ro-RO"/>
        </w:rPr>
        <w:t xml:space="preserve">turistică </w:t>
      </w:r>
      <w:r w:rsidRPr="002321D4">
        <w:rPr>
          <w:szCs w:val="24"/>
          <w:lang w:val="ro-RO"/>
        </w:rPr>
        <w:t>durabilă și extrem de valoro</w:t>
      </w:r>
      <w:r>
        <w:rPr>
          <w:szCs w:val="24"/>
          <w:lang w:val="ro-RO"/>
        </w:rPr>
        <w:t>a</w:t>
      </w:r>
      <w:r w:rsidRPr="002321D4">
        <w:rPr>
          <w:szCs w:val="24"/>
          <w:lang w:val="ro-RO"/>
        </w:rPr>
        <w:t>s</w:t>
      </w:r>
      <w:r>
        <w:rPr>
          <w:szCs w:val="24"/>
          <w:lang w:val="ro-RO"/>
        </w:rPr>
        <w:t>ă</w:t>
      </w:r>
      <w:r w:rsidRPr="002321D4">
        <w:rPr>
          <w:szCs w:val="24"/>
          <w:lang w:val="ro-RO"/>
        </w:rPr>
        <w:t>. Acest lucru ar da mai mult</w:t>
      </w:r>
      <w:r>
        <w:rPr>
          <w:szCs w:val="24"/>
          <w:lang w:val="ro-RO"/>
        </w:rPr>
        <w:t>or</w:t>
      </w:r>
      <w:r w:rsidRPr="002321D4">
        <w:rPr>
          <w:szCs w:val="24"/>
          <w:lang w:val="ro-RO"/>
        </w:rPr>
        <w:t xml:space="preserve"> părți interesate, în special universități</w:t>
      </w:r>
      <w:r>
        <w:rPr>
          <w:szCs w:val="24"/>
          <w:lang w:val="ro-RO"/>
        </w:rPr>
        <w:t>lor</w:t>
      </w:r>
      <w:r w:rsidRPr="002321D4">
        <w:rPr>
          <w:szCs w:val="24"/>
          <w:lang w:val="ro-RO"/>
        </w:rPr>
        <w:t xml:space="preserve"> și școli</w:t>
      </w:r>
      <w:r>
        <w:rPr>
          <w:szCs w:val="24"/>
          <w:lang w:val="ro-RO"/>
        </w:rPr>
        <w:t>lor</w:t>
      </w:r>
      <w:r w:rsidRPr="002321D4">
        <w:rPr>
          <w:szCs w:val="24"/>
          <w:lang w:val="ro-RO"/>
        </w:rPr>
        <w:t xml:space="preserve"> profesionale, posibilitatea de a participa la modernizarea abilitățil</w:t>
      </w:r>
      <w:r>
        <w:rPr>
          <w:szCs w:val="24"/>
          <w:lang w:val="ro-RO"/>
        </w:rPr>
        <w:t>or</w:t>
      </w:r>
      <w:r w:rsidRPr="002321D4">
        <w:rPr>
          <w:szCs w:val="24"/>
          <w:lang w:val="ro-RO"/>
        </w:rPr>
        <w:t xml:space="preserve"> și potențialul de inovare al sectorului.</w:t>
      </w:r>
    </w:p>
    <w:p w:rsidR="00B4150A" w:rsidRPr="002321D4" w:rsidRDefault="00B4150A" w:rsidP="00B4150A">
      <w:pPr>
        <w:rPr>
          <w:szCs w:val="24"/>
          <w:lang w:val="ro-RO"/>
        </w:rPr>
      </w:pPr>
      <w:r w:rsidRPr="002321D4">
        <w:rPr>
          <w:szCs w:val="24"/>
          <w:lang w:val="ro-RO"/>
        </w:rPr>
        <w:t>O colaborare puternic</w:t>
      </w:r>
      <w:r>
        <w:rPr>
          <w:szCs w:val="24"/>
          <w:lang w:val="ro-RO"/>
        </w:rPr>
        <w:t>ă</w:t>
      </w:r>
      <w:r w:rsidRPr="002321D4">
        <w:rPr>
          <w:szCs w:val="24"/>
          <w:lang w:val="ro-RO"/>
        </w:rPr>
        <w:t xml:space="preserve"> este </w:t>
      </w:r>
      <w:r>
        <w:rPr>
          <w:szCs w:val="24"/>
          <w:lang w:val="ro-RO"/>
        </w:rPr>
        <w:t>apoi</w:t>
      </w:r>
      <w:r w:rsidRPr="002321D4">
        <w:rPr>
          <w:szCs w:val="24"/>
          <w:lang w:val="ro-RO"/>
        </w:rPr>
        <w:t xml:space="preserve"> necesară în domeniul învățării </w:t>
      </w:r>
      <w:r>
        <w:rPr>
          <w:szCs w:val="24"/>
          <w:lang w:val="ro-RO"/>
        </w:rPr>
        <w:t>continue</w:t>
      </w:r>
      <w:r w:rsidRPr="002321D4">
        <w:rPr>
          <w:szCs w:val="24"/>
          <w:lang w:val="ro-RO"/>
        </w:rPr>
        <w:t xml:space="preserve"> și la distanță și pentru dezvoltarea unor inițiative </w:t>
      </w:r>
      <w:r>
        <w:rPr>
          <w:szCs w:val="24"/>
          <w:lang w:val="ro-RO"/>
        </w:rPr>
        <w:t xml:space="preserve">comune </w:t>
      </w:r>
      <w:r w:rsidRPr="002321D4">
        <w:rPr>
          <w:szCs w:val="24"/>
          <w:lang w:val="ro-RO"/>
        </w:rPr>
        <w:t>de atragere de talente. Într-adevăr, în regiunile slab</w:t>
      </w:r>
      <w:r>
        <w:rPr>
          <w:szCs w:val="24"/>
          <w:lang w:val="ro-RO"/>
        </w:rPr>
        <w:t>e</w:t>
      </w:r>
      <w:r w:rsidRPr="002321D4">
        <w:rPr>
          <w:szCs w:val="24"/>
          <w:lang w:val="ro-RO"/>
        </w:rPr>
        <w:t>, capitalul uman este o precondiție mai important</w:t>
      </w:r>
      <w:r>
        <w:rPr>
          <w:szCs w:val="24"/>
          <w:lang w:val="ro-RO"/>
        </w:rPr>
        <w:t>ă</w:t>
      </w:r>
      <w:r w:rsidRPr="002321D4">
        <w:rPr>
          <w:szCs w:val="24"/>
          <w:lang w:val="ro-RO"/>
        </w:rPr>
        <w:t xml:space="preserve"> pentru creșterea economică decât </w:t>
      </w:r>
      <w:r w:rsidRPr="00423591">
        <w:rPr>
          <w:szCs w:val="24"/>
          <w:lang w:val="ro-RO"/>
        </w:rPr>
        <w:t>Cercetarea&amp; Dezvoltarea</w:t>
      </w:r>
      <w:r>
        <w:rPr>
          <w:szCs w:val="24"/>
          <w:lang w:val="ro-RO"/>
        </w:rPr>
        <w:t>,deoarece</w:t>
      </w:r>
      <w:r w:rsidRPr="002321D4">
        <w:rPr>
          <w:szCs w:val="24"/>
          <w:lang w:val="ro-RO"/>
        </w:rPr>
        <w:t xml:space="preserve"> cunoștințe</w:t>
      </w:r>
      <w:r>
        <w:rPr>
          <w:szCs w:val="24"/>
          <w:lang w:val="ro-RO"/>
        </w:rPr>
        <w:t>le</w:t>
      </w:r>
      <w:r w:rsidRPr="002321D4">
        <w:rPr>
          <w:szCs w:val="24"/>
          <w:lang w:val="ro-RO"/>
        </w:rPr>
        <w:t xml:space="preserve"> încorporat</w:t>
      </w:r>
      <w:r>
        <w:rPr>
          <w:szCs w:val="24"/>
          <w:lang w:val="ro-RO"/>
        </w:rPr>
        <w:t>e</w:t>
      </w:r>
      <w:r w:rsidRPr="002321D4">
        <w:rPr>
          <w:szCs w:val="24"/>
          <w:lang w:val="ro-RO"/>
        </w:rPr>
        <w:t xml:space="preserve"> în capitalul uman a</w:t>
      </w:r>
      <w:r>
        <w:rPr>
          <w:szCs w:val="24"/>
          <w:lang w:val="ro-RO"/>
        </w:rPr>
        <w:t>u</w:t>
      </w:r>
      <w:r w:rsidRPr="002321D4">
        <w:rPr>
          <w:szCs w:val="24"/>
          <w:lang w:val="ro-RO"/>
        </w:rPr>
        <w:t xml:space="preserve"> un impact mai mare asupra producției regional</w:t>
      </w:r>
      <w:r>
        <w:rPr>
          <w:szCs w:val="24"/>
          <w:lang w:val="ro-RO"/>
        </w:rPr>
        <w:t>e</w:t>
      </w:r>
      <w:r w:rsidRPr="002321D4">
        <w:rPr>
          <w:szCs w:val="24"/>
          <w:lang w:val="ro-RO"/>
        </w:rPr>
        <w:t xml:space="preserve"> decât cheltuielile de cercetare și dezvoltare.</w:t>
      </w:r>
    </w:p>
    <w:p w:rsidR="00B4150A" w:rsidRPr="002321D4" w:rsidRDefault="00B4150A" w:rsidP="00B4150A">
      <w:pPr>
        <w:rPr>
          <w:szCs w:val="24"/>
          <w:lang w:val="ro-RO"/>
        </w:rPr>
      </w:pPr>
      <w:r w:rsidRPr="002321D4">
        <w:rPr>
          <w:szCs w:val="24"/>
          <w:lang w:val="ro-RO"/>
        </w:rPr>
        <w:t>L</w:t>
      </w:r>
      <w:r w:rsidR="00006F2F">
        <w:rPr>
          <w:szCs w:val="24"/>
          <w:lang w:val="ro-RO"/>
        </w:rPr>
        <w:t>a o scară regională și cuprinzătoare</w:t>
      </w:r>
      <w:r w:rsidRPr="002321D4">
        <w:rPr>
          <w:szCs w:val="24"/>
          <w:lang w:val="ro-RO"/>
        </w:rPr>
        <w:t>, o valorizare consolidat</w:t>
      </w:r>
      <w:r w:rsidR="00006F2F">
        <w:rPr>
          <w:szCs w:val="24"/>
          <w:lang w:val="ro-RO"/>
        </w:rPr>
        <w:t>ă a</w:t>
      </w:r>
      <w:r w:rsidRPr="002321D4">
        <w:rPr>
          <w:szCs w:val="24"/>
          <w:lang w:val="ro-RO"/>
        </w:rPr>
        <w:t xml:space="preserve"> oportunitățil</w:t>
      </w:r>
      <w:r>
        <w:rPr>
          <w:szCs w:val="24"/>
          <w:lang w:val="ro-RO"/>
        </w:rPr>
        <w:t>or</w:t>
      </w:r>
      <w:r w:rsidRPr="002321D4">
        <w:rPr>
          <w:szCs w:val="24"/>
          <w:lang w:val="ro-RO"/>
        </w:rPr>
        <w:t xml:space="preserve"> existente pentru afaceri comune și </w:t>
      </w:r>
      <w:r>
        <w:rPr>
          <w:szCs w:val="24"/>
          <w:lang w:val="ro-RO"/>
        </w:rPr>
        <w:t xml:space="preserve">a </w:t>
      </w:r>
      <w:r w:rsidRPr="002321D4">
        <w:rPr>
          <w:szCs w:val="24"/>
          <w:lang w:val="ro-RO"/>
        </w:rPr>
        <w:t>complementarit</w:t>
      </w:r>
      <w:r>
        <w:rPr>
          <w:szCs w:val="24"/>
          <w:lang w:val="ro-RO"/>
        </w:rPr>
        <w:t xml:space="preserve">ății </w:t>
      </w:r>
      <w:r w:rsidRPr="002321D4">
        <w:rPr>
          <w:szCs w:val="24"/>
          <w:lang w:val="ro-RO"/>
        </w:rPr>
        <w:t>competențe</w:t>
      </w:r>
      <w:r>
        <w:rPr>
          <w:szCs w:val="24"/>
          <w:lang w:val="ro-RO"/>
        </w:rPr>
        <w:t>lor</w:t>
      </w:r>
      <w:r w:rsidRPr="002321D4">
        <w:rPr>
          <w:szCs w:val="24"/>
          <w:lang w:val="ro-RO"/>
        </w:rPr>
        <w:t xml:space="preserve"> peste graniță poate spori competitivitatea ambelor economii și atrage investiții străine directe.</w:t>
      </w:r>
    </w:p>
    <w:p w:rsidR="00B4150A" w:rsidRPr="002321D4" w:rsidRDefault="00B4150A" w:rsidP="00B4150A">
      <w:pPr>
        <w:rPr>
          <w:szCs w:val="24"/>
          <w:lang w:val="ro-RO"/>
        </w:rPr>
      </w:pPr>
      <w:r w:rsidRPr="002321D4">
        <w:rPr>
          <w:szCs w:val="24"/>
          <w:lang w:val="ro-RO"/>
        </w:rPr>
        <w:t xml:space="preserve">Astfel, o rețea de </w:t>
      </w:r>
      <w:r>
        <w:rPr>
          <w:szCs w:val="24"/>
          <w:lang w:val="ro-RO"/>
        </w:rPr>
        <w:t>centre</w:t>
      </w:r>
      <w:r w:rsidRPr="002321D4">
        <w:rPr>
          <w:szCs w:val="24"/>
          <w:lang w:val="ro-RO"/>
        </w:rPr>
        <w:t xml:space="preserve"> urbane, de-a lungul Dunării, cu </w:t>
      </w:r>
      <w:r>
        <w:rPr>
          <w:szCs w:val="24"/>
          <w:lang w:val="ro-RO"/>
        </w:rPr>
        <w:t>o colaborare</w:t>
      </w:r>
      <w:r w:rsidRPr="002321D4">
        <w:rPr>
          <w:szCs w:val="24"/>
          <w:lang w:val="ro-RO"/>
        </w:rPr>
        <w:t xml:space="preserve"> instituțională </w:t>
      </w:r>
      <w:r>
        <w:rPr>
          <w:szCs w:val="24"/>
          <w:lang w:val="ro-RO"/>
        </w:rPr>
        <w:t xml:space="preserve">îmbunătățită </w:t>
      </w:r>
      <w:r w:rsidRPr="002321D4">
        <w:rPr>
          <w:szCs w:val="24"/>
          <w:lang w:val="ro-RO"/>
        </w:rPr>
        <w:t>ș</w:t>
      </w:r>
      <w:r>
        <w:rPr>
          <w:szCs w:val="24"/>
          <w:lang w:val="ro-RO"/>
        </w:rPr>
        <w:t>i sinergii</w:t>
      </w:r>
      <w:r w:rsidRPr="002321D4">
        <w:rPr>
          <w:szCs w:val="24"/>
          <w:lang w:val="ro-RO"/>
        </w:rPr>
        <w:t xml:space="preserve"> economice</w:t>
      </w:r>
      <w:r>
        <w:rPr>
          <w:szCs w:val="24"/>
          <w:lang w:val="ro-RO"/>
        </w:rPr>
        <w:t>,</w:t>
      </w:r>
      <w:r w:rsidRPr="002321D4">
        <w:rPr>
          <w:szCs w:val="24"/>
          <w:lang w:val="ro-RO"/>
        </w:rPr>
        <w:t xml:space="preserve"> va fi un start pentru articularea unor strategii comune de dezvoltare, în scopul de a consolida reciproc zonele periferice din jurul lor.</w:t>
      </w:r>
    </w:p>
    <w:p w:rsidR="00B4150A" w:rsidRPr="002321D4" w:rsidRDefault="00B4150A" w:rsidP="00B4150A">
      <w:pPr>
        <w:rPr>
          <w:szCs w:val="24"/>
          <w:lang w:val="ro-RO"/>
        </w:rPr>
      </w:pPr>
      <w:r w:rsidRPr="002321D4">
        <w:rPr>
          <w:szCs w:val="24"/>
          <w:lang w:val="ro-RO"/>
        </w:rPr>
        <w:t>Consolidarea mecanismelor de guvernare</w:t>
      </w:r>
      <w:r>
        <w:rPr>
          <w:szCs w:val="24"/>
          <w:lang w:val="ro-RO"/>
        </w:rPr>
        <w:t xml:space="preserve"> precum</w:t>
      </w:r>
      <w:r w:rsidRPr="002321D4">
        <w:rPr>
          <w:szCs w:val="24"/>
          <w:lang w:val="ro-RO"/>
        </w:rPr>
        <w:t xml:space="preserve"> crearea de strategii comune între orașe transfrontaliere mici și mijlocii, cum ar fi orașele înfrățite care se </w:t>
      </w:r>
      <w:r>
        <w:rPr>
          <w:szCs w:val="24"/>
          <w:lang w:val="ro-RO"/>
        </w:rPr>
        <w:t xml:space="preserve">află față în față </w:t>
      </w:r>
      <w:r w:rsidRPr="002321D4">
        <w:rPr>
          <w:szCs w:val="24"/>
          <w:lang w:val="ro-RO"/>
        </w:rPr>
        <w:t>de-a lungul Dunării, va fi un factor-cheie pentru a îmbunătăți</w:t>
      </w:r>
      <w:r>
        <w:rPr>
          <w:szCs w:val="24"/>
          <w:lang w:val="ro-RO"/>
        </w:rPr>
        <w:t>rea</w:t>
      </w:r>
      <w:r w:rsidRPr="002321D4">
        <w:rPr>
          <w:szCs w:val="24"/>
          <w:lang w:val="ro-RO"/>
        </w:rPr>
        <w:t xml:space="preserve"> legăturil</w:t>
      </w:r>
      <w:r>
        <w:rPr>
          <w:szCs w:val="24"/>
          <w:lang w:val="ro-RO"/>
        </w:rPr>
        <w:t>or</w:t>
      </w:r>
      <w:r w:rsidRPr="002321D4">
        <w:rPr>
          <w:szCs w:val="24"/>
          <w:lang w:val="ro-RO"/>
        </w:rPr>
        <w:t xml:space="preserve"> dintre zonele urbane și rurale și transforma</w:t>
      </w:r>
      <w:r>
        <w:rPr>
          <w:szCs w:val="24"/>
          <w:lang w:val="ro-RO"/>
        </w:rPr>
        <w:t>rea</w:t>
      </w:r>
      <w:r w:rsidRPr="002321D4">
        <w:rPr>
          <w:szCs w:val="24"/>
          <w:lang w:val="ro-RO"/>
        </w:rPr>
        <w:t xml:space="preserve"> mic</w:t>
      </w:r>
      <w:r>
        <w:rPr>
          <w:szCs w:val="24"/>
          <w:lang w:val="ro-RO"/>
        </w:rPr>
        <w:t>ilor</w:t>
      </w:r>
      <w:r w:rsidRPr="002321D4">
        <w:rPr>
          <w:szCs w:val="24"/>
          <w:lang w:val="ro-RO"/>
        </w:rPr>
        <w:t xml:space="preserve"> orașe în centre de sprijin care furnizează servicii publice în satele învecinate, în scopul de a lupta împotriva tendinț</w:t>
      </w:r>
      <w:r>
        <w:rPr>
          <w:szCs w:val="24"/>
          <w:lang w:val="ro-RO"/>
        </w:rPr>
        <w:t>ei de</w:t>
      </w:r>
      <w:r w:rsidRPr="002321D4">
        <w:rPr>
          <w:szCs w:val="24"/>
          <w:lang w:val="ro-RO"/>
        </w:rPr>
        <w:t xml:space="preserve"> depopul</w:t>
      </w:r>
      <w:r>
        <w:rPr>
          <w:szCs w:val="24"/>
          <w:lang w:val="ro-RO"/>
        </w:rPr>
        <w:t>are</w:t>
      </w:r>
      <w:r w:rsidRPr="002321D4">
        <w:rPr>
          <w:szCs w:val="24"/>
          <w:lang w:val="ro-RO"/>
        </w:rPr>
        <w:t xml:space="preserve"> și îmbătrânir</w:t>
      </w:r>
      <w:r>
        <w:rPr>
          <w:szCs w:val="24"/>
          <w:lang w:val="ro-RO"/>
        </w:rPr>
        <w:t>e</w:t>
      </w:r>
      <w:r w:rsidRPr="002321D4">
        <w:rPr>
          <w:szCs w:val="24"/>
          <w:lang w:val="ro-RO"/>
        </w:rPr>
        <w:t xml:space="preserve"> d</w:t>
      </w:r>
      <w:r>
        <w:rPr>
          <w:szCs w:val="24"/>
          <w:lang w:val="ro-RO"/>
        </w:rPr>
        <w:t>in</w:t>
      </w:r>
      <w:r w:rsidRPr="002321D4">
        <w:rPr>
          <w:szCs w:val="24"/>
          <w:lang w:val="ro-RO"/>
        </w:rPr>
        <w:t xml:space="preserve"> zona transfrontalieră.</w:t>
      </w:r>
    </w:p>
    <w:p w:rsidR="00F468D2" w:rsidRPr="00B4150A" w:rsidRDefault="00C12DA2" w:rsidP="003D4249">
      <w:pPr>
        <w:rPr>
          <w:szCs w:val="24"/>
          <w:lang w:val="ro-RO"/>
        </w:rPr>
      </w:pPr>
      <w:r w:rsidRPr="00B4150A">
        <w:rPr>
          <w:szCs w:val="24"/>
          <w:lang w:val="ro-RO"/>
        </w:rPr>
        <w:t>Prin urmare, în conformitate cu "cadrul strategic comun" al UE,  cinci obiective tematice au fost selectate, pri</w:t>
      </w:r>
      <w:r w:rsidR="00E84BFF">
        <w:rPr>
          <w:szCs w:val="24"/>
          <w:lang w:val="ro-RO"/>
        </w:rPr>
        <w:t>ntre cele unsprezece obiective tematice (</w:t>
      </w:r>
      <w:r w:rsidRPr="00B4150A">
        <w:rPr>
          <w:szCs w:val="24"/>
          <w:lang w:val="ro-RO"/>
        </w:rPr>
        <w:t>O</w:t>
      </w:r>
      <w:r w:rsidR="00E84BFF">
        <w:rPr>
          <w:szCs w:val="24"/>
          <w:lang w:val="ro-RO"/>
        </w:rPr>
        <w:t>T</w:t>
      </w:r>
      <w:r w:rsidRPr="00B4150A">
        <w:rPr>
          <w:szCs w:val="24"/>
          <w:lang w:val="ro-RO"/>
        </w:rPr>
        <w:t xml:space="preserve">), corespunzătoare priorităților Strategiei Europa 2020, cu scopul de a rãspunde la provocările cheie şi nevoile identificate. </w:t>
      </w:r>
    </w:p>
    <w:p w:rsidR="00C12DA2" w:rsidRPr="00E84BFF" w:rsidRDefault="00C12DA2" w:rsidP="003D4249">
      <w:pPr>
        <w:rPr>
          <w:szCs w:val="24"/>
          <w:lang w:val="ro-RO"/>
        </w:rPr>
      </w:pPr>
      <w:r w:rsidRPr="00E84BFF">
        <w:rPr>
          <w:szCs w:val="24"/>
          <w:lang w:val="ro-RO"/>
        </w:rPr>
        <w:t xml:space="preserve">Pentru fiecare obiectiv </w:t>
      </w:r>
      <w:r w:rsidR="00E84BFF" w:rsidRPr="00E84BFF">
        <w:rPr>
          <w:szCs w:val="24"/>
          <w:lang w:val="ro-RO"/>
        </w:rPr>
        <w:t>thematic (OT)</w:t>
      </w:r>
      <w:r w:rsidRPr="00E84BFF">
        <w:rPr>
          <w:szCs w:val="24"/>
          <w:lang w:val="ro-RO"/>
        </w:rPr>
        <w:t>, prioritățile de investiții spec</w:t>
      </w:r>
      <w:r w:rsidR="00E84BFF" w:rsidRPr="00E84BFF">
        <w:rPr>
          <w:szCs w:val="24"/>
          <w:lang w:val="ro-RO"/>
        </w:rPr>
        <w:t>ifice (</w:t>
      </w:r>
      <w:r w:rsidRPr="00E84BFF">
        <w:rPr>
          <w:szCs w:val="24"/>
          <w:lang w:val="ro-RO"/>
        </w:rPr>
        <w:t>P</w:t>
      </w:r>
      <w:r w:rsidR="00E84BFF" w:rsidRPr="00E84BFF">
        <w:rPr>
          <w:szCs w:val="24"/>
          <w:lang w:val="ro-RO"/>
        </w:rPr>
        <w:t>I</w:t>
      </w:r>
      <w:r w:rsidRPr="00E84BFF">
        <w:rPr>
          <w:szCs w:val="24"/>
          <w:lang w:val="ro-RO"/>
        </w:rPr>
        <w:t>) au fost selectate dintre cele pre-definite. Strategia Programulu</w:t>
      </w:r>
      <w:r w:rsidR="00E84BFF">
        <w:rPr>
          <w:szCs w:val="24"/>
          <w:lang w:val="ro-RO"/>
        </w:rPr>
        <w:t xml:space="preserve">i RO-BG se bazează pe cinci </w:t>
      </w:r>
      <w:r w:rsidR="00E84BFF" w:rsidRPr="00E84BFF">
        <w:rPr>
          <w:szCs w:val="24"/>
          <w:lang w:val="ro-RO"/>
        </w:rPr>
        <w:t>O</w:t>
      </w:r>
      <w:r w:rsidR="00E84BFF">
        <w:rPr>
          <w:szCs w:val="24"/>
          <w:lang w:val="ro-RO"/>
        </w:rPr>
        <w:t>T-uri</w:t>
      </w:r>
      <w:r w:rsidRPr="00E84BFF">
        <w:rPr>
          <w:szCs w:val="24"/>
          <w:lang w:val="ro-RO"/>
        </w:rPr>
        <w:t>, care sunt în concordanță cu problemele identificate, fiind cele mai potrivite pentru a fi abordate prin cooperarea transfrontalieră.</w:t>
      </w:r>
    </w:p>
    <w:p w:rsidR="00665287" w:rsidRPr="006F7519" w:rsidRDefault="009607BC" w:rsidP="006652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jc w:val="left"/>
        <w:rPr>
          <w:rFonts w:eastAsia="MS Mincho"/>
          <w:b/>
          <w:szCs w:val="24"/>
          <w:lang w:val="it-IT"/>
        </w:rPr>
      </w:pPr>
      <w:r w:rsidRPr="006F7519">
        <w:rPr>
          <w:rFonts w:eastAsia="MS Mincho"/>
          <w:b/>
          <w:szCs w:val="24"/>
          <w:lang w:val="it-IT"/>
        </w:rPr>
        <w:t>Obiectiv Tematic</w:t>
      </w:r>
      <w:r w:rsidR="003D4249" w:rsidRPr="006F7519">
        <w:rPr>
          <w:rFonts w:eastAsia="MS Mincho"/>
          <w:b/>
          <w:szCs w:val="24"/>
          <w:lang w:val="it-IT"/>
        </w:rPr>
        <w:t xml:space="preserve"> 5: </w:t>
      </w:r>
      <w:r w:rsidRPr="006F7519">
        <w:rPr>
          <w:rFonts w:eastAsia="MS Mincho"/>
          <w:b/>
          <w:szCs w:val="24"/>
          <w:lang w:val="it-IT"/>
        </w:rPr>
        <w:t>P</w:t>
      </w:r>
      <w:r w:rsidR="00665287" w:rsidRPr="006F7519">
        <w:rPr>
          <w:rFonts w:eastAsia="MS Mincho"/>
          <w:b/>
          <w:szCs w:val="24"/>
          <w:lang w:val="it-IT"/>
        </w:rPr>
        <w:t xml:space="preserve">romovarea adaptării la schimbările climatice, a prevenirii </w:t>
      </w:r>
    </w:p>
    <w:p w:rsidR="003D4249" w:rsidRPr="00090BB3" w:rsidRDefault="00665287" w:rsidP="009607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jc w:val="left"/>
        <w:rPr>
          <w:rFonts w:eastAsia="MS Mincho"/>
          <w:b/>
          <w:szCs w:val="24"/>
          <w:lang w:val="en-US"/>
        </w:rPr>
      </w:pPr>
      <w:r w:rsidRPr="00090BB3">
        <w:rPr>
          <w:rFonts w:eastAsia="MS Mincho"/>
          <w:b/>
          <w:szCs w:val="24"/>
          <w:lang w:val="en-US"/>
        </w:rPr>
        <w:t>și a gestionării riscurilor</w:t>
      </w:r>
      <w:r w:rsidR="003D4249" w:rsidRPr="00090BB3">
        <w:rPr>
          <w:rFonts w:eastAsia="MS Mincho"/>
          <w:b/>
          <w:szCs w:val="24"/>
          <w:lang w:val="en-US"/>
        </w:rPr>
        <w:t>.</w:t>
      </w:r>
    </w:p>
    <w:p w:rsidR="003D4249" w:rsidRPr="006F7519" w:rsidRDefault="003D3F7E" w:rsidP="006D0174">
      <w:pPr>
        <w:numPr>
          <w:ilvl w:val="1"/>
          <w:numId w:val="3"/>
        </w:numPr>
        <w:spacing w:before="60" w:after="0"/>
        <w:rPr>
          <w:rFonts w:eastAsia="MS Mincho"/>
          <w:szCs w:val="24"/>
          <w:lang w:val="it-IT"/>
        </w:rPr>
      </w:pPr>
      <w:r w:rsidRPr="006F7519">
        <w:rPr>
          <w:rFonts w:eastAsia="MS Mincho"/>
          <w:b/>
          <w:bCs/>
          <w:szCs w:val="24"/>
          <w:lang w:val="it-IT"/>
        </w:rPr>
        <w:t>PI</w:t>
      </w:r>
      <w:r w:rsidR="003D4249" w:rsidRPr="006F7519">
        <w:rPr>
          <w:rFonts w:eastAsia="MS Mincho"/>
          <w:b/>
          <w:bCs/>
          <w:szCs w:val="24"/>
          <w:lang w:val="it-IT"/>
        </w:rPr>
        <w:t xml:space="preserve"> 5.b</w:t>
      </w:r>
      <w:r w:rsidR="00736C03" w:rsidRPr="006F7519">
        <w:rPr>
          <w:rFonts w:eastAsia="MS Mincho"/>
          <w:bCs/>
          <w:szCs w:val="24"/>
          <w:lang w:val="it-IT"/>
        </w:rPr>
        <w:t xml:space="preserve">: </w:t>
      </w:r>
      <w:r w:rsidR="0062067A" w:rsidRPr="006F7519">
        <w:rPr>
          <w:rFonts w:eastAsia="MS Mincho"/>
          <w:bCs/>
          <w:szCs w:val="24"/>
          <w:lang w:val="it-IT"/>
        </w:rPr>
        <w:t>P</w:t>
      </w:r>
      <w:r w:rsidR="0062067A" w:rsidRPr="006F7519">
        <w:rPr>
          <w:rFonts w:eastAsia="MS Mincho"/>
          <w:szCs w:val="24"/>
          <w:lang w:val="it-IT"/>
        </w:rPr>
        <w:t xml:space="preserve">romovarea investițiilor destinate abordării unor riscuri specifice, asigurarea rezistenței în fața dezastrelor și dezvoltarea unor sisteme de gestionare a dezastrelor; </w:t>
      </w:r>
    </w:p>
    <w:p w:rsidR="006D0174" w:rsidRPr="006F7519" w:rsidRDefault="006D0174" w:rsidP="006D0174">
      <w:pPr>
        <w:spacing w:before="60" w:after="0"/>
        <w:ind w:left="2160"/>
        <w:rPr>
          <w:rFonts w:eastAsia="MS Mincho"/>
          <w:szCs w:val="24"/>
          <w:lang w:val="it-IT"/>
        </w:rPr>
      </w:pPr>
    </w:p>
    <w:p w:rsidR="003D4249" w:rsidRPr="006F7519" w:rsidRDefault="006D0174" w:rsidP="006D0174">
      <w:pPr>
        <w:spacing w:before="60" w:after="0"/>
        <w:rPr>
          <w:rFonts w:eastAsia="MS Mincho"/>
          <w:b/>
          <w:szCs w:val="24"/>
          <w:lang w:val="it-IT"/>
        </w:rPr>
      </w:pPr>
      <w:r w:rsidRPr="006F7519">
        <w:rPr>
          <w:rFonts w:eastAsia="MS Mincho"/>
          <w:b/>
          <w:szCs w:val="24"/>
          <w:lang w:val="it-IT"/>
        </w:rPr>
        <w:t xml:space="preserve">Obiectiv Tematic </w:t>
      </w:r>
      <w:r w:rsidR="003D4249" w:rsidRPr="006F7519">
        <w:rPr>
          <w:rFonts w:eastAsia="MS Mincho"/>
          <w:b/>
          <w:szCs w:val="24"/>
          <w:lang w:val="it-IT"/>
        </w:rPr>
        <w:t xml:space="preserve">6: </w:t>
      </w:r>
      <w:r w:rsidR="009607BC" w:rsidRPr="006F7519">
        <w:rPr>
          <w:rFonts w:eastAsia="MS Mincho"/>
          <w:b/>
          <w:szCs w:val="24"/>
          <w:lang w:val="it-IT"/>
        </w:rPr>
        <w:t>Conservarea și protecția mediului și promovarea utilizării eficiente a resurselor;</w:t>
      </w:r>
    </w:p>
    <w:p w:rsidR="003D4249" w:rsidRPr="006F7519" w:rsidRDefault="003D3F7E" w:rsidP="0062067A">
      <w:pPr>
        <w:numPr>
          <w:ilvl w:val="1"/>
          <w:numId w:val="3"/>
        </w:numPr>
        <w:spacing w:before="60" w:after="0"/>
        <w:rPr>
          <w:rFonts w:eastAsia="MS Mincho"/>
          <w:szCs w:val="24"/>
          <w:lang w:val="it-IT"/>
        </w:rPr>
      </w:pPr>
      <w:r w:rsidRPr="006F7519">
        <w:rPr>
          <w:rFonts w:eastAsia="MS Mincho"/>
          <w:b/>
          <w:szCs w:val="24"/>
          <w:lang w:val="it-IT"/>
        </w:rPr>
        <w:t>PI</w:t>
      </w:r>
      <w:r w:rsidR="003D4249" w:rsidRPr="006F7519">
        <w:rPr>
          <w:rFonts w:eastAsia="MS Mincho"/>
          <w:b/>
          <w:szCs w:val="24"/>
          <w:lang w:val="it-IT"/>
        </w:rPr>
        <w:t xml:space="preserve"> 6.c:</w:t>
      </w:r>
      <w:r w:rsidR="0062067A" w:rsidRPr="006F7519">
        <w:rPr>
          <w:rFonts w:eastAsia="MS Mincho"/>
          <w:szCs w:val="24"/>
          <w:lang w:val="it-IT"/>
        </w:rPr>
        <w:t>Conservarea, protejarea, promovarea și dezvoltarea patrimoniului natural și cultural;</w:t>
      </w:r>
    </w:p>
    <w:p w:rsidR="001310E0" w:rsidRPr="006F7519" w:rsidRDefault="003D3F7E" w:rsidP="0062067A">
      <w:pPr>
        <w:numPr>
          <w:ilvl w:val="1"/>
          <w:numId w:val="3"/>
        </w:numPr>
        <w:spacing w:before="60" w:after="0"/>
        <w:rPr>
          <w:rFonts w:eastAsia="Times New Roman"/>
          <w:szCs w:val="24"/>
          <w:lang w:val="it-IT"/>
        </w:rPr>
      </w:pPr>
      <w:r w:rsidRPr="006F7519">
        <w:rPr>
          <w:rFonts w:eastAsia="MS Mincho"/>
          <w:b/>
          <w:szCs w:val="24"/>
          <w:lang w:val="it-IT"/>
        </w:rPr>
        <w:lastRenderedPageBreak/>
        <w:t>P</w:t>
      </w:r>
      <w:r w:rsidR="003D4249" w:rsidRPr="006F7519">
        <w:rPr>
          <w:rFonts w:eastAsia="MS Mincho"/>
          <w:b/>
          <w:szCs w:val="24"/>
          <w:lang w:val="it-IT"/>
        </w:rPr>
        <w:t>I 6.d:</w:t>
      </w:r>
      <w:r w:rsidR="0062067A" w:rsidRPr="006F7519">
        <w:rPr>
          <w:rFonts w:eastAsia="Times New Roman"/>
          <w:szCs w:val="24"/>
          <w:lang w:val="it-IT"/>
        </w:rPr>
        <w:t>Pr</w:t>
      </w:r>
      <w:r w:rsidR="001310E0" w:rsidRPr="006F7519">
        <w:rPr>
          <w:rFonts w:eastAsia="Times New Roman"/>
          <w:szCs w:val="24"/>
          <w:lang w:val="it-IT"/>
        </w:rPr>
        <w:t xml:space="preserve">otejarea și refacerea biodiversității și a solurilor, precum și promovarea unor servicii ecosistemice, inclusiv prin Natura 2000 și infrastructuri ecologice; </w:t>
      </w:r>
    </w:p>
    <w:p w:rsidR="006D0174" w:rsidRPr="006F7519" w:rsidRDefault="006D0174" w:rsidP="006D0174">
      <w:pPr>
        <w:spacing w:before="60" w:after="0"/>
        <w:ind w:left="2160"/>
        <w:rPr>
          <w:rFonts w:eastAsia="Times New Roman"/>
          <w:szCs w:val="24"/>
          <w:lang w:val="it-IT"/>
        </w:rPr>
      </w:pPr>
    </w:p>
    <w:p w:rsidR="003D4249" w:rsidRPr="005F3ABE" w:rsidRDefault="006D0174" w:rsidP="006D0174">
      <w:pPr>
        <w:spacing w:before="60" w:after="0"/>
        <w:rPr>
          <w:rFonts w:eastAsia="MS Mincho"/>
          <w:b/>
          <w:szCs w:val="24"/>
          <w:lang w:val="en-US"/>
        </w:rPr>
      </w:pPr>
      <w:r w:rsidRPr="00090BB3">
        <w:rPr>
          <w:rFonts w:eastAsia="MS Mincho"/>
          <w:b/>
          <w:szCs w:val="24"/>
          <w:lang w:val="en-US"/>
        </w:rPr>
        <w:t xml:space="preserve">Obiectiv Tematic </w:t>
      </w:r>
      <w:r w:rsidR="003D4249" w:rsidRPr="001310E0">
        <w:rPr>
          <w:rFonts w:eastAsia="MS Mincho"/>
          <w:b/>
          <w:szCs w:val="24"/>
          <w:lang w:val="en-US"/>
        </w:rPr>
        <w:t xml:space="preserve">7: </w:t>
      </w:r>
      <w:r w:rsidR="005F3ABE" w:rsidRPr="001310E0">
        <w:rPr>
          <w:rFonts w:eastAsia="MS Mincho"/>
          <w:b/>
          <w:szCs w:val="24"/>
          <w:lang w:val="en-US"/>
        </w:rPr>
        <w:t xml:space="preserve">Promovarea sistemelor de transport durabile și eliminarea </w:t>
      </w:r>
      <w:r w:rsidR="005F3ABE" w:rsidRPr="005F3ABE">
        <w:rPr>
          <w:rFonts w:eastAsia="MS Mincho"/>
          <w:b/>
          <w:szCs w:val="24"/>
          <w:lang w:val="en-US"/>
        </w:rPr>
        <w:t xml:space="preserve">blocajelor din cadrul infrastructurilor rețelelor majore; </w:t>
      </w:r>
    </w:p>
    <w:p w:rsidR="003D4249" w:rsidRPr="006F7519" w:rsidRDefault="003D3F7E" w:rsidP="00C2513E">
      <w:pPr>
        <w:numPr>
          <w:ilvl w:val="1"/>
          <w:numId w:val="3"/>
        </w:numPr>
        <w:spacing w:before="60" w:after="0"/>
        <w:rPr>
          <w:rFonts w:eastAsia="Times New Roman"/>
          <w:szCs w:val="24"/>
          <w:lang w:val="it-IT"/>
        </w:rPr>
      </w:pPr>
      <w:r w:rsidRPr="006F7519">
        <w:rPr>
          <w:rFonts w:eastAsia="MS Mincho"/>
          <w:b/>
          <w:szCs w:val="24"/>
          <w:lang w:val="it-IT"/>
        </w:rPr>
        <w:t>PI</w:t>
      </w:r>
      <w:r w:rsidR="003D4249" w:rsidRPr="006F7519">
        <w:rPr>
          <w:rFonts w:eastAsia="MS Mincho"/>
          <w:b/>
          <w:szCs w:val="24"/>
          <w:lang w:val="it-IT"/>
        </w:rPr>
        <w:t xml:space="preserve"> 7b:</w:t>
      </w:r>
      <w:r w:rsidR="001310E0" w:rsidRPr="006F7519">
        <w:rPr>
          <w:rFonts w:eastAsia="MS Mincho"/>
          <w:szCs w:val="24"/>
          <w:lang w:val="it-IT"/>
        </w:rPr>
        <w:t xml:space="preserve">stimularea mobilității regionale prin conectarea nodurilor secundare și terțiare la infrastructura TEN-T, inclusiv a nodurilor multimodale; </w:t>
      </w:r>
    </w:p>
    <w:p w:rsidR="001310E0" w:rsidRPr="006F7519" w:rsidRDefault="003D4249" w:rsidP="001310E0">
      <w:pPr>
        <w:numPr>
          <w:ilvl w:val="1"/>
          <w:numId w:val="3"/>
        </w:numPr>
        <w:spacing w:before="60" w:after="0"/>
        <w:rPr>
          <w:rFonts w:eastAsia="MS Mincho"/>
          <w:szCs w:val="24"/>
          <w:lang w:val="it-IT"/>
        </w:rPr>
      </w:pPr>
      <w:r w:rsidRPr="006F7519">
        <w:rPr>
          <w:rFonts w:eastAsia="MS Mincho"/>
          <w:b/>
          <w:szCs w:val="24"/>
          <w:lang w:val="it-IT"/>
        </w:rPr>
        <w:t>P</w:t>
      </w:r>
      <w:r w:rsidR="003D3F7E" w:rsidRPr="006F7519">
        <w:rPr>
          <w:rFonts w:eastAsia="MS Mincho"/>
          <w:b/>
          <w:szCs w:val="24"/>
          <w:lang w:val="it-IT"/>
        </w:rPr>
        <w:t>I</w:t>
      </w:r>
      <w:r w:rsidRPr="006F7519">
        <w:rPr>
          <w:rFonts w:eastAsia="MS Mincho"/>
          <w:b/>
          <w:szCs w:val="24"/>
          <w:lang w:val="it-IT"/>
        </w:rPr>
        <w:t xml:space="preserve"> 7c:</w:t>
      </w:r>
      <w:r w:rsidR="001310E0" w:rsidRPr="006F7519">
        <w:rPr>
          <w:rFonts w:eastAsia="MS Mincho"/>
          <w:szCs w:val="24"/>
          <w:lang w:val="it-IT"/>
        </w:rPr>
        <w:t xml:space="preserve">dezvoltarea și îmbunătățirea unor sisteme de transport care respectă mediul, inclusiv a celor cu zgomot redus, și care au emisii reduse de carbon, inclusiv a căilor navigabile interioare și a sistemelor de transport maritim, a porturilor, a legăturilor multimodale și infrastructurilor aeroportuare, cu scopul de a promova mobilitatea durabilă la nivel regional și local; </w:t>
      </w:r>
    </w:p>
    <w:p w:rsidR="006D0174" w:rsidRPr="006F7519" w:rsidRDefault="006D0174" w:rsidP="006D0174">
      <w:pPr>
        <w:spacing w:before="60" w:after="0"/>
        <w:rPr>
          <w:rFonts w:eastAsia="MS Mincho"/>
          <w:szCs w:val="24"/>
          <w:lang w:val="it-IT"/>
        </w:rPr>
      </w:pPr>
    </w:p>
    <w:p w:rsidR="003D4249" w:rsidRPr="006F7519" w:rsidRDefault="006D0174" w:rsidP="006D0174">
      <w:pPr>
        <w:spacing w:before="60" w:after="0"/>
        <w:rPr>
          <w:rFonts w:eastAsia="MS Mincho"/>
          <w:b/>
          <w:szCs w:val="24"/>
          <w:lang w:val="it-IT"/>
        </w:rPr>
      </w:pPr>
      <w:r w:rsidRPr="006F7519">
        <w:rPr>
          <w:rFonts w:eastAsia="MS Mincho"/>
          <w:b/>
          <w:szCs w:val="24"/>
          <w:lang w:val="it-IT"/>
        </w:rPr>
        <w:t xml:space="preserve">Obiectiv Tematic </w:t>
      </w:r>
      <w:r w:rsidR="003D4249" w:rsidRPr="006F7519">
        <w:rPr>
          <w:rFonts w:eastAsia="MS Mincho"/>
          <w:b/>
          <w:szCs w:val="24"/>
          <w:lang w:val="it-IT"/>
        </w:rPr>
        <w:t xml:space="preserve">8: </w:t>
      </w:r>
      <w:r w:rsidR="00483AF4" w:rsidRPr="006F7519">
        <w:rPr>
          <w:rFonts w:eastAsia="MS Mincho"/>
          <w:b/>
          <w:szCs w:val="24"/>
          <w:lang w:val="it-IT"/>
        </w:rPr>
        <w:t>P</w:t>
      </w:r>
      <w:r w:rsidR="005F3ABE" w:rsidRPr="006F7519">
        <w:rPr>
          <w:rFonts w:eastAsia="MS Mincho"/>
          <w:b/>
          <w:szCs w:val="24"/>
          <w:lang w:val="it-IT"/>
        </w:rPr>
        <w:t>romovarea sustenabilității și calității locurilor de muncă și sprijinirea mobilității forței de muncă;</w:t>
      </w:r>
    </w:p>
    <w:p w:rsidR="003D4249" w:rsidRPr="006F7519" w:rsidRDefault="003D4249" w:rsidP="00730910">
      <w:pPr>
        <w:numPr>
          <w:ilvl w:val="1"/>
          <w:numId w:val="3"/>
        </w:numPr>
        <w:spacing w:before="60" w:after="0"/>
        <w:rPr>
          <w:rFonts w:eastAsia="MS Mincho"/>
          <w:szCs w:val="24"/>
          <w:lang w:val="it-IT"/>
        </w:rPr>
      </w:pPr>
      <w:r w:rsidRPr="006F7519">
        <w:rPr>
          <w:rFonts w:eastAsia="MS Mincho"/>
          <w:b/>
          <w:szCs w:val="24"/>
          <w:lang w:val="it-IT"/>
        </w:rPr>
        <w:t>P</w:t>
      </w:r>
      <w:r w:rsidR="003D3F7E" w:rsidRPr="006F7519">
        <w:rPr>
          <w:rFonts w:eastAsia="MS Mincho"/>
          <w:b/>
          <w:szCs w:val="24"/>
          <w:lang w:val="it-IT"/>
        </w:rPr>
        <w:t>I</w:t>
      </w:r>
      <w:r w:rsidRPr="006F7519">
        <w:rPr>
          <w:rFonts w:eastAsia="MS Mincho"/>
          <w:b/>
          <w:szCs w:val="24"/>
          <w:lang w:val="it-IT"/>
        </w:rPr>
        <w:t xml:space="preserve"> 8. i</w:t>
      </w:r>
      <w:r w:rsidRPr="006F7519">
        <w:rPr>
          <w:rFonts w:eastAsia="MS Mincho"/>
          <w:szCs w:val="24"/>
          <w:lang w:val="it-IT"/>
        </w:rPr>
        <w:t xml:space="preserve">: </w:t>
      </w:r>
      <w:r w:rsidR="00730910" w:rsidRPr="006F7519">
        <w:rPr>
          <w:rFonts w:eastAsia="MS Mincho"/>
          <w:szCs w:val="24"/>
          <w:lang w:val="it-IT"/>
        </w:rPr>
        <w:t>Promovarea sustenabilității și calității locurilor de muncă și sprijinirea mobilității forței de muncă prin integrarea piețelor forței de muncă transfrontaliere, inclusiv mobilitatea transfrontalieră, inițiativele comune locale în domeniul ocupării forței de muncă, servicii de informare și de consiliere și formarea comună</w:t>
      </w:r>
    </w:p>
    <w:p w:rsidR="006D0174" w:rsidRPr="006F7519" w:rsidRDefault="006D0174" w:rsidP="006D0174">
      <w:pPr>
        <w:spacing w:before="60" w:after="0"/>
        <w:ind w:left="1800"/>
        <w:rPr>
          <w:rFonts w:eastAsia="MS Mincho"/>
          <w:szCs w:val="24"/>
          <w:lang w:val="it-IT"/>
        </w:rPr>
      </w:pPr>
    </w:p>
    <w:p w:rsidR="003D4249" w:rsidRPr="006F7519" w:rsidRDefault="006D0174" w:rsidP="006D0174">
      <w:pPr>
        <w:spacing w:before="60" w:after="0"/>
        <w:rPr>
          <w:rFonts w:eastAsia="MS Mincho"/>
          <w:b/>
          <w:szCs w:val="24"/>
          <w:lang w:val="it-IT"/>
        </w:rPr>
      </w:pPr>
      <w:r w:rsidRPr="006F7519">
        <w:rPr>
          <w:rFonts w:eastAsia="MS Mincho"/>
          <w:b/>
          <w:szCs w:val="24"/>
          <w:lang w:val="it-IT"/>
        </w:rPr>
        <w:t xml:space="preserve">Obiectiv Tematic </w:t>
      </w:r>
      <w:r w:rsidR="003D4249" w:rsidRPr="006F7519">
        <w:rPr>
          <w:rFonts w:eastAsia="MS Mincho"/>
          <w:b/>
          <w:szCs w:val="24"/>
          <w:lang w:val="it-IT"/>
        </w:rPr>
        <w:t xml:space="preserve">11: </w:t>
      </w:r>
      <w:r w:rsidR="00F31E2B" w:rsidRPr="006F7519">
        <w:rPr>
          <w:rFonts w:eastAsia="MS Mincho"/>
          <w:b/>
          <w:szCs w:val="24"/>
          <w:lang w:val="it-IT"/>
        </w:rPr>
        <w:t>C</w:t>
      </w:r>
      <w:r w:rsidR="008F54C0" w:rsidRPr="006F7519">
        <w:rPr>
          <w:rFonts w:eastAsia="MS Mincho"/>
          <w:b/>
          <w:szCs w:val="24"/>
          <w:lang w:val="it-IT"/>
        </w:rPr>
        <w:t>onsolidarea capacității</w:t>
      </w:r>
      <w:r w:rsidR="00F31E2B" w:rsidRPr="006F7519">
        <w:rPr>
          <w:rFonts w:eastAsia="MS Mincho"/>
          <w:b/>
          <w:szCs w:val="24"/>
          <w:lang w:val="it-IT"/>
        </w:rPr>
        <w:t xml:space="preserve"> instituționale a autorităților </w:t>
      </w:r>
      <w:r w:rsidR="008F54C0" w:rsidRPr="006F7519">
        <w:rPr>
          <w:rFonts w:eastAsia="MS Mincho"/>
          <w:b/>
          <w:szCs w:val="24"/>
          <w:lang w:val="it-IT"/>
        </w:rPr>
        <w:t>publice și a persoanelor interesate și a unei administrații publice eficiente prin acțiuni menite</w:t>
      </w:r>
      <w:r w:rsidR="00F31E2B" w:rsidRPr="006F7519">
        <w:rPr>
          <w:rFonts w:eastAsia="MS Mincho"/>
          <w:b/>
          <w:szCs w:val="24"/>
          <w:lang w:val="it-IT"/>
        </w:rPr>
        <w:t xml:space="preserve"> să dezvolte capacitatea insti</w:t>
      </w:r>
      <w:r w:rsidR="008F54C0" w:rsidRPr="006F7519">
        <w:rPr>
          <w:rFonts w:eastAsia="MS Mincho"/>
          <w:b/>
          <w:szCs w:val="24"/>
          <w:lang w:val="it-IT"/>
        </w:rPr>
        <w:t>tuțională și eficiența</w:t>
      </w:r>
      <w:r w:rsidR="007D66BD" w:rsidRPr="006F7519">
        <w:rPr>
          <w:rFonts w:eastAsia="MS Mincho"/>
          <w:b/>
          <w:szCs w:val="24"/>
          <w:lang w:val="it-IT"/>
        </w:rPr>
        <w:t xml:space="preserve"> a</w:t>
      </w:r>
      <w:r w:rsidR="008F54C0" w:rsidRPr="006F7519">
        <w:rPr>
          <w:rFonts w:eastAsia="MS Mincho"/>
          <w:b/>
          <w:szCs w:val="24"/>
          <w:lang w:val="it-IT"/>
        </w:rPr>
        <w:t xml:space="preserve"> administrațiilor și serviciilor publice vizate de implementarea FEDR, precum și prin sprijinirea acțiunilor din cadrul FSE de c</w:t>
      </w:r>
      <w:r w:rsidR="00F31E2B" w:rsidRPr="006F7519">
        <w:rPr>
          <w:rFonts w:eastAsia="MS Mincho"/>
          <w:b/>
          <w:szCs w:val="24"/>
          <w:lang w:val="it-IT"/>
        </w:rPr>
        <w:t>onsolidare a capacității insti</w:t>
      </w:r>
      <w:r w:rsidR="008F54C0" w:rsidRPr="006F7519">
        <w:rPr>
          <w:rFonts w:eastAsia="MS Mincho"/>
          <w:b/>
          <w:szCs w:val="24"/>
          <w:lang w:val="it-IT"/>
        </w:rPr>
        <w:t xml:space="preserve">tuționale și a eficienței administrației publice. </w:t>
      </w:r>
    </w:p>
    <w:p w:rsidR="003D4249" w:rsidRPr="006F7519" w:rsidRDefault="003D4249" w:rsidP="00C2513E">
      <w:pPr>
        <w:numPr>
          <w:ilvl w:val="1"/>
          <w:numId w:val="3"/>
        </w:numPr>
        <w:spacing w:before="60" w:after="0"/>
        <w:rPr>
          <w:rFonts w:eastAsia="MS Mincho"/>
          <w:szCs w:val="24"/>
          <w:lang w:val="it-IT"/>
        </w:rPr>
      </w:pPr>
      <w:r w:rsidRPr="006F7519">
        <w:rPr>
          <w:rFonts w:eastAsia="MS Mincho"/>
          <w:b/>
          <w:szCs w:val="24"/>
          <w:lang w:val="it-IT"/>
        </w:rPr>
        <w:t>P</w:t>
      </w:r>
      <w:r w:rsidR="003D3F7E" w:rsidRPr="006F7519">
        <w:rPr>
          <w:rFonts w:eastAsia="MS Mincho"/>
          <w:b/>
          <w:szCs w:val="24"/>
          <w:lang w:val="it-IT"/>
        </w:rPr>
        <w:t>I</w:t>
      </w:r>
      <w:r w:rsidRPr="006F7519">
        <w:rPr>
          <w:rFonts w:eastAsia="MS Mincho"/>
          <w:b/>
          <w:szCs w:val="24"/>
          <w:lang w:val="it-IT"/>
        </w:rPr>
        <w:t xml:space="preserve"> 11.iv</w:t>
      </w:r>
      <w:r w:rsidRPr="006F7519">
        <w:rPr>
          <w:rFonts w:eastAsia="MS Mincho"/>
          <w:szCs w:val="24"/>
          <w:lang w:val="it-IT"/>
        </w:rPr>
        <w:t xml:space="preserve">: </w:t>
      </w:r>
      <w:r w:rsidR="00730910" w:rsidRPr="006F7519">
        <w:rPr>
          <w:rFonts w:eastAsia="MS Mincho"/>
          <w:szCs w:val="24"/>
          <w:lang w:val="it-IT"/>
        </w:rPr>
        <w:t>consolidarea capacității instituționale a autorităților publice și a părților interesate și o administrație publică eficientă prin promovarea cooperării juridice și administrative și a cooperării între cetățeni și instituții</w:t>
      </w:r>
    </w:p>
    <w:p w:rsidR="009B2891" w:rsidRPr="006A1A44" w:rsidRDefault="006A1A44" w:rsidP="00BB624D">
      <w:pPr>
        <w:rPr>
          <w:szCs w:val="24"/>
          <w:highlight w:val="red"/>
          <w:lang w:val="fr-FR"/>
        </w:rPr>
      </w:pPr>
      <w:r w:rsidRPr="006F7519">
        <w:rPr>
          <w:szCs w:val="24"/>
          <w:lang w:val="it-IT"/>
        </w:rPr>
        <w:t>Obiectivele tematice (</w:t>
      </w:r>
      <w:r w:rsidR="00E84BFF" w:rsidRPr="006F7519">
        <w:rPr>
          <w:szCs w:val="24"/>
          <w:lang w:val="it-IT"/>
        </w:rPr>
        <w:t>O</w:t>
      </w:r>
      <w:r w:rsidRPr="006F7519">
        <w:rPr>
          <w:szCs w:val="24"/>
          <w:lang w:val="it-IT"/>
        </w:rPr>
        <w:t>T)</w:t>
      </w:r>
      <w:r w:rsidR="00E84BFF" w:rsidRPr="006F7519">
        <w:rPr>
          <w:szCs w:val="24"/>
          <w:lang w:val="it-IT"/>
        </w:rPr>
        <w:t xml:space="preserve"> selectate au fost traduse în cinci axe prioritare, care reflectă nevoile şi provocările identificate în analiza teritorială a zonei transfrontaliere. </w:t>
      </w:r>
      <w:r w:rsidR="00E84BFF" w:rsidRPr="006A1A44">
        <w:rPr>
          <w:szCs w:val="24"/>
          <w:lang w:val="fr-FR"/>
        </w:rPr>
        <w:t>Pentru fiecare</w:t>
      </w:r>
      <w:r>
        <w:rPr>
          <w:szCs w:val="24"/>
          <w:lang w:val="fr-FR"/>
        </w:rPr>
        <w:t>p</w:t>
      </w:r>
      <w:r w:rsidRPr="006A1A44">
        <w:rPr>
          <w:szCs w:val="24"/>
          <w:lang w:val="fr-FR"/>
        </w:rPr>
        <w:t>rioritate de investiții</w:t>
      </w:r>
      <w:r>
        <w:rPr>
          <w:szCs w:val="24"/>
          <w:lang w:val="fr-FR"/>
        </w:rPr>
        <w:t>(</w:t>
      </w:r>
      <w:r w:rsidR="00E84BFF" w:rsidRPr="006A1A44">
        <w:rPr>
          <w:szCs w:val="24"/>
          <w:lang w:val="fr-FR"/>
        </w:rPr>
        <w:t>PI</w:t>
      </w:r>
      <w:proofErr w:type="gramStart"/>
      <w:r>
        <w:rPr>
          <w:szCs w:val="24"/>
          <w:lang w:val="fr-FR"/>
        </w:rPr>
        <w:t>)</w:t>
      </w:r>
      <w:r w:rsidRPr="006A1A44">
        <w:rPr>
          <w:szCs w:val="24"/>
          <w:lang w:val="fr-FR"/>
        </w:rPr>
        <w:t>au</w:t>
      </w:r>
      <w:proofErr w:type="gramEnd"/>
      <w:r w:rsidRPr="006A1A44">
        <w:rPr>
          <w:szCs w:val="24"/>
          <w:lang w:val="fr-FR"/>
        </w:rPr>
        <w:t xml:space="preserve"> fost definite obiective specific</w:t>
      </w:r>
      <w:r>
        <w:rPr>
          <w:szCs w:val="24"/>
          <w:lang w:val="fr-FR"/>
        </w:rPr>
        <w:t>e</w:t>
      </w:r>
      <w:r w:rsidRPr="006A1A44">
        <w:rPr>
          <w:szCs w:val="24"/>
          <w:lang w:val="fr-FR"/>
        </w:rPr>
        <w:t xml:space="preserve"> (OS).</w:t>
      </w:r>
    </w:p>
    <w:p w:rsidR="009D6E69" w:rsidRPr="006A1A44" w:rsidRDefault="009D6E69" w:rsidP="003D3F7E">
      <w:pPr>
        <w:pStyle w:val="Heading2"/>
        <w:rPr>
          <w:lang w:val="fr-FR"/>
        </w:rPr>
        <w:sectPr w:rsidR="009D6E69" w:rsidRPr="006A1A44" w:rsidSect="00523803">
          <w:headerReference w:type="default" r:id="rId22"/>
          <w:footerReference w:type="default" r:id="rId23"/>
          <w:pgSz w:w="11906" w:h="16838"/>
          <w:pgMar w:top="1021" w:right="1418" w:bottom="1021" w:left="1418" w:header="454" w:footer="624" w:gutter="0"/>
          <w:cols w:space="708"/>
          <w:docGrid w:linePitch="326"/>
        </w:sectPr>
      </w:pPr>
    </w:p>
    <w:p w:rsidR="00A77C97" w:rsidRPr="00376C40" w:rsidRDefault="00582784" w:rsidP="003D3F7E">
      <w:pPr>
        <w:pStyle w:val="Heading2"/>
        <w:rPr>
          <w:lang w:val="fr-FR"/>
        </w:rPr>
      </w:pPr>
      <w:bookmarkStart w:id="11" w:name="_Toc394837747"/>
      <w:r w:rsidRPr="00376C40">
        <w:rPr>
          <w:lang w:val="fr-FR"/>
        </w:rPr>
        <w:lastRenderedPageBreak/>
        <w:t xml:space="preserve">1.1.2. </w:t>
      </w:r>
      <w:r w:rsidR="00FA72D0" w:rsidRPr="00376C40">
        <w:rPr>
          <w:lang w:val="fr-FR"/>
        </w:rPr>
        <w:t>Justificarea selectării obiectivelor tematice și a priorităților de investiții corespunzătoare, luând în considerare cadrul strategic comun, pe baza unei analize a necesităților în domeniul programului în integralitatea sa și a strategiei selectate ca răspuns la aceste necesități, abordând, după caz, legăturile lipsă din infrastructura transfrontalieră, ținând cont de rezultatele evaluării ex-ante</w:t>
      </w:r>
      <w:bookmarkEnd w:id="11"/>
    </w:p>
    <w:p w:rsidR="006B7F12" w:rsidRPr="006F7519" w:rsidRDefault="00F21429" w:rsidP="0053489F">
      <w:pPr>
        <w:pStyle w:val="Heading2"/>
        <w:rPr>
          <w:lang w:val="it-IT" w:eastAsia="fr-BE"/>
        </w:rPr>
      </w:pPr>
      <w:bookmarkStart w:id="12" w:name="_Toc394837748"/>
      <w:r w:rsidRPr="006F7519">
        <w:rPr>
          <w:lang w:val="it-IT" w:eastAsia="fr-BE"/>
        </w:rPr>
        <w:t>Tab</w:t>
      </w:r>
      <w:r w:rsidR="006B7F12" w:rsidRPr="006F7519">
        <w:rPr>
          <w:lang w:val="it-IT" w:eastAsia="fr-BE"/>
        </w:rPr>
        <w:t>el</w:t>
      </w:r>
      <w:r w:rsidR="00A77C97" w:rsidRPr="006F7519">
        <w:rPr>
          <w:lang w:val="it-IT" w:eastAsia="fr-BE"/>
        </w:rPr>
        <w:t>ul</w:t>
      </w:r>
      <w:r w:rsidRPr="006F7519">
        <w:rPr>
          <w:lang w:val="it-IT" w:eastAsia="fr-BE"/>
        </w:rPr>
        <w:t xml:space="preserve"> 1: </w:t>
      </w:r>
      <w:r w:rsidR="00FA72D0" w:rsidRPr="006F7519">
        <w:rPr>
          <w:lang w:val="it-IT" w:eastAsia="fr-BE"/>
        </w:rPr>
        <w:t>Justificare pentru selectarea obiectivelor tematice și a priorităților de investiții</w:t>
      </w:r>
      <w:bookmarkEnd w:id="12"/>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3515"/>
        <w:gridCol w:w="4824"/>
      </w:tblGrid>
      <w:tr w:rsidR="00F21429" w:rsidRPr="0093349A" w:rsidTr="006B7F12">
        <w:trPr>
          <w:trHeight w:val="482"/>
          <w:jc w:val="center"/>
        </w:trPr>
        <w:tc>
          <w:tcPr>
            <w:tcW w:w="2713" w:type="dxa"/>
            <w:tcBorders>
              <w:top w:val="single" w:sz="4" w:space="0" w:color="auto"/>
              <w:left w:val="single" w:sz="4" w:space="0" w:color="auto"/>
              <w:bottom w:val="single" w:sz="4" w:space="0" w:color="auto"/>
              <w:right w:val="single" w:sz="4" w:space="0" w:color="auto"/>
            </w:tcBorders>
            <w:hideMark/>
          </w:tcPr>
          <w:p w:rsidR="000D4AD6" w:rsidRPr="0093349A" w:rsidRDefault="000D4AD6" w:rsidP="000D4AD6">
            <w:pPr>
              <w:spacing w:before="60" w:after="0"/>
              <w:jc w:val="left"/>
              <w:rPr>
                <w:rFonts w:eastAsia="Times New Roman"/>
                <w:b/>
                <w:szCs w:val="24"/>
                <w:lang w:val="en-US" w:eastAsia="fr-BE"/>
              </w:rPr>
            </w:pPr>
            <w:r w:rsidRPr="0093349A">
              <w:rPr>
                <w:rFonts w:eastAsia="Times New Roman"/>
                <w:b/>
                <w:szCs w:val="24"/>
                <w:lang w:val="en-US" w:eastAsia="fr-BE"/>
              </w:rPr>
              <w:t xml:space="preserve">Obiectiv tematic </w:t>
            </w:r>
          </w:p>
          <w:p w:rsidR="000D4AD6" w:rsidRPr="0093349A" w:rsidRDefault="00006EB2" w:rsidP="000D4AD6">
            <w:pPr>
              <w:spacing w:before="60" w:after="0"/>
              <w:jc w:val="left"/>
              <w:rPr>
                <w:rFonts w:eastAsia="Times New Roman"/>
                <w:b/>
                <w:szCs w:val="24"/>
                <w:lang w:val="en-US" w:eastAsia="fr-BE"/>
              </w:rPr>
            </w:pPr>
            <w:r w:rsidRPr="0093349A">
              <w:rPr>
                <w:rFonts w:eastAsia="Times New Roman"/>
                <w:b/>
                <w:szCs w:val="24"/>
                <w:lang w:val="en-US" w:eastAsia="fr-BE"/>
              </w:rPr>
              <w:t>s</w:t>
            </w:r>
            <w:r w:rsidR="000D4AD6" w:rsidRPr="0093349A">
              <w:rPr>
                <w:rFonts w:eastAsia="Times New Roman"/>
                <w:b/>
                <w:szCs w:val="24"/>
                <w:lang w:val="en-US" w:eastAsia="fr-BE"/>
              </w:rPr>
              <w:t xml:space="preserve">electat </w:t>
            </w:r>
          </w:p>
          <w:p w:rsidR="00F21429" w:rsidRPr="0093349A" w:rsidRDefault="00F21429" w:rsidP="00F21429">
            <w:pPr>
              <w:spacing w:before="60" w:after="0"/>
              <w:jc w:val="left"/>
              <w:rPr>
                <w:rFonts w:eastAsia="Times New Roman"/>
                <w:b/>
                <w:szCs w:val="24"/>
                <w:lang w:val="en-US" w:eastAsia="fr-BE"/>
              </w:rPr>
            </w:pPr>
          </w:p>
        </w:tc>
        <w:tc>
          <w:tcPr>
            <w:tcW w:w="3515" w:type="dxa"/>
            <w:tcBorders>
              <w:top w:val="single" w:sz="4" w:space="0" w:color="auto"/>
              <w:left w:val="single" w:sz="4" w:space="0" w:color="auto"/>
              <w:bottom w:val="single" w:sz="4" w:space="0" w:color="auto"/>
              <w:right w:val="single" w:sz="4" w:space="0" w:color="auto"/>
            </w:tcBorders>
            <w:hideMark/>
          </w:tcPr>
          <w:p w:rsidR="00F21429" w:rsidRPr="0093349A" w:rsidRDefault="000D4AD6" w:rsidP="00F21429">
            <w:pPr>
              <w:spacing w:before="60" w:after="0"/>
              <w:jc w:val="left"/>
              <w:rPr>
                <w:rFonts w:eastAsia="Times New Roman"/>
                <w:b/>
                <w:szCs w:val="24"/>
                <w:lang w:val="en-US" w:eastAsia="fr-BE"/>
              </w:rPr>
            </w:pPr>
            <w:r w:rsidRPr="0093349A">
              <w:rPr>
                <w:rFonts w:eastAsia="Times New Roman"/>
                <w:b/>
                <w:bCs/>
                <w:szCs w:val="24"/>
                <w:lang w:val="en-US" w:eastAsia="fr-BE"/>
              </w:rPr>
              <w:t>Prioritatea de investiții selectată</w:t>
            </w:r>
          </w:p>
        </w:tc>
        <w:tc>
          <w:tcPr>
            <w:tcW w:w="4824" w:type="dxa"/>
            <w:tcBorders>
              <w:top w:val="single" w:sz="4" w:space="0" w:color="auto"/>
              <w:left w:val="single" w:sz="4" w:space="0" w:color="auto"/>
              <w:bottom w:val="single" w:sz="4" w:space="0" w:color="auto"/>
              <w:right w:val="single" w:sz="4" w:space="0" w:color="auto"/>
            </w:tcBorders>
            <w:hideMark/>
          </w:tcPr>
          <w:p w:rsidR="00F21429" w:rsidRPr="0093349A" w:rsidRDefault="009B147B" w:rsidP="00F21429">
            <w:pPr>
              <w:spacing w:before="60" w:after="0"/>
              <w:jc w:val="left"/>
              <w:rPr>
                <w:rFonts w:eastAsia="Times New Roman"/>
                <w:b/>
                <w:szCs w:val="24"/>
                <w:lang w:val="en-US" w:eastAsia="fr-BE"/>
              </w:rPr>
            </w:pPr>
            <w:r w:rsidRPr="0093349A">
              <w:rPr>
                <w:rFonts w:eastAsia="Times New Roman"/>
                <w:b/>
                <w:bCs/>
                <w:szCs w:val="24"/>
                <w:lang w:val="en-US" w:eastAsia="fr-BE"/>
              </w:rPr>
              <w:t>Justificarea selectării</w:t>
            </w:r>
          </w:p>
        </w:tc>
      </w:tr>
      <w:tr w:rsidR="00F21429" w:rsidRPr="00A158A9" w:rsidTr="006B7F12">
        <w:trPr>
          <w:trHeight w:val="676"/>
          <w:jc w:val="center"/>
        </w:trPr>
        <w:tc>
          <w:tcPr>
            <w:tcW w:w="2713" w:type="dxa"/>
            <w:tcBorders>
              <w:top w:val="single" w:sz="4" w:space="0" w:color="auto"/>
              <w:left w:val="single" w:sz="4" w:space="0" w:color="auto"/>
              <w:bottom w:val="single" w:sz="4" w:space="0" w:color="auto"/>
              <w:right w:val="single" w:sz="4" w:space="0" w:color="auto"/>
            </w:tcBorders>
            <w:hideMark/>
          </w:tcPr>
          <w:p w:rsidR="00006EB2" w:rsidRPr="006F7519" w:rsidRDefault="00006EB2" w:rsidP="00006EB2">
            <w:pPr>
              <w:spacing w:before="60" w:after="0"/>
              <w:jc w:val="left"/>
              <w:rPr>
                <w:rFonts w:eastAsia="Times New Roman"/>
                <w:b/>
                <w:szCs w:val="24"/>
                <w:lang w:val="it-IT"/>
              </w:rPr>
            </w:pPr>
            <w:r w:rsidRPr="006F7519">
              <w:rPr>
                <w:rFonts w:eastAsia="Times New Roman"/>
                <w:b/>
                <w:szCs w:val="24"/>
                <w:lang w:val="it-IT"/>
              </w:rPr>
              <w:t xml:space="preserve">Obiectiv Tematic 5: Promovarea adaptării la schimbările climatice, a prevenirii </w:t>
            </w:r>
          </w:p>
          <w:p w:rsidR="00F21429" w:rsidRPr="0093349A" w:rsidRDefault="00006EB2" w:rsidP="00006EB2">
            <w:pPr>
              <w:spacing w:before="60" w:after="0"/>
              <w:jc w:val="left"/>
              <w:rPr>
                <w:rFonts w:eastAsia="Times New Roman"/>
                <w:szCs w:val="24"/>
                <w:lang w:val="en-US"/>
              </w:rPr>
            </w:pPr>
            <w:r w:rsidRPr="0093349A">
              <w:rPr>
                <w:rFonts w:eastAsia="Times New Roman"/>
                <w:b/>
                <w:szCs w:val="24"/>
                <w:lang w:val="en-US"/>
              </w:rPr>
              <w:t>și a gestionării riscurilor</w:t>
            </w:r>
          </w:p>
        </w:tc>
        <w:tc>
          <w:tcPr>
            <w:tcW w:w="3515" w:type="dxa"/>
            <w:tcBorders>
              <w:top w:val="single" w:sz="4" w:space="0" w:color="auto"/>
              <w:left w:val="single" w:sz="4" w:space="0" w:color="auto"/>
              <w:bottom w:val="single" w:sz="4" w:space="0" w:color="auto"/>
              <w:right w:val="single" w:sz="4" w:space="0" w:color="auto"/>
            </w:tcBorders>
            <w:hideMark/>
          </w:tcPr>
          <w:p w:rsidR="00006EB2" w:rsidRPr="006F7519" w:rsidRDefault="003D3F7E" w:rsidP="00006EB2">
            <w:pPr>
              <w:spacing w:before="60" w:after="0"/>
              <w:jc w:val="left"/>
              <w:rPr>
                <w:rFonts w:eastAsia="Times New Roman"/>
                <w:szCs w:val="24"/>
                <w:lang w:val="it-IT" w:eastAsia="fr-BE"/>
              </w:rPr>
            </w:pPr>
            <w:r w:rsidRPr="006F7519">
              <w:rPr>
                <w:rFonts w:eastAsia="Times New Roman"/>
                <w:b/>
                <w:bCs/>
                <w:szCs w:val="24"/>
                <w:lang w:val="it-IT" w:eastAsia="fr-BE"/>
              </w:rPr>
              <w:t>PI</w:t>
            </w:r>
            <w:r w:rsidR="00006EB2" w:rsidRPr="006F7519">
              <w:rPr>
                <w:rFonts w:eastAsia="Times New Roman"/>
                <w:b/>
                <w:bCs/>
                <w:szCs w:val="24"/>
                <w:lang w:val="it-IT" w:eastAsia="fr-BE"/>
              </w:rPr>
              <w:t xml:space="preserve"> 5.b</w:t>
            </w:r>
            <w:r w:rsidR="00006EB2" w:rsidRPr="006F7519">
              <w:rPr>
                <w:rFonts w:eastAsia="Times New Roman"/>
                <w:bCs/>
                <w:szCs w:val="24"/>
                <w:lang w:val="it-IT" w:eastAsia="fr-BE"/>
              </w:rPr>
              <w:t>: P</w:t>
            </w:r>
            <w:r w:rsidR="00006EB2" w:rsidRPr="006F7519">
              <w:rPr>
                <w:rFonts w:eastAsia="Times New Roman"/>
                <w:szCs w:val="24"/>
                <w:lang w:val="it-IT" w:eastAsia="fr-BE"/>
              </w:rPr>
              <w:t xml:space="preserve">romovarea investițiilor destinate abordării unor riscuri specifice, asigurarea rezistenței în fața dezastrelor și dezvoltarea unor sisteme de gestionare a dezastrelor; </w:t>
            </w:r>
          </w:p>
          <w:p w:rsidR="00F21429" w:rsidRPr="006F7519" w:rsidRDefault="00F21429" w:rsidP="00F21429">
            <w:pPr>
              <w:spacing w:before="60" w:after="0"/>
              <w:jc w:val="left"/>
              <w:rPr>
                <w:rFonts w:eastAsia="Times New Roman"/>
                <w:szCs w:val="24"/>
                <w:lang w:val="it-IT" w:eastAsia="fr-BE"/>
              </w:rPr>
            </w:pPr>
          </w:p>
        </w:tc>
        <w:tc>
          <w:tcPr>
            <w:tcW w:w="4824" w:type="dxa"/>
            <w:tcBorders>
              <w:top w:val="single" w:sz="4" w:space="0" w:color="auto"/>
              <w:left w:val="single" w:sz="4" w:space="0" w:color="auto"/>
              <w:bottom w:val="single" w:sz="4" w:space="0" w:color="auto"/>
              <w:right w:val="single" w:sz="4" w:space="0" w:color="auto"/>
            </w:tcBorders>
            <w:hideMark/>
          </w:tcPr>
          <w:p w:rsidR="00A77C97" w:rsidRPr="00A77C97" w:rsidRDefault="00A77C97" w:rsidP="00A77C97">
            <w:pPr>
              <w:spacing w:before="60" w:after="0"/>
              <w:rPr>
                <w:rFonts w:eastAsia="Times New Roman"/>
                <w:i/>
                <w:szCs w:val="24"/>
                <w:lang w:val="fr-FR" w:eastAsia="fr-BE"/>
              </w:rPr>
            </w:pPr>
            <w:r w:rsidRPr="00A77C97">
              <w:rPr>
                <w:rFonts w:eastAsia="Times New Roman"/>
                <w:i/>
                <w:szCs w:val="24"/>
                <w:lang w:val="fr-FR" w:eastAsia="fr-BE"/>
              </w:rPr>
              <w:t>Necesitatea creşterii capacitãţii de adaptare a zonei transfrontaliere la schimbãrile climatice este legatã de efectele actuale şi viitoare ale acestora asupra acestei zone deja sensibile (unele dintre zonele cele mai expuse in ambele tari).</w:t>
            </w:r>
          </w:p>
          <w:p w:rsidR="00A77C97" w:rsidRPr="00A77C97" w:rsidRDefault="00A77C97" w:rsidP="00A77C97">
            <w:pPr>
              <w:spacing w:before="60" w:after="0"/>
              <w:rPr>
                <w:rFonts w:eastAsia="Times New Roman"/>
                <w:i/>
                <w:szCs w:val="24"/>
                <w:lang w:val="fr-FR" w:eastAsia="fr-BE"/>
              </w:rPr>
            </w:pPr>
            <w:r w:rsidRPr="00A77C97">
              <w:rPr>
                <w:rFonts w:eastAsia="Times New Roman"/>
                <w:i/>
                <w:szCs w:val="24"/>
                <w:lang w:val="fr-FR" w:eastAsia="fr-BE"/>
              </w:rPr>
              <w:t>Fenomene precum seceta, inundaţiile, eroziunile sau alunecãrile de teren pot conduce la pierderi de vieti omenesti si pot avea consecinţe negative asupra dezvoltãrii regiunii, în special pentru accesibilitatea sa, agric</w:t>
            </w:r>
            <w:r w:rsidR="006A1A44">
              <w:rPr>
                <w:rFonts w:eastAsia="Times New Roman"/>
                <w:i/>
                <w:szCs w:val="24"/>
                <w:lang w:val="fr-FR" w:eastAsia="fr-BE"/>
              </w:rPr>
              <w:t>ultura sa sau pentru turismul să</w:t>
            </w:r>
            <w:r w:rsidRPr="00A77C97">
              <w:rPr>
                <w:rFonts w:eastAsia="Times New Roman"/>
                <w:i/>
                <w:szCs w:val="24"/>
                <w:lang w:val="fr-FR" w:eastAsia="fr-BE"/>
              </w:rPr>
              <w:t xml:space="preserve">u. </w:t>
            </w:r>
          </w:p>
          <w:p w:rsidR="00A77C97" w:rsidRPr="00A77C97" w:rsidRDefault="00A77C97" w:rsidP="00A77C97">
            <w:pPr>
              <w:spacing w:before="60" w:after="0"/>
              <w:rPr>
                <w:rFonts w:eastAsia="Times New Roman"/>
                <w:i/>
                <w:szCs w:val="24"/>
                <w:lang w:val="fr-FR" w:eastAsia="fr-BE"/>
              </w:rPr>
            </w:pPr>
            <w:r w:rsidRPr="00A77C97">
              <w:rPr>
                <w:rFonts w:eastAsia="Times New Roman"/>
                <w:i/>
                <w:szCs w:val="24"/>
                <w:lang w:val="fr-FR" w:eastAsia="fr-BE"/>
              </w:rPr>
              <w:t>Astfel</w:t>
            </w:r>
            <w:r w:rsidR="007D66BD">
              <w:rPr>
                <w:rFonts w:eastAsia="Times New Roman"/>
                <w:i/>
                <w:szCs w:val="24"/>
                <w:lang w:val="fr-FR" w:eastAsia="fr-BE"/>
              </w:rPr>
              <w:t>,</w:t>
            </w:r>
            <w:r w:rsidRPr="00A77C97">
              <w:rPr>
                <w:rFonts w:eastAsia="Times New Roman"/>
                <w:i/>
                <w:szCs w:val="24"/>
                <w:lang w:val="fr-FR" w:eastAsia="fr-BE"/>
              </w:rPr>
              <w:t xml:space="preserve"> este o prioritate sã consolidãm planificarea comunã împreunã cu dezvoltarea şi implementarea acţiunilor preventive şi de management pentru a spori capacitatea </w:t>
            </w:r>
            <w:proofErr w:type="gramStart"/>
            <w:r w:rsidRPr="00A77C97">
              <w:rPr>
                <w:rFonts w:eastAsia="Times New Roman"/>
                <w:i/>
                <w:szCs w:val="24"/>
                <w:lang w:val="fr-FR" w:eastAsia="fr-BE"/>
              </w:rPr>
              <w:t>de atenuare</w:t>
            </w:r>
            <w:proofErr w:type="gramEnd"/>
            <w:r w:rsidRPr="00A77C97">
              <w:rPr>
                <w:rFonts w:eastAsia="Times New Roman"/>
                <w:i/>
                <w:szCs w:val="24"/>
                <w:lang w:val="fr-FR" w:eastAsia="fr-BE"/>
              </w:rPr>
              <w:t xml:space="preserve"> si adaptare la efectele negative mentionate mai sus in zona transfrontaliera. </w:t>
            </w:r>
          </w:p>
          <w:p w:rsidR="00F21429" w:rsidRPr="00A77C97" w:rsidRDefault="007D66BD" w:rsidP="00A77C97">
            <w:pPr>
              <w:spacing w:before="60" w:after="0"/>
              <w:rPr>
                <w:rFonts w:eastAsia="Times New Roman"/>
                <w:i/>
                <w:szCs w:val="24"/>
                <w:lang w:val="fr-FR" w:eastAsia="fr-BE"/>
              </w:rPr>
            </w:pPr>
            <w:r>
              <w:rPr>
                <w:rFonts w:eastAsia="Times New Roman"/>
                <w:i/>
                <w:szCs w:val="24"/>
                <w:lang w:val="fr-FR" w:eastAsia="fr-BE"/>
              </w:rPr>
              <w:t>Aceasta impune î</w:t>
            </w:r>
            <w:r w:rsidR="00A77C97" w:rsidRPr="00A77C97">
              <w:rPr>
                <w:rFonts w:eastAsia="Times New Roman"/>
                <w:i/>
                <w:szCs w:val="24"/>
                <w:lang w:val="fr-FR" w:eastAsia="fr-BE"/>
              </w:rPr>
              <w:t>ntarirea cooperãrii transfrontaliere relevante prin intermediul implementãrii de proiecte şi iniţiative comune (ex. redactarea de planuri, studii, proceduri si norme) precum şi mãsuri de creştere a conştientizãrii pentru a asigura o mobilizare eficace a populaţiei transfrontaliere în directia mãsurilor de adaptare şi prevenire a riscurilor.</w:t>
            </w:r>
          </w:p>
        </w:tc>
      </w:tr>
      <w:tr w:rsidR="00F21429" w:rsidRPr="00A158A9" w:rsidTr="006B7F12">
        <w:trPr>
          <w:trHeight w:val="492"/>
          <w:jc w:val="center"/>
        </w:trPr>
        <w:tc>
          <w:tcPr>
            <w:tcW w:w="2713" w:type="dxa"/>
            <w:tcBorders>
              <w:top w:val="single" w:sz="4" w:space="0" w:color="auto"/>
              <w:left w:val="single" w:sz="4" w:space="0" w:color="auto"/>
              <w:bottom w:val="single" w:sz="4" w:space="0" w:color="auto"/>
              <w:right w:val="single" w:sz="4" w:space="0" w:color="auto"/>
            </w:tcBorders>
            <w:hideMark/>
          </w:tcPr>
          <w:p w:rsidR="00E87363" w:rsidRPr="006F7519" w:rsidRDefault="00E87363" w:rsidP="00E87363">
            <w:pPr>
              <w:spacing w:before="60" w:after="0"/>
              <w:jc w:val="left"/>
              <w:rPr>
                <w:rFonts w:eastAsia="Times New Roman"/>
                <w:b/>
                <w:szCs w:val="24"/>
                <w:lang w:val="it-IT" w:eastAsia="fr-BE"/>
              </w:rPr>
            </w:pPr>
            <w:r w:rsidRPr="006F7519">
              <w:rPr>
                <w:rFonts w:eastAsia="Times New Roman"/>
                <w:b/>
                <w:szCs w:val="24"/>
                <w:lang w:val="it-IT" w:eastAsia="fr-BE"/>
              </w:rPr>
              <w:t>Obiectiv Tematic 6: Conservarea și protecția mediului și promovarea utilizării eficiente a resurselor;</w:t>
            </w:r>
          </w:p>
          <w:p w:rsidR="00F21429" w:rsidRPr="006F7519" w:rsidRDefault="00F21429" w:rsidP="00F21429">
            <w:pPr>
              <w:spacing w:before="60" w:after="0"/>
              <w:jc w:val="left"/>
              <w:rPr>
                <w:rFonts w:eastAsia="Times New Roman"/>
                <w:szCs w:val="24"/>
                <w:lang w:val="it-IT" w:eastAsia="fr-BE"/>
              </w:rPr>
            </w:pPr>
          </w:p>
        </w:tc>
        <w:tc>
          <w:tcPr>
            <w:tcW w:w="3515" w:type="dxa"/>
            <w:tcBorders>
              <w:top w:val="single" w:sz="4" w:space="0" w:color="auto"/>
              <w:left w:val="single" w:sz="4" w:space="0" w:color="auto"/>
              <w:bottom w:val="single" w:sz="4" w:space="0" w:color="auto"/>
              <w:right w:val="single" w:sz="4" w:space="0" w:color="auto"/>
            </w:tcBorders>
            <w:hideMark/>
          </w:tcPr>
          <w:p w:rsidR="00E87363" w:rsidRPr="006F7519" w:rsidRDefault="003D3F7E" w:rsidP="00E87363">
            <w:pPr>
              <w:spacing w:before="60" w:after="0"/>
              <w:jc w:val="left"/>
              <w:rPr>
                <w:rFonts w:eastAsia="Times New Roman"/>
                <w:szCs w:val="24"/>
                <w:lang w:val="it-IT" w:eastAsia="fr-BE"/>
              </w:rPr>
            </w:pPr>
            <w:r w:rsidRPr="006F7519">
              <w:rPr>
                <w:rFonts w:eastAsia="Times New Roman"/>
                <w:b/>
                <w:szCs w:val="24"/>
                <w:lang w:val="it-IT" w:eastAsia="fr-BE"/>
              </w:rPr>
              <w:t>PI</w:t>
            </w:r>
            <w:r w:rsidR="00E87363" w:rsidRPr="006F7519">
              <w:rPr>
                <w:rFonts w:eastAsia="Times New Roman"/>
                <w:b/>
                <w:szCs w:val="24"/>
                <w:lang w:val="it-IT" w:eastAsia="fr-BE"/>
              </w:rPr>
              <w:t xml:space="preserve"> 6.c: </w:t>
            </w:r>
            <w:r w:rsidR="00E87363" w:rsidRPr="006F7519">
              <w:rPr>
                <w:rFonts w:eastAsia="Times New Roman"/>
                <w:szCs w:val="24"/>
                <w:lang w:val="it-IT" w:eastAsia="fr-BE"/>
              </w:rPr>
              <w:t>Conservarea, protejarea, promovarea și dezvoltarea patrimoniului natural și cultural;</w:t>
            </w:r>
          </w:p>
          <w:p w:rsidR="00F21429" w:rsidRPr="006F7519" w:rsidRDefault="00F21429" w:rsidP="00F21429">
            <w:pPr>
              <w:spacing w:before="60" w:after="0"/>
              <w:jc w:val="left"/>
              <w:rPr>
                <w:rFonts w:eastAsia="Times New Roman"/>
                <w:szCs w:val="24"/>
                <w:lang w:val="it-IT" w:eastAsia="fr-BE"/>
              </w:rPr>
            </w:pPr>
          </w:p>
        </w:tc>
        <w:tc>
          <w:tcPr>
            <w:tcW w:w="4824" w:type="dxa"/>
            <w:tcBorders>
              <w:top w:val="single" w:sz="4" w:space="0" w:color="auto"/>
              <w:left w:val="single" w:sz="4" w:space="0" w:color="auto"/>
              <w:bottom w:val="single" w:sz="4" w:space="0" w:color="auto"/>
              <w:right w:val="single" w:sz="4" w:space="0" w:color="auto"/>
            </w:tcBorders>
            <w:hideMark/>
          </w:tcPr>
          <w:p w:rsidR="00A77C97" w:rsidRPr="00A77C97" w:rsidRDefault="00A77C97" w:rsidP="00A77C97">
            <w:pPr>
              <w:spacing w:before="60" w:after="0"/>
              <w:rPr>
                <w:rFonts w:eastAsia="Times New Roman"/>
                <w:i/>
                <w:szCs w:val="24"/>
                <w:lang w:val="fr-FR" w:eastAsia="fr-BE"/>
              </w:rPr>
            </w:pPr>
            <w:r w:rsidRPr="00A77C97">
              <w:rPr>
                <w:rFonts w:eastAsia="Times New Roman"/>
                <w:i/>
                <w:szCs w:val="24"/>
                <w:lang w:val="fr-FR" w:eastAsia="fr-BE"/>
              </w:rPr>
              <w:t xml:space="preserve">Patrimoniul natural şi cultural al zonei CBC este subiectul unei varietãţi de presiuni antropice şi naturale precum industria sau schimbãrile climatice. Consecinţele lor sunt dãunãtoare pentru întreaga zonã de vreme </w:t>
            </w:r>
            <w:proofErr w:type="gramStart"/>
            <w:r w:rsidRPr="00A77C97">
              <w:rPr>
                <w:rFonts w:eastAsia="Times New Roman"/>
                <w:i/>
                <w:szCs w:val="24"/>
                <w:lang w:val="fr-FR" w:eastAsia="fr-BE"/>
              </w:rPr>
              <w:t>ce</w:t>
            </w:r>
            <w:proofErr w:type="gramEnd"/>
            <w:r w:rsidRPr="00A77C97">
              <w:rPr>
                <w:rFonts w:eastAsia="Times New Roman"/>
                <w:i/>
                <w:szCs w:val="24"/>
                <w:lang w:val="fr-FR" w:eastAsia="fr-BE"/>
              </w:rPr>
              <w:t xml:space="preserve"> interacţiunea peisajelor şi continuitatea habitatelor şi ecosistemelor subliniazã unitatea ecologicã a regiunii. </w:t>
            </w:r>
          </w:p>
          <w:p w:rsidR="00A77C97" w:rsidRPr="00A77C97" w:rsidRDefault="007D66BD" w:rsidP="00A77C97">
            <w:pPr>
              <w:spacing w:before="60" w:after="0"/>
              <w:rPr>
                <w:rFonts w:eastAsia="Times New Roman"/>
                <w:i/>
                <w:szCs w:val="24"/>
                <w:lang w:val="fr-FR" w:eastAsia="fr-BE"/>
              </w:rPr>
            </w:pPr>
            <w:r>
              <w:rPr>
                <w:rFonts w:eastAsia="Times New Roman"/>
                <w:i/>
                <w:szCs w:val="24"/>
                <w:lang w:val="fr-FR" w:eastAsia="fr-BE"/>
              </w:rPr>
              <w:t>Astfel este crucial să</w:t>
            </w:r>
            <w:r w:rsidR="00A77C97" w:rsidRPr="00A77C97">
              <w:rPr>
                <w:rFonts w:eastAsia="Times New Roman"/>
                <w:i/>
                <w:szCs w:val="24"/>
                <w:lang w:val="fr-FR" w:eastAsia="fr-BE"/>
              </w:rPr>
              <w:t xml:space="preserve"> sporim capacitatea de integrare </w:t>
            </w:r>
            <w:proofErr w:type="gramStart"/>
            <w:r w:rsidR="00A77C97" w:rsidRPr="00A77C97">
              <w:rPr>
                <w:rFonts w:eastAsia="Times New Roman"/>
                <w:i/>
                <w:szCs w:val="24"/>
                <w:lang w:val="fr-FR" w:eastAsia="fr-BE"/>
              </w:rPr>
              <w:t>a</w:t>
            </w:r>
            <w:proofErr w:type="gramEnd"/>
            <w:r w:rsidR="00A77C97" w:rsidRPr="00A77C97">
              <w:rPr>
                <w:rFonts w:eastAsia="Times New Roman"/>
                <w:i/>
                <w:szCs w:val="24"/>
                <w:lang w:val="fr-FR" w:eastAsia="fr-BE"/>
              </w:rPr>
              <w:t xml:space="preserve"> efortului de pr</w:t>
            </w:r>
            <w:r>
              <w:rPr>
                <w:rFonts w:eastAsia="Times New Roman"/>
                <w:i/>
                <w:szCs w:val="24"/>
                <w:lang w:val="fr-FR" w:eastAsia="fr-BE"/>
              </w:rPr>
              <w:t>otecţ</w:t>
            </w:r>
            <w:r w:rsidR="00A77C97" w:rsidRPr="00A77C97">
              <w:rPr>
                <w:rFonts w:eastAsia="Times New Roman"/>
                <w:i/>
                <w:szCs w:val="24"/>
                <w:lang w:val="fr-FR" w:eastAsia="fr-BE"/>
              </w:rPr>
              <w:t>ie a patrimoniului  natural şi cult</w:t>
            </w:r>
            <w:r>
              <w:rPr>
                <w:rFonts w:eastAsia="Times New Roman"/>
                <w:i/>
                <w:szCs w:val="24"/>
                <w:lang w:val="fr-FR" w:eastAsia="fr-BE"/>
              </w:rPr>
              <w:t xml:space="preserve">ural al zonei </w:t>
            </w:r>
            <w:r>
              <w:rPr>
                <w:rFonts w:eastAsia="Times New Roman"/>
                <w:i/>
                <w:szCs w:val="24"/>
                <w:lang w:val="fr-FR" w:eastAsia="fr-BE"/>
              </w:rPr>
              <w:lastRenderedPageBreak/>
              <w:t>transfrontaliere în strategiile ş</w:t>
            </w:r>
            <w:r w:rsidR="00A77C97" w:rsidRPr="00A77C97">
              <w:rPr>
                <w:rFonts w:eastAsia="Times New Roman"/>
                <w:i/>
                <w:szCs w:val="24"/>
                <w:lang w:val="fr-FR" w:eastAsia="fr-BE"/>
              </w:rPr>
              <w:t xml:space="preserve">i politicile de dezvoltare socio-economicã. </w:t>
            </w:r>
          </w:p>
          <w:p w:rsidR="00C814A7" w:rsidRPr="00B31930" w:rsidRDefault="00A77C97" w:rsidP="00A77C97">
            <w:pPr>
              <w:spacing w:before="60" w:after="0"/>
              <w:rPr>
                <w:rFonts w:eastAsia="Times New Roman"/>
                <w:i/>
                <w:szCs w:val="24"/>
                <w:lang w:val="fr-FR" w:eastAsia="fr-BE"/>
              </w:rPr>
            </w:pPr>
            <w:r w:rsidRPr="00B31930">
              <w:rPr>
                <w:rFonts w:eastAsia="Times New Roman"/>
                <w:i/>
                <w:szCs w:val="24"/>
                <w:lang w:val="fr-FR" w:eastAsia="fr-BE"/>
              </w:rPr>
              <w:t>Patrimoniul natural şi cultural este o resursã ce trebuie promo</w:t>
            </w:r>
            <w:r w:rsidR="007C4840">
              <w:rPr>
                <w:rFonts w:eastAsia="Times New Roman"/>
                <w:i/>
                <w:szCs w:val="24"/>
                <w:lang w:val="fr-FR" w:eastAsia="fr-BE"/>
              </w:rPr>
              <w:t>vatã şi protejatã de distrugere,</w:t>
            </w:r>
            <w:r w:rsidRPr="00B31930">
              <w:rPr>
                <w:rFonts w:eastAsia="Times New Roman"/>
                <w:i/>
                <w:szCs w:val="24"/>
                <w:lang w:val="fr-FR" w:eastAsia="fr-BE"/>
              </w:rPr>
              <w:t xml:space="preserve"> de aceea este important sã l</w:t>
            </w:r>
            <w:r w:rsidR="007C4840">
              <w:rPr>
                <w:rFonts w:eastAsia="Times New Roman"/>
                <w:i/>
                <w:szCs w:val="24"/>
                <w:lang w:val="fr-FR" w:eastAsia="fr-BE"/>
              </w:rPr>
              <w:t>uam masuri în direcţia protecţiei mediului înconjurator (incluzand creşterea conştientiză</w:t>
            </w:r>
            <w:r w:rsidRPr="00B31930">
              <w:rPr>
                <w:rFonts w:eastAsia="Times New Roman"/>
                <w:i/>
                <w:szCs w:val="24"/>
                <w:lang w:val="fr-FR" w:eastAsia="fr-BE"/>
              </w:rPr>
              <w:t>rii publice asupra beneficiilor socio-economice concrete generate de protecţia mediului).</w:t>
            </w:r>
          </w:p>
        </w:tc>
      </w:tr>
      <w:tr w:rsidR="00F21429" w:rsidRPr="00A158A9" w:rsidTr="006B7F12">
        <w:trPr>
          <w:trHeight w:val="492"/>
          <w:jc w:val="center"/>
        </w:trPr>
        <w:tc>
          <w:tcPr>
            <w:tcW w:w="2713" w:type="dxa"/>
            <w:tcBorders>
              <w:top w:val="single" w:sz="4" w:space="0" w:color="auto"/>
              <w:left w:val="single" w:sz="4" w:space="0" w:color="auto"/>
              <w:bottom w:val="single" w:sz="4" w:space="0" w:color="auto"/>
              <w:right w:val="single" w:sz="4" w:space="0" w:color="auto"/>
            </w:tcBorders>
            <w:hideMark/>
          </w:tcPr>
          <w:p w:rsidR="00A355E7" w:rsidRPr="006F7519" w:rsidRDefault="00A355E7" w:rsidP="00A355E7">
            <w:pPr>
              <w:spacing w:before="60" w:after="0"/>
              <w:rPr>
                <w:rFonts w:eastAsia="MS Mincho"/>
                <w:b/>
                <w:szCs w:val="24"/>
                <w:lang w:val="it-IT"/>
              </w:rPr>
            </w:pPr>
            <w:r w:rsidRPr="006F7519">
              <w:rPr>
                <w:rFonts w:eastAsia="MS Mincho"/>
                <w:b/>
                <w:szCs w:val="24"/>
                <w:lang w:val="it-IT"/>
              </w:rPr>
              <w:lastRenderedPageBreak/>
              <w:t>Obiectiv Tematic 6: Conservarea și protecția mediului și promovarea utilizării eficiente a resurselor;</w:t>
            </w:r>
          </w:p>
          <w:p w:rsidR="00F21429" w:rsidRPr="006F7519" w:rsidRDefault="00F21429" w:rsidP="00F21429">
            <w:pPr>
              <w:spacing w:before="60" w:after="0"/>
              <w:jc w:val="left"/>
              <w:rPr>
                <w:rFonts w:eastAsia="Times New Roman"/>
                <w:szCs w:val="24"/>
                <w:lang w:val="it-IT" w:eastAsia="fr-BE"/>
              </w:rPr>
            </w:pPr>
          </w:p>
        </w:tc>
        <w:tc>
          <w:tcPr>
            <w:tcW w:w="3515" w:type="dxa"/>
            <w:tcBorders>
              <w:top w:val="single" w:sz="4" w:space="0" w:color="auto"/>
              <w:left w:val="single" w:sz="4" w:space="0" w:color="auto"/>
              <w:bottom w:val="single" w:sz="4" w:space="0" w:color="auto"/>
              <w:right w:val="single" w:sz="4" w:space="0" w:color="auto"/>
            </w:tcBorders>
            <w:hideMark/>
          </w:tcPr>
          <w:p w:rsidR="00A355E7" w:rsidRPr="006F7519" w:rsidRDefault="00A355E7" w:rsidP="00A355E7">
            <w:pPr>
              <w:spacing w:before="60" w:after="0"/>
              <w:rPr>
                <w:rFonts w:eastAsia="Times New Roman"/>
                <w:szCs w:val="24"/>
                <w:lang w:val="it-IT"/>
              </w:rPr>
            </w:pPr>
            <w:r w:rsidRPr="006F7519">
              <w:rPr>
                <w:rFonts w:eastAsia="MS Mincho"/>
                <w:b/>
                <w:szCs w:val="24"/>
                <w:lang w:val="it-IT"/>
              </w:rPr>
              <w:t>PI 6.d:</w:t>
            </w:r>
            <w:r w:rsidRPr="006F7519">
              <w:rPr>
                <w:rFonts w:eastAsia="Times New Roman"/>
                <w:szCs w:val="24"/>
                <w:lang w:val="it-IT"/>
              </w:rPr>
              <w:t xml:space="preserve">Protejarea și refacerea biodiversității și a solurilor, precum și promovarea unor servicii ecosistemice, inclusiv prin Natura 2000 și infrastructuri ecologice; </w:t>
            </w:r>
          </w:p>
          <w:p w:rsidR="00F21429" w:rsidRPr="006F7519" w:rsidRDefault="00F21429" w:rsidP="00F21429">
            <w:pPr>
              <w:spacing w:before="60" w:after="0"/>
              <w:jc w:val="left"/>
              <w:rPr>
                <w:rFonts w:eastAsia="Times New Roman"/>
                <w:szCs w:val="24"/>
                <w:lang w:val="it-IT" w:eastAsia="fr-BE"/>
              </w:rPr>
            </w:pPr>
          </w:p>
        </w:tc>
        <w:tc>
          <w:tcPr>
            <w:tcW w:w="4824" w:type="dxa"/>
            <w:tcBorders>
              <w:top w:val="single" w:sz="4" w:space="0" w:color="auto"/>
              <w:left w:val="single" w:sz="4" w:space="0" w:color="auto"/>
              <w:bottom w:val="single" w:sz="4" w:space="0" w:color="auto"/>
              <w:right w:val="single" w:sz="4" w:space="0" w:color="auto"/>
            </w:tcBorders>
            <w:hideMark/>
          </w:tcPr>
          <w:p w:rsidR="00A77C97" w:rsidRPr="00A77C97" w:rsidRDefault="00A77C97" w:rsidP="00A77C97">
            <w:pPr>
              <w:spacing w:before="60" w:after="0"/>
              <w:rPr>
                <w:rFonts w:eastAsia="Times New Roman"/>
                <w:i/>
                <w:szCs w:val="24"/>
                <w:lang w:val="fr-FR" w:eastAsia="fr-BE"/>
              </w:rPr>
            </w:pPr>
            <w:r w:rsidRPr="00A77C97">
              <w:rPr>
                <w:rFonts w:eastAsia="Times New Roman"/>
                <w:i/>
                <w:szCs w:val="24"/>
                <w:lang w:val="fr-FR" w:eastAsia="fr-BE"/>
              </w:rPr>
              <w:t>În regiunea transfrontalierã riscurile de mediu şi efectele</w:t>
            </w:r>
            <w:r w:rsidR="007C4840">
              <w:rPr>
                <w:rFonts w:eastAsia="Times New Roman"/>
                <w:i/>
                <w:szCs w:val="24"/>
                <w:lang w:val="fr-FR" w:eastAsia="fr-BE"/>
              </w:rPr>
              <w:t xml:space="preserve"> lor solicită</w:t>
            </w:r>
            <w:r w:rsidRPr="00A77C97">
              <w:rPr>
                <w:rFonts w:eastAsia="Times New Roman"/>
                <w:i/>
                <w:szCs w:val="24"/>
                <w:lang w:val="fr-FR" w:eastAsia="fr-BE"/>
              </w:rPr>
              <w:t xml:space="preserve"> mãsuri urgente şi concrete. </w:t>
            </w:r>
          </w:p>
          <w:p w:rsidR="00A77C97" w:rsidRPr="006F7519" w:rsidRDefault="00A77C97" w:rsidP="00A77C97">
            <w:pPr>
              <w:spacing w:before="60" w:after="0"/>
              <w:rPr>
                <w:rFonts w:eastAsia="Times New Roman"/>
                <w:i/>
                <w:szCs w:val="24"/>
                <w:lang w:val="it-IT" w:eastAsia="fr-BE"/>
              </w:rPr>
            </w:pPr>
            <w:r w:rsidRPr="006F7519">
              <w:rPr>
                <w:rFonts w:eastAsia="Times New Roman"/>
                <w:i/>
                <w:szCs w:val="24"/>
                <w:lang w:val="it-IT" w:eastAsia="fr-BE"/>
              </w:rPr>
              <w:t xml:space="preserve">Într-adevãr promovarea unei </w:t>
            </w:r>
            <w:r w:rsidR="007C4840" w:rsidRPr="006F7519">
              <w:rPr>
                <w:rFonts w:eastAsia="Times New Roman"/>
                <w:i/>
                <w:szCs w:val="24"/>
                <w:lang w:val="it-IT" w:eastAsia="fr-BE"/>
              </w:rPr>
              <w:t>regiuni sustenabile şi cuprinzătoare</w:t>
            </w:r>
            <w:r w:rsidRPr="006F7519">
              <w:rPr>
                <w:rFonts w:eastAsia="Times New Roman"/>
                <w:i/>
                <w:szCs w:val="24"/>
                <w:lang w:val="it-IT" w:eastAsia="fr-BE"/>
              </w:rPr>
              <w:t xml:space="preserve"> presup</w:t>
            </w:r>
            <w:r w:rsidR="007C4840" w:rsidRPr="006F7519">
              <w:rPr>
                <w:rFonts w:eastAsia="Times New Roman"/>
                <w:i/>
                <w:szCs w:val="24"/>
                <w:lang w:val="it-IT" w:eastAsia="fr-BE"/>
              </w:rPr>
              <w:t>une abordarea acestor probleme în mod holistic în măsura î</w:t>
            </w:r>
            <w:r w:rsidRPr="006F7519">
              <w:rPr>
                <w:rFonts w:eastAsia="Times New Roman"/>
                <w:i/>
                <w:szCs w:val="24"/>
                <w:lang w:val="it-IT" w:eastAsia="fr-BE"/>
              </w:rPr>
              <w:t xml:space="preserve">n care integrarea economiei transfrontaliere (incluzand sectoare precum agricultura sau turismul, sectoare puternic dependente de cadrul natural) presupune un ecosistem stabilizat. </w:t>
            </w:r>
          </w:p>
          <w:p w:rsidR="00A77C97" w:rsidRPr="006F7519" w:rsidRDefault="00A77C97" w:rsidP="00A77C97">
            <w:pPr>
              <w:spacing w:before="60" w:after="0"/>
              <w:rPr>
                <w:rFonts w:eastAsia="Times New Roman"/>
                <w:i/>
                <w:szCs w:val="24"/>
                <w:lang w:val="it-IT" w:eastAsia="fr-BE"/>
              </w:rPr>
            </w:pPr>
            <w:r w:rsidRPr="006F7519">
              <w:rPr>
                <w:rFonts w:eastAsia="Times New Roman"/>
                <w:i/>
                <w:szCs w:val="24"/>
                <w:lang w:val="it-IT" w:eastAsia="fr-BE"/>
              </w:rPr>
              <w:t>Astfel</w:t>
            </w:r>
            <w:r w:rsidR="007C4840" w:rsidRPr="006F7519">
              <w:rPr>
                <w:rFonts w:eastAsia="Times New Roman"/>
                <w:i/>
                <w:szCs w:val="24"/>
                <w:lang w:val="it-IT" w:eastAsia="fr-BE"/>
              </w:rPr>
              <w:t>,</w:t>
            </w:r>
            <w:r w:rsidRPr="006F7519">
              <w:rPr>
                <w:rFonts w:eastAsia="Times New Roman"/>
                <w:i/>
                <w:szCs w:val="24"/>
                <w:lang w:val="it-IT" w:eastAsia="fr-BE"/>
              </w:rPr>
              <w:t xml:space="preserve"> este important sã sprijinim investiţiile în infrastructura verde şi reabilitarea ecosistemelor degradate (terenuri erodate şi/sau epuizate, maluri instabil</w:t>
            </w:r>
            <w:r w:rsidR="007C4840" w:rsidRPr="006F7519">
              <w:rPr>
                <w:rFonts w:eastAsia="Times New Roman"/>
                <w:i/>
                <w:szCs w:val="24"/>
                <w:lang w:val="it-IT" w:eastAsia="fr-BE"/>
              </w:rPr>
              <w:t>e, etc) care să</w:t>
            </w:r>
            <w:r w:rsidRPr="006F7519">
              <w:rPr>
                <w:rFonts w:eastAsia="Times New Roman"/>
                <w:i/>
                <w:szCs w:val="24"/>
                <w:lang w:val="it-IT" w:eastAsia="fr-BE"/>
              </w:rPr>
              <w:t xml:space="preserve"> fie prof</w:t>
            </w:r>
            <w:r w:rsidR="007C4840" w:rsidRPr="006F7519">
              <w:rPr>
                <w:rFonts w:eastAsia="Times New Roman"/>
                <w:i/>
                <w:szCs w:val="24"/>
                <w:lang w:val="it-IT" w:eastAsia="fr-BE"/>
              </w:rPr>
              <w:t>itabile pentru întreaga zonã atât din perspectiva asigurării sustenabilitãţii cât ş</w:t>
            </w:r>
            <w:r w:rsidRPr="006F7519">
              <w:rPr>
                <w:rFonts w:eastAsia="Times New Roman"/>
                <w:i/>
                <w:szCs w:val="24"/>
                <w:lang w:val="it-IT" w:eastAsia="fr-BE"/>
              </w:rPr>
              <w:t>i din punct de vedere al creşteri</w:t>
            </w:r>
            <w:r w:rsidR="007C4840" w:rsidRPr="006F7519">
              <w:rPr>
                <w:rFonts w:eastAsia="Times New Roman"/>
                <w:i/>
                <w:szCs w:val="24"/>
                <w:lang w:val="it-IT" w:eastAsia="fr-BE"/>
              </w:rPr>
              <w:t>i capitalului</w:t>
            </w:r>
            <w:r w:rsidRPr="006F7519">
              <w:rPr>
                <w:rFonts w:eastAsia="Times New Roman"/>
                <w:i/>
                <w:szCs w:val="24"/>
                <w:lang w:val="it-IT" w:eastAsia="fr-BE"/>
              </w:rPr>
              <w:t xml:space="preserve"> uman şi tehnic. </w:t>
            </w:r>
          </w:p>
          <w:p w:rsidR="00F21429" w:rsidRPr="006F7519" w:rsidRDefault="00A77C97" w:rsidP="00A77C97">
            <w:pPr>
              <w:spacing w:before="60" w:after="0"/>
              <w:rPr>
                <w:rFonts w:eastAsia="Times New Roman"/>
                <w:i/>
                <w:szCs w:val="24"/>
                <w:lang w:val="it-IT" w:eastAsia="fr-BE"/>
              </w:rPr>
            </w:pPr>
            <w:r w:rsidRPr="006F7519">
              <w:rPr>
                <w:rFonts w:eastAsia="Times New Roman"/>
                <w:i/>
                <w:szCs w:val="24"/>
                <w:lang w:val="it-IT" w:eastAsia="fr-BE"/>
              </w:rPr>
              <w:t>De exemplu, pentru a asigura re</w:t>
            </w:r>
            <w:r w:rsidR="007C4840" w:rsidRPr="006F7519">
              <w:rPr>
                <w:rFonts w:eastAsia="Times New Roman"/>
                <w:i/>
                <w:szCs w:val="24"/>
                <w:lang w:val="it-IT" w:eastAsia="fr-BE"/>
              </w:rPr>
              <w:t xml:space="preserve">facerea eficace a ecosistemelor </w:t>
            </w:r>
            <w:r w:rsidRPr="006F7519">
              <w:rPr>
                <w:rFonts w:eastAsia="Times New Roman"/>
                <w:i/>
                <w:szCs w:val="24"/>
                <w:lang w:val="it-IT" w:eastAsia="fr-BE"/>
              </w:rPr>
              <w:t>sunt necesare a fi adoptate mãsuri comune împotriva punerii în pericol a speciilor şi a habitatelor protejate de legislaţia UE de protectie a naturii şi împotriva creşte</w:t>
            </w:r>
            <w:r w:rsidR="007C4840" w:rsidRPr="006F7519">
              <w:rPr>
                <w:rFonts w:eastAsia="Times New Roman"/>
                <w:i/>
                <w:szCs w:val="24"/>
                <w:lang w:val="it-IT" w:eastAsia="fr-BE"/>
              </w:rPr>
              <w:t>rii populatiilor speciilor invazive, problematici identificate şi î</w:t>
            </w:r>
            <w:r w:rsidRPr="006F7519">
              <w:rPr>
                <w:rFonts w:eastAsia="Times New Roman"/>
                <w:i/>
                <w:szCs w:val="24"/>
                <w:lang w:val="it-IT" w:eastAsia="fr-BE"/>
              </w:rPr>
              <w:t>n cadrul SUERD.</w:t>
            </w:r>
          </w:p>
        </w:tc>
      </w:tr>
      <w:tr w:rsidR="00F21429" w:rsidRPr="00A158A9" w:rsidTr="006B7F12">
        <w:trPr>
          <w:trHeight w:val="492"/>
          <w:jc w:val="center"/>
        </w:trPr>
        <w:tc>
          <w:tcPr>
            <w:tcW w:w="2713" w:type="dxa"/>
            <w:tcBorders>
              <w:top w:val="single" w:sz="4" w:space="0" w:color="auto"/>
              <w:left w:val="single" w:sz="4" w:space="0" w:color="auto"/>
              <w:bottom w:val="single" w:sz="4" w:space="0" w:color="auto"/>
              <w:right w:val="single" w:sz="4" w:space="0" w:color="auto"/>
            </w:tcBorders>
            <w:hideMark/>
          </w:tcPr>
          <w:p w:rsidR="00A355E7" w:rsidRPr="005F3ABE" w:rsidRDefault="00A355E7" w:rsidP="00A355E7">
            <w:pPr>
              <w:spacing w:before="60" w:after="0"/>
              <w:rPr>
                <w:rFonts w:eastAsia="MS Mincho"/>
                <w:b/>
                <w:szCs w:val="24"/>
                <w:lang w:val="en-US"/>
              </w:rPr>
            </w:pPr>
            <w:r w:rsidRPr="00090BB3">
              <w:rPr>
                <w:rFonts w:eastAsia="MS Mincho"/>
                <w:b/>
                <w:szCs w:val="24"/>
                <w:lang w:val="en-US"/>
              </w:rPr>
              <w:t xml:space="preserve">Obiectiv Tematic </w:t>
            </w:r>
            <w:r w:rsidRPr="001310E0">
              <w:rPr>
                <w:rFonts w:eastAsia="MS Mincho"/>
                <w:b/>
                <w:szCs w:val="24"/>
                <w:lang w:val="en-US"/>
              </w:rPr>
              <w:t xml:space="preserve">7: Promovarea sistemelor de transport durabile și eliminarea </w:t>
            </w:r>
            <w:r w:rsidRPr="005F3ABE">
              <w:rPr>
                <w:rFonts w:eastAsia="MS Mincho"/>
                <w:b/>
                <w:szCs w:val="24"/>
                <w:lang w:val="en-US"/>
              </w:rPr>
              <w:t xml:space="preserve">blocajelor din cadrul infrastructurilor rețelelor majore; </w:t>
            </w:r>
          </w:p>
          <w:p w:rsidR="00F21429" w:rsidRPr="0093349A" w:rsidRDefault="00F21429" w:rsidP="00411FCE">
            <w:pPr>
              <w:spacing w:before="60" w:after="0"/>
              <w:jc w:val="left"/>
              <w:rPr>
                <w:rFonts w:eastAsia="Times New Roman"/>
                <w:szCs w:val="24"/>
                <w:lang w:val="en-US" w:eastAsia="fr-BE"/>
              </w:rPr>
            </w:pPr>
          </w:p>
        </w:tc>
        <w:tc>
          <w:tcPr>
            <w:tcW w:w="3515" w:type="dxa"/>
            <w:tcBorders>
              <w:top w:val="single" w:sz="4" w:space="0" w:color="auto"/>
              <w:left w:val="single" w:sz="4" w:space="0" w:color="auto"/>
              <w:bottom w:val="single" w:sz="4" w:space="0" w:color="auto"/>
              <w:right w:val="single" w:sz="4" w:space="0" w:color="auto"/>
            </w:tcBorders>
            <w:hideMark/>
          </w:tcPr>
          <w:p w:rsidR="00A355E7" w:rsidRPr="006F7519" w:rsidRDefault="00E648F4" w:rsidP="00A355E7">
            <w:pPr>
              <w:spacing w:before="60" w:after="0"/>
              <w:rPr>
                <w:rFonts w:eastAsia="Times New Roman"/>
                <w:szCs w:val="24"/>
                <w:lang w:val="it-IT"/>
              </w:rPr>
            </w:pPr>
            <w:r w:rsidRPr="006F7519">
              <w:rPr>
                <w:rFonts w:eastAsia="MS Mincho"/>
                <w:b/>
                <w:szCs w:val="24"/>
                <w:lang w:val="it-IT"/>
              </w:rPr>
              <w:t>PI</w:t>
            </w:r>
            <w:r w:rsidR="00A355E7" w:rsidRPr="006F7519">
              <w:rPr>
                <w:rFonts w:eastAsia="MS Mincho"/>
                <w:b/>
                <w:szCs w:val="24"/>
                <w:lang w:val="it-IT"/>
              </w:rPr>
              <w:t xml:space="preserve"> 7b:</w:t>
            </w:r>
            <w:r w:rsidR="00A355E7" w:rsidRPr="006F7519">
              <w:rPr>
                <w:rFonts w:eastAsia="MS Mincho"/>
                <w:szCs w:val="24"/>
                <w:lang w:val="it-IT"/>
              </w:rPr>
              <w:t xml:space="preserve">stimularea mobilității regionale prin conectarea nodurilor secundare și terțiare la infrastructura TEN-T, inclusiv a nodurilor multimodale; </w:t>
            </w:r>
          </w:p>
          <w:p w:rsidR="00F21429" w:rsidRPr="006F7519" w:rsidRDefault="00F21429" w:rsidP="00F21429">
            <w:pPr>
              <w:spacing w:before="60" w:after="0"/>
              <w:jc w:val="left"/>
              <w:rPr>
                <w:rFonts w:eastAsia="Times New Roman"/>
                <w:szCs w:val="24"/>
                <w:lang w:val="it-IT" w:eastAsia="fr-BE"/>
              </w:rPr>
            </w:pPr>
          </w:p>
        </w:tc>
        <w:tc>
          <w:tcPr>
            <w:tcW w:w="4824" w:type="dxa"/>
            <w:tcBorders>
              <w:top w:val="single" w:sz="4" w:space="0" w:color="auto"/>
              <w:left w:val="single" w:sz="4" w:space="0" w:color="auto"/>
              <w:bottom w:val="single" w:sz="4" w:space="0" w:color="auto"/>
              <w:right w:val="single" w:sz="4" w:space="0" w:color="auto"/>
            </w:tcBorders>
            <w:hideMark/>
          </w:tcPr>
          <w:p w:rsidR="00A77C97" w:rsidRPr="00A77C97" w:rsidRDefault="00A77C97" w:rsidP="00A77C97">
            <w:pPr>
              <w:pStyle w:val="NormalWeb"/>
              <w:spacing w:before="60" w:after="0"/>
              <w:rPr>
                <w:i/>
                <w:lang w:val="fr-FR" w:eastAsia="fr-BE"/>
              </w:rPr>
            </w:pPr>
            <w:r w:rsidRPr="00A77C97">
              <w:rPr>
                <w:i/>
                <w:lang w:val="fr-FR" w:eastAsia="fr-BE"/>
              </w:rPr>
              <w:t>Întrucât infrastructura</w:t>
            </w:r>
            <w:r w:rsidR="007C4840">
              <w:rPr>
                <w:i/>
                <w:lang w:val="fr-FR" w:eastAsia="fr-BE"/>
              </w:rPr>
              <w:t xml:space="preserve"> de trecere </w:t>
            </w:r>
            <w:proofErr w:type="gramStart"/>
            <w:r w:rsidR="007C4840">
              <w:rPr>
                <w:i/>
                <w:lang w:val="fr-FR" w:eastAsia="fr-BE"/>
              </w:rPr>
              <w:t>a</w:t>
            </w:r>
            <w:proofErr w:type="gramEnd"/>
            <w:r w:rsidR="007C4840">
              <w:rPr>
                <w:i/>
                <w:lang w:val="fr-FR" w:eastAsia="fr-BE"/>
              </w:rPr>
              <w:t xml:space="preserve"> Dunarii reprezintă</w:t>
            </w:r>
            <w:r w:rsidRPr="00A77C97">
              <w:rPr>
                <w:i/>
                <w:lang w:val="fr-FR" w:eastAsia="fr-BE"/>
              </w:rPr>
              <w:t xml:space="preserve"> principala cale de  trecere a frontierei dar şi principala bariera pentru </w:t>
            </w:r>
            <w:r w:rsidR="007C4840">
              <w:rPr>
                <w:i/>
                <w:lang w:val="fr-FR" w:eastAsia="fr-BE"/>
              </w:rPr>
              <w:t>accesibilitatea transfrontalieră, regiunea trebuie să</w:t>
            </w:r>
            <w:r w:rsidRPr="00A77C97">
              <w:rPr>
                <w:i/>
                <w:lang w:val="fr-FR" w:eastAsia="fr-BE"/>
              </w:rPr>
              <w:t xml:space="preserve"> r</w:t>
            </w:r>
            <w:r w:rsidR="007C4840">
              <w:rPr>
                <w:i/>
                <w:lang w:val="fr-FR" w:eastAsia="fr-BE"/>
              </w:rPr>
              <w:t>enoveze infrastructura existentă de trecere a Dunarii dar şi să</w:t>
            </w:r>
            <w:r w:rsidRPr="00A77C97">
              <w:rPr>
                <w:i/>
                <w:lang w:val="fr-FR" w:eastAsia="fr-BE"/>
              </w:rPr>
              <w:t xml:space="preserve"> cr</w:t>
            </w:r>
            <w:r w:rsidR="007C4840">
              <w:rPr>
                <w:i/>
                <w:lang w:val="fr-FR" w:eastAsia="fr-BE"/>
              </w:rPr>
              <w:t>eeze unele noi, flexibile şi îmbunătăţ</w:t>
            </w:r>
            <w:r w:rsidRPr="00A77C97">
              <w:rPr>
                <w:i/>
                <w:lang w:val="fr-FR" w:eastAsia="fr-BE"/>
              </w:rPr>
              <w:t>ite prin c</w:t>
            </w:r>
            <w:r w:rsidR="007C4840">
              <w:rPr>
                <w:i/>
                <w:lang w:val="fr-FR" w:eastAsia="fr-BE"/>
              </w:rPr>
              <w:t>ontectarea nodurilor secundare şi terţiare la reţ</w:t>
            </w:r>
            <w:r w:rsidRPr="00A77C97">
              <w:rPr>
                <w:i/>
                <w:lang w:val="fr-FR" w:eastAsia="fr-BE"/>
              </w:rPr>
              <w:t xml:space="preserve">eaua TEN-T, inclusiv prin crearea de noduri multimodale. </w:t>
            </w:r>
          </w:p>
          <w:p w:rsidR="00A77C97" w:rsidRPr="00A77C97" w:rsidRDefault="007C4840" w:rsidP="00A77C97">
            <w:pPr>
              <w:pStyle w:val="NormalWeb"/>
              <w:spacing w:before="60" w:after="0"/>
              <w:rPr>
                <w:i/>
                <w:lang w:val="fr-FR" w:eastAsia="fr-BE"/>
              </w:rPr>
            </w:pPr>
            <w:r>
              <w:rPr>
                <w:i/>
                <w:lang w:val="fr-FR" w:eastAsia="fr-BE"/>
              </w:rPr>
              <w:t>În această direcţ</w:t>
            </w:r>
            <w:r w:rsidR="00A77C97" w:rsidRPr="00A77C97">
              <w:rPr>
                <w:i/>
                <w:lang w:val="fr-FR" w:eastAsia="fr-BE"/>
              </w:rPr>
              <w:t>ie, dezvoltarea transportului transfrontalier, cu un accent special pe transportul public la nivel regional, poate fi un</w:t>
            </w:r>
            <w:r>
              <w:rPr>
                <w:i/>
                <w:lang w:val="fr-FR" w:eastAsia="fr-BE"/>
              </w:rPr>
              <w:t>a dintre soluţiile pentru a creş</w:t>
            </w:r>
            <w:r w:rsidR="00A77C97" w:rsidRPr="00A77C97">
              <w:rPr>
                <w:i/>
                <w:lang w:val="fr-FR" w:eastAsia="fr-BE"/>
              </w:rPr>
              <w:t xml:space="preserve">te </w:t>
            </w:r>
            <w:r>
              <w:rPr>
                <w:i/>
                <w:lang w:val="fr-FR" w:eastAsia="fr-BE"/>
              </w:rPr>
              <w:t>accesibilitatea transfrontalieră</w:t>
            </w:r>
            <w:r w:rsidR="00A77C97" w:rsidRPr="00A77C97">
              <w:rPr>
                <w:i/>
                <w:lang w:val="fr-FR" w:eastAsia="fr-BE"/>
              </w:rPr>
              <w:t xml:space="preserve">. </w:t>
            </w:r>
          </w:p>
          <w:p w:rsidR="00A77C97" w:rsidRPr="00A77C97" w:rsidRDefault="00A77C97" w:rsidP="00A77C97">
            <w:pPr>
              <w:pStyle w:val="NormalWeb"/>
              <w:spacing w:before="60" w:after="0"/>
              <w:rPr>
                <w:i/>
                <w:lang w:val="fr-FR" w:eastAsia="fr-BE"/>
              </w:rPr>
            </w:pPr>
            <w:r w:rsidRPr="00A77C97">
              <w:rPr>
                <w:i/>
                <w:lang w:val="fr-FR" w:eastAsia="fr-BE"/>
              </w:rPr>
              <w:lastRenderedPageBreak/>
              <w:t xml:space="preserve">Mai mult, accesibilitatea </w:t>
            </w:r>
            <w:proofErr w:type="gramStart"/>
            <w:r w:rsidRPr="00A77C97">
              <w:rPr>
                <w:i/>
                <w:lang w:val="fr-FR" w:eastAsia="fr-BE"/>
              </w:rPr>
              <w:t>la infrastructurile</w:t>
            </w:r>
            <w:proofErr w:type="gramEnd"/>
            <w:r w:rsidRPr="00A77C97">
              <w:rPr>
                <w:i/>
                <w:lang w:val="fr-FR" w:eastAsia="fr-BE"/>
              </w:rPr>
              <w:t xml:space="preserve"> TEN-T dinspre principalele </w:t>
            </w:r>
            <w:r w:rsidR="007C4840">
              <w:rPr>
                <w:i/>
                <w:lang w:val="fr-FR" w:eastAsia="fr-BE"/>
              </w:rPr>
              <w:t>centre urbane este mult mai bună</w:t>
            </w:r>
            <w:r w:rsidRPr="00A77C97">
              <w:rPr>
                <w:i/>
                <w:lang w:val="fr-FR" w:eastAsia="fr-BE"/>
              </w:rPr>
              <w:t xml:space="preserve"> decât cea dinspre oraşele de dimensiuni medi</w:t>
            </w:r>
            <w:r w:rsidR="007C4840">
              <w:rPr>
                <w:i/>
                <w:lang w:val="fr-FR" w:eastAsia="fr-BE"/>
              </w:rPr>
              <w:t>i ş</w:t>
            </w:r>
            <w:r w:rsidRPr="00A77C97">
              <w:rPr>
                <w:i/>
                <w:lang w:val="fr-FR" w:eastAsia="fr-BE"/>
              </w:rPr>
              <w:t>i mici, în special dinspre cele aflate de-a lungul Dunãrii. Este astfel o pr</w:t>
            </w:r>
            <w:r w:rsidR="007C4840">
              <w:rPr>
                <w:i/>
                <w:lang w:val="fr-FR" w:eastAsia="fr-BE"/>
              </w:rPr>
              <w:t>ioritate reechilibrarea diferenţelor în ce priveş</w:t>
            </w:r>
            <w:r w:rsidRPr="00A77C97">
              <w:rPr>
                <w:i/>
                <w:lang w:val="fr-FR" w:eastAsia="fr-BE"/>
              </w:rPr>
              <w:t xml:space="preserve">te gradul de accesibilitate al regiunilor rurale periferice şi cel al centrele economice regionale. </w:t>
            </w:r>
          </w:p>
          <w:p w:rsidR="00F21429" w:rsidRPr="00A77C97" w:rsidRDefault="00A77C97" w:rsidP="00A77C97">
            <w:pPr>
              <w:pStyle w:val="NormalWeb"/>
              <w:spacing w:before="60" w:after="0"/>
              <w:jc w:val="both"/>
              <w:rPr>
                <w:i/>
                <w:lang w:val="fr-FR" w:eastAsia="fr-BE"/>
              </w:rPr>
            </w:pPr>
            <w:r w:rsidRPr="00A77C97">
              <w:rPr>
                <w:i/>
                <w:lang w:val="fr-FR" w:eastAsia="fr-BE"/>
              </w:rPr>
              <w:t xml:space="preserve">Oraşele-gemene de la Dunãre pot juca aici un rol important ca </w:t>
            </w:r>
            <w:r w:rsidR="007C4840">
              <w:rPr>
                <w:i/>
                <w:lang w:val="fr-FR" w:eastAsia="fr-BE"/>
              </w:rPr>
              <w:t>noduri multimodale TEN-T, adoptâ</w:t>
            </w:r>
            <w:r w:rsidRPr="00A77C97">
              <w:rPr>
                <w:i/>
                <w:lang w:val="fr-FR" w:eastAsia="fr-BE"/>
              </w:rPr>
              <w:t xml:space="preserve">nd </w:t>
            </w:r>
            <w:r w:rsidR="007C4840">
              <w:rPr>
                <w:i/>
                <w:lang w:val="fr-FR" w:eastAsia="fr-BE"/>
              </w:rPr>
              <w:t>pentru planificarea accesibilită</w:t>
            </w:r>
            <w:r w:rsidRPr="00A77C97">
              <w:rPr>
                <w:i/>
                <w:lang w:val="fr-FR" w:eastAsia="fr-BE"/>
              </w:rPr>
              <w:t>t</w:t>
            </w:r>
            <w:r w:rsidR="007C4840">
              <w:rPr>
                <w:i/>
                <w:lang w:val="fr-FR" w:eastAsia="fr-BE"/>
              </w:rPr>
              <w:t>ţ</w:t>
            </w:r>
            <w:r w:rsidRPr="00A77C97">
              <w:rPr>
                <w:i/>
                <w:lang w:val="fr-FR" w:eastAsia="fr-BE"/>
              </w:rPr>
              <w:t>ii lor durabile o abordare transfrontalierã integratã.</w:t>
            </w:r>
          </w:p>
        </w:tc>
      </w:tr>
      <w:tr w:rsidR="00F21429" w:rsidRPr="00A158A9" w:rsidTr="006B7F12">
        <w:trPr>
          <w:trHeight w:val="492"/>
          <w:jc w:val="center"/>
        </w:trPr>
        <w:tc>
          <w:tcPr>
            <w:tcW w:w="2713" w:type="dxa"/>
            <w:tcBorders>
              <w:top w:val="single" w:sz="4" w:space="0" w:color="auto"/>
              <w:left w:val="single" w:sz="4" w:space="0" w:color="auto"/>
              <w:bottom w:val="single" w:sz="4" w:space="0" w:color="auto"/>
              <w:right w:val="single" w:sz="4" w:space="0" w:color="auto"/>
            </w:tcBorders>
            <w:hideMark/>
          </w:tcPr>
          <w:p w:rsidR="003B2DD2" w:rsidRPr="005F3ABE" w:rsidRDefault="003B2DD2" w:rsidP="003B2DD2">
            <w:pPr>
              <w:spacing w:before="60" w:after="0"/>
              <w:rPr>
                <w:rFonts w:eastAsia="MS Mincho"/>
                <w:b/>
                <w:szCs w:val="24"/>
                <w:lang w:val="en-US"/>
              </w:rPr>
            </w:pPr>
            <w:r w:rsidRPr="00090BB3">
              <w:rPr>
                <w:rFonts w:eastAsia="MS Mincho"/>
                <w:b/>
                <w:szCs w:val="24"/>
                <w:lang w:val="en-US"/>
              </w:rPr>
              <w:lastRenderedPageBreak/>
              <w:t xml:space="preserve">Obiectiv Tematic </w:t>
            </w:r>
            <w:r w:rsidRPr="001310E0">
              <w:rPr>
                <w:rFonts w:eastAsia="MS Mincho"/>
                <w:b/>
                <w:szCs w:val="24"/>
                <w:lang w:val="en-US"/>
              </w:rPr>
              <w:t xml:space="preserve">7: Promovarea sistemelor de transport durabile și eliminarea </w:t>
            </w:r>
            <w:r w:rsidRPr="005F3ABE">
              <w:rPr>
                <w:rFonts w:eastAsia="MS Mincho"/>
                <w:b/>
                <w:szCs w:val="24"/>
                <w:lang w:val="en-US"/>
              </w:rPr>
              <w:t xml:space="preserve">blocajelor din cadrul infrastructurilor rețelelor majore; </w:t>
            </w:r>
          </w:p>
          <w:p w:rsidR="00F21429" w:rsidRPr="0093349A" w:rsidRDefault="00F21429" w:rsidP="00F21429">
            <w:pPr>
              <w:spacing w:before="60" w:after="0"/>
              <w:jc w:val="left"/>
              <w:rPr>
                <w:rFonts w:eastAsia="Times New Roman"/>
                <w:szCs w:val="24"/>
                <w:lang w:val="en-US" w:eastAsia="fr-BE"/>
              </w:rPr>
            </w:pPr>
          </w:p>
        </w:tc>
        <w:tc>
          <w:tcPr>
            <w:tcW w:w="3515" w:type="dxa"/>
            <w:tcBorders>
              <w:top w:val="single" w:sz="4" w:space="0" w:color="auto"/>
              <w:left w:val="single" w:sz="4" w:space="0" w:color="auto"/>
              <w:bottom w:val="single" w:sz="4" w:space="0" w:color="auto"/>
              <w:right w:val="single" w:sz="4" w:space="0" w:color="auto"/>
            </w:tcBorders>
            <w:hideMark/>
          </w:tcPr>
          <w:p w:rsidR="00A355E7" w:rsidRDefault="00E648F4" w:rsidP="00A355E7">
            <w:pPr>
              <w:spacing w:before="60" w:after="0"/>
              <w:rPr>
                <w:rFonts w:eastAsia="MS Mincho"/>
                <w:szCs w:val="24"/>
                <w:lang w:val="en-US"/>
              </w:rPr>
            </w:pPr>
            <w:r>
              <w:rPr>
                <w:rFonts w:eastAsia="MS Mincho"/>
                <w:b/>
                <w:szCs w:val="24"/>
                <w:lang w:val="en-US"/>
              </w:rPr>
              <w:t>PI</w:t>
            </w:r>
            <w:r w:rsidR="00A355E7" w:rsidRPr="00090BB3">
              <w:rPr>
                <w:rFonts w:eastAsia="MS Mincho"/>
                <w:b/>
                <w:szCs w:val="24"/>
                <w:lang w:val="en-US"/>
              </w:rPr>
              <w:t xml:space="preserve"> 7c:</w:t>
            </w:r>
            <w:r w:rsidR="00A355E7" w:rsidRPr="001310E0">
              <w:rPr>
                <w:rFonts w:eastAsia="MS Mincho"/>
                <w:szCs w:val="24"/>
                <w:lang w:val="en-US"/>
              </w:rPr>
              <w:t xml:space="preserve">dezvoltarea și îmbunătățirea unor sisteme de transport care respectă mediul, inclusiv a celor cu zgomot redus, și care au emisii reduse de carbon, inclusiv a căilor navigabile interioare și a sistemelor de transport maritim, a porturilor, a legăturilor multimodale și infrastructurilor aeroportuare, cu scopul de a promova mobilitatea durabilă la nivel regional și local; </w:t>
            </w:r>
          </w:p>
          <w:p w:rsidR="00F21429" w:rsidRPr="0093349A" w:rsidRDefault="00F21429" w:rsidP="00D13DEC">
            <w:pPr>
              <w:spacing w:before="60" w:after="0"/>
              <w:jc w:val="left"/>
              <w:rPr>
                <w:rFonts w:eastAsia="Times New Roman"/>
                <w:szCs w:val="24"/>
                <w:lang w:val="en-US" w:eastAsia="fr-BE"/>
              </w:rPr>
            </w:pPr>
          </w:p>
        </w:tc>
        <w:tc>
          <w:tcPr>
            <w:tcW w:w="4824" w:type="dxa"/>
            <w:tcBorders>
              <w:top w:val="single" w:sz="4" w:space="0" w:color="auto"/>
              <w:left w:val="single" w:sz="4" w:space="0" w:color="auto"/>
              <w:bottom w:val="single" w:sz="4" w:space="0" w:color="auto"/>
              <w:right w:val="single" w:sz="4" w:space="0" w:color="auto"/>
            </w:tcBorders>
            <w:hideMark/>
          </w:tcPr>
          <w:p w:rsidR="00A77C97" w:rsidRPr="00A77C97" w:rsidRDefault="007C4840" w:rsidP="00A77C97">
            <w:pPr>
              <w:spacing w:before="60" w:after="0"/>
              <w:rPr>
                <w:rFonts w:eastAsia="Times New Roman"/>
                <w:i/>
                <w:szCs w:val="24"/>
                <w:lang w:val="fr-FR" w:eastAsia="fr-BE"/>
              </w:rPr>
            </w:pPr>
            <w:r>
              <w:rPr>
                <w:rFonts w:eastAsia="Times New Roman"/>
                <w:i/>
                <w:szCs w:val="24"/>
                <w:lang w:val="fr-FR" w:eastAsia="fr-BE"/>
              </w:rPr>
              <w:t>Ameliorarea condiţiilor de navigaţie pe că</w:t>
            </w:r>
            <w:r w:rsidR="00A77C97" w:rsidRPr="00A77C97">
              <w:rPr>
                <w:rFonts w:eastAsia="Times New Roman"/>
                <w:i/>
                <w:szCs w:val="24"/>
                <w:lang w:val="fr-FR" w:eastAsia="fr-BE"/>
              </w:rPr>
              <w:t>il</w:t>
            </w:r>
            <w:r>
              <w:rPr>
                <w:rFonts w:eastAsia="Times New Roman"/>
                <w:i/>
                <w:szCs w:val="24"/>
                <w:lang w:val="fr-FR" w:eastAsia="fr-BE"/>
              </w:rPr>
              <w:t>e fluviale interioare reprezintă o miză majorătransfrontalieră corelată cu necesităţ</w:t>
            </w:r>
            <w:r w:rsidR="00A77C97" w:rsidRPr="00A77C97">
              <w:rPr>
                <w:rFonts w:eastAsia="Times New Roman"/>
                <w:i/>
                <w:szCs w:val="24"/>
                <w:lang w:val="fr-FR" w:eastAsia="fr-BE"/>
              </w:rPr>
              <w:t>ile de dezvoltare a nodu</w:t>
            </w:r>
            <w:r>
              <w:rPr>
                <w:rFonts w:eastAsia="Times New Roman"/>
                <w:i/>
                <w:szCs w:val="24"/>
                <w:lang w:val="fr-FR" w:eastAsia="fr-BE"/>
              </w:rPr>
              <w:t>rilor multimodale, o alternativă durabilă la transportul rutier şi economia legată</w:t>
            </w:r>
            <w:r w:rsidR="00A77C97" w:rsidRPr="00A77C97">
              <w:rPr>
                <w:rFonts w:eastAsia="Times New Roman"/>
                <w:i/>
                <w:szCs w:val="24"/>
                <w:lang w:val="fr-FR" w:eastAsia="fr-BE"/>
              </w:rPr>
              <w:t xml:space="preserve"> </w:t>
            </w:r>
            <w:proofErr w:type="gramStart"/>
            <w:r w:rsidR="00A77C97" w:rsidRPr="00A77C97">
              <w:rPr>
                <w:rFonts w:eastAsia="Times New Roman"/>
                <w:i/>
                <w:szCs w:val="24"/>
                <w:lang w:val="fr-FR" w:eastAsia="fr-BE"/>
              </w:rPr>
              <w:t>de acesta</w:t>
            </w:r>
            <w:proofErr w:type="gramEnd"/>
            <w:r w:rsidR="00A77C97" w:rsidRPr="00A77C97">
              <w:rPr>
                <w:rFonts w:eastAsia="Times New Roman"/>
                <w:i/>
                <w:szCs w:val="24"/>
                <w:lang w:val="fr-FR" w:eastAsia="fr-BE"/>
              </w:rPr>
              <w:t xml:space="preserve">. </w:t>
            </w:r>
          </w:p>
          <w:p w:rsidR="00A77C97" w:rsidRPr="00A77C97" w:rsidRDefault="007C4840" w:rsidP="00A77C97">
            <w:pPr>
              <w:spacing w:before="60" w:after="0"/>
              <w:rPr>
                <w:rFonts w:eastAsia="Times New Roman"/>
                <w:i/>
                <w:szCs w:val="24"/>
                <w:lang w:val="fr-FR" w:eastAsia="fr-BE"/>
              </w:rPr>
            </w:pPr>
            <w:r>
              <w:rPr>
                <w:rFonts w:eastAsia="Times New Roman"/>
                <w:i/>
                <w:szCs w:val="24"/>
                <w:lang w:val="fr-FR" w:eastAsia="fr-BE"/>
              </w:rPr>
              <w:t>SUERD sublinineaza că principala barieră în calea dezvoltă</w:t>
            </w:r>
            <w:r w:rsidR="00A77C97" w:rsidRPr="00A77C97">
              <w:rPr>
                <w:rFonts w:eastAsia="Times New Roman"/>
                <w:i/>
                <w:szCs w:val="24"/>
                <w:lang w:val="fr-FR" w:eastAsia="fr-BE"/>
              </w:rPr>
              <w:t>r</w:t>
            </w:r>
            <w:r>
              <w:rPr>
                <w:rFonts w:eastAsia="Times New Roman"/>
                <w:i/>
                <w:szCs w:val="24"/>
                <w:lang w:val="fr-FR" w:eastAsia="fr-BE"/>
              </w:rPr>
              <w:t>ii transportului durabil pe Dună</w:t>
            </w:r>
            <w:r w:rsidR="00A77C97" w:rsidRPr="00A77C97">
              <w:rPr>
                <w:rFonts w:eastAsia="Times New Roman"/>
                <w:i/>
                <w:szCs w:val="24"/>
                <w:lang w:val="fr-FR" w:eastAsia="fr-BE"/>
              </w:rPr>
              <w:t xml:space="preserve">re este </w:t>
            </w:r>
            <w:r>
              <w:rPr>
                <w:rFonts w:eastAsia="Times New Roman"/>
                <w:i/>
                <w:szCs w:val="24"/>
                <w:lang w:val="fr-FR" w:eastAsia="fr-BE"/>
              </w:rPr>
              <w:t>reprezentată</w:t>
            </w:r>
            <w:r w:rsidR="00A77C97" w:rsidRPr="00A77C97">
              <w:rPr>
                <w:rFonts w:eastAsia="Times New Roman"/>
                <w:i/>
                <w:szCs w:val="24"/>
                <w:lang w:val="fr-FR" w:eastAsia="fr-BE"/>
              </w:rPr>
              <w:t xml:space="preserve"> de navigabilitatea acesteia. </w:t>
            </w:r>
          </w:p>
          <w:p w:rsidR="00F21429" w:rsidRPr="00A77C97" w:rsidRDefault="00A77C97" w:rsidP="00A77C97">
            <w:pPr>
              <w:spacing w:before="60" w:after="0"/>
              <w:rPr>
                <w:rFonts w:eastAsia="Times New Roman"/>
                <w:i/>
                <w:szCs w:val="24"/>
                <w:lang w:val="fr-FR" w:eastAsia="fr-BE"/>
              </w:rPr>
            </w:pPr>
            <w:r w:rsidRPr="00A77C97">
              <w:rPr>
                <w:rFonts w:eastAsia="Times New Roman"/>
                <w:i/>
                <w:szCs w:val="24"/>
                <w:lang w:val="fr-FR" w:eastAsia="fr-BE"/>
              </w:rPr>
              <w:t>Mai mult, nivelul scazut al legaturilor interm</w:t>
            </w:r>
            <w:r w:rsidR="007C4840">
              <w:rPr>
                <w:rFonts w:eastAsia="Times New Roman"/>
                <w:i/>
                <w:szCs w:val="24"/>
                <w:lang w:val="fr-FR" w:eastAsia="fr-BE"/>
              </w:rPr>
              <w:t>odale la nivel transfrontalier şi la nivelul Dună</w:t>
            </w:r>
            <w:r w:rsidR="004F63BF">
              <w:rPr>
                <w:rFonts w:eastAsia="Times New Roman"/>
                <w:i/>
                <w:szCs w:val="24"/>
                <w:lang w:val="fr-FR" w:eastAsia="fr-BE"/>
              </w:rPr>
              <w:t>rii necesită soluţii în vederea creşterii accesibilităţ</w:t>
            </w:r>
            <w:r w:rsidR="00A465EA">
              <w:rPr>
                <w:rFonts w:eastAsia="Times New Roman"/>
                <w:i/>
                <w:szCs w:val="24"/>
                <w:lang w:val="fr-FR" w:eastAsia="fr-BE"/>
              </w:rPr>
              <w:t>ii teritoriului şi asigurării sustenabilităţii potenţ</w:t>
            </w:r>
            <w:r w:rsidRPr="00A77C97">
              <w:rPr>
                <w:rFonts w:eastAsia="Times New Roman"/>
                <w:i/>
                <w:szCs w:val="24"/>
                <w:lang w:val="fr-FR" w:eastAsia="fr-BE"/>
              </w:rPr>
              <w:t>ialului de</w:t>
            </w:r>
            <w:r w:rsidR="00A465EA">
              <w:rPr>
                <w:rFonts w:eastAsia="Times New Roman"/>
                <w:i/>
                <w:szCs w:val="24"/>
                <w:lang w:val="fr-FR" w:eastAsia="fr-BE"/>
              </w:rPr>
              <w:t xml:space="preserve"> transport al Dunării. Această acţiune va fi de două ori benefică având în vedere că</w:t>
            </w:r>
            <w:r w:rsidRPr="00A77C97">
              <w:rPr>
                <w:rFonts w:eastAsia="Times New Roman"/>
                <w:i/>
                <w:szCs w:val="24"/>
                <w:lang w:val="fr-FR" w:eastAsia="fr-BE"/>
              </w:rPr>
              <w:t xml:space="preserve"> li</w:t>
            </w:r>
            <w:r w:rsidR="00A465EA">
              <w:rPr>
                <w:rFonts w:eastAsia="Times New Roman"/>
                <w:i/>
                <w:szCs w:val="24"/>
                <w:lang w:val="fr-FR" w:eastAsia="fr-BE"/>
              </w:rPr>
              <w:t>psa infrastructurilor fluviale ş</w:t>
            </w:r>
            <w:r w:rsidRPr="00A77C97">
              <w:rPr>
                <w:rFonts w:eastAsia="Times New Roman"/>
                <w:i/>
                <w:szCs w:val="24"/>
                <w:lang w:val="fr-FR" w:eastAsia="fr-BE"/>
              </w:rPr>
              <w:t xml:space="preserve">i maritim-portuare </w:t>
            </w:r>
            <w:r w:rsidR="00A465EA">
              <w:rPr>
                <w:rFonts w:eastAsia="Times New Roman"/>
                <w:i/>
                <w:szCs w:val="24"/>
                <w:lang w:val="fr-FR" w:eastAsia="fr-BE"/>
              </w:rPr>
              <w:t>prietenoase cu mediul reprezintă o barieră importantă</w:t>
            </w:r>
            <w:r w:rsidRPr="00A77C97">
              <w:rPr>
                <w:rFonts w:eastAsia="Times New Roman"/>
                <w:i/>
                <w:szCs w:val="24"/>
                <w:lang w:val="fr-FR" w:eastAsia="fr-BE"/>
              </w:rPr>
              <w:t xml:space="preserve"> pentru dezvoltarea turismului durabil la nivel transfrontalier. </w:t>
            </w:r>
          </w:p>
        </w:tc>
      </w:tr>
      <w:tr w:rsidR="00F21429" w:rsidRPr="00A158A9" w:rsidTr="006B7F12">
        <w:trPr>
          <w:trHeight w:val="492"/>
          <w:jc w:val="center"/>
        </w:trPr>
        <w:tc>
          <w:tcPr>
            <w:tcW w:w="2713" w:type="dxa"/>
            <w:tcBorders>
              <w:top w:val="single" w:sz="4" w:space="0" w:color="auto"/>
              <w:left w:val="single" w:sz="4" w:space="0" w:color="auto"/>
              <w:bottom w:val="single" w:sz="4" w:space="0" w:color="auto"/>
              <w:right w:val="single" w:sz="4" w:space="0" w:color="auto"/>
            </w:tcBorders>
            <w:hideMark/>
          </w:tcPr>
          <w:p w:rsidR="003B2DD2" w:rsidRPr="00B31930" w:rsidRDefault="003B2DD2" w:rsidP="003B2DD2">
            <w:pPr>
              <w:spacing w:before="60" w:after="0"/>
              <w:rPr>
                <w:rFonts w:eastAsia="MS Mincho"/>
                <w:b/>
                <w:szCs w:val="24"/>
                <w:lang w:val="fr-FR"/>
              </w:rPr>
            </w:pPr>
            <w:r w:rsidRPr="00B31930">
              <w:rPr>
                <w:rFonts w:eastAsia="MS Mincho"/>
                <w:b/>
                <w:szCs w:val="24"/>
                <w:lang w:val="fr-FR"/>
              </w:rPr>
              <w:t>Obiectiv Tematic 8: Promovarea sustenabilității și calității locurilor de muncă și sprijinirea mobilității forței de muncă;</w:t>
            </w:r>
          </w:p>
          <w:p w:rsidR="00F21429" w:rsidRPr="00B31930" w:rsidRDefault="00F21429" w:rsidP="00F21429">
            <w:pPr>
              <w:spacing w:before="60" w:after="0"/>
              <w:jc w:val="left"/>
              <w:rPr>
                <w:rFonts w:eastAsia="Times New Roman"/>
                <w:szCs w:val="24"/>
                <w:lang w:val="fr-FR" w:eastAsia="fr-BE"/>
              </w:rPr>
            </w:pPr>
          </w:p>
        </w:tc>
        <w:tc>
          <w:tcPr>
            <w:tcW w:w="3515" w:type="dxa"/>
            <w:tcBorders>
              <w:top w:val="single" w:sz="4" w:space="0" w:color="auto"/>
              <w:left w:val="single" w:sz="4" w:space="0" w:color="auto"/>
              <w:bottom w:val="single" w:sz="4" w:space="0" w:color="auto"/>
              <w:right w:val="single" w:sz="4" w:space="0" w:color="auto"/>
            </w:tcBorders>
          </w:tcPr>
          <w:p w:rsidR="003B2DD2" w:rsidRPr="00B31930" w:rsidRDefault="00E648F4" w:rsidP="003B2DD2">
            <w:pPr>
              <w:spacing w:before="60" w:after="0"/>
              <w:rPr>
                <w:rFonts w:eastAsia="MS Mincho"/>
                <w:szCs w:val="24"/>
                <w:lang w:val="fr-FR"/>
              </w:rPr>
            </w:pPr>
            <w:r w:rsidRPr="00B31930">
              <w:rPr>
                <w:rFonts w:eastAsia="MS Mincho"/>
                <w:b/>
                <w:szCs w:val="24"/>
                <w:lang w:val="fr-FR"/>
              </w:rPr>
              <w:t xml:space="preserve">PI </w:t>
            </w:r>
            <w:r w:rsidR="003B2DD2" w:rsidRPr="00B31930">
              <w:rPr>
                <w:rFonts w:eastAsia="MS Mincho"/>
                <w:b/>
                <w:szCs w:val="24"/>
                <w:lang w:val="fr-FR"/>
              </w:rPr>
              <w:t>8. i</w:t>
            </w:r>
            <w:r w:rsidR="003B2DD2" w:rsidRPr="00B31930">
              <w:rPr>
                <w:rFonts w:eastAsia="MS Mincho"/>
                <w:szCs w:val="24"/>
                <w:lang w:val="fr-FR"/>
              </w:rPr>
              <w:t>: Promovarea sustenabilității și calității locurilor de muncă și sprijinirea mobilității forței de muncă prin integrarea piețelor forței de muncă transfrontaliere, inclusiv mobilitatea transfrontalieră, inițiativele comune locale în domeniul ocupării forței de muncă, servicii de informare și de consiliere și formarea comună</w:t>
            </w:r>
          </w:p>
          <w:p w:rsidR="00F21429" w:rsidRPr="00B31930" w:rsidRDefault="00F21429" w:rsidP="00F21429">
            <w:pPr>
              <w:spacing w:before="60" w:after="0"/>
              <w:jc w:val="left"/>
              <w:rPr>
                <w:rFonts w:eastAsia="Times New Roman"/>
                <w:szCs w:val="24"/>
                <w:lang w:val="fr-FR" w:eastAsia="fr-BE"/>
              </w:rPr>
            </w:pPr>
          </w:p>
        </w:tc>
        <w:tc>
          <w:tcPr>
            <w:tcW w:w="4824" w:type="dxa"/>
            <w:tcBorders>
              <w:top w:val="single" w:sz="4" w:space="0" w:color="auto"/>
              <w:left w:val="single" w:sz="4" w:space="0" w:color="auto"/>
              <w:bottom w:val="single" w:sz="4" w:space="0" w:color="auto"/>
              <w:right w:val="single" w:sz="4" w:space="0" w:color="auto"/>
            </w:tcBorders>
            <w:hideMark/>
          </w:tcPr>
          <w:p w:rsidR="00A77C97" w:rsidRPr="00A77C97" w:rsidRDefault="00A465EA" w:rsidP="00A77C97">
            <w:pPr>
              <w:spacing w:before="60" w:after="0"/>
              <w:rPr>
                <w:rFonts w:eastAsia="Times New Roman"/>
                <w:i/>
                <w:szCs w:val="24"/>
                <w:lang w:val="fr-FR" w:eastAsia="fr-BE"/>
              </w:rPr>
            </w:pPr>
            <w:r>
              <w:rPr>
                <w:rFonts w:eastAsia="Times New Roman"/>
                <w:i/>
                <w:szCs w:val="24"/>
                <w:lang w:val="fr-FR" w:eastAsia="fr-BE"/>
              </w:rPr>
              <w:t>Întrucât zona prezintă</w:t>
            </w:r>
            <w:r w:rsidR="00A77C97" w:rsidRPr="00A77C97">
              <w:rPr>
                <w:rFonts w:eastAsia="Times New Roman"/>
                <w:i/>
                <w:szCs w:val="24"/>
                <w:lang w:val="fr-FR" w:eastAsia="fr-BE"/>
              </w:rPr>
              <w:t xml:space="preserve"> rate ridicate ale şomajului, n</w:t>
            </w:r>
            <w:r>
              <w:rPr>
                <w:rFonts w:eastAsia="Times New Roman"/>
                <w:i/>
                <w:szCs w:val="24"/>
                <w:lang w:val="fr-FR" w:eastAsia="fr-BE"/>
              </w:rPr>
              <w:t>iveluri scă</w:t>
            </w:r>
            <w:r w:rsidR="00A77C97" w:rsidRPr="00A77C97">
              <w:rPr>
                <w:rFonts w:eastAsia="Times New Roman"/>
                <w:i/>
                <w:szCs w:val="24"/>
                <w:lang w:val="fr-FR" w:eastAsia="fr-BE"/>
              </w:rPr>
              <w:t>zute ale salariilor ş</w:t>
            </w:r>
            <w:r w:rsidR="00A77C97">
              <w:rPr>
                <w:rFonts w:eastAsia="Times New Roman"/>
                <w:i/>
                <w:szCs w:val="24"/>
                <w:lang w:val="fr-FR" w:eastAsia="fr-BE"/>
              </w:rPr>
              <w:t>i un fenomen structural de “fugă</w:t>
            </w:r>
            <w:r>
              <w:rPr>
                <w:rFonts w:eastAsia="Times New Roman"/>
                <w:i/>
                <w:szCs w:val="24"/>
                <w:lang w:val="fr-FR" w:eastAsia="fr-BE"/>
              </w:rPr>
              <w:t>a creierelor”, este important să se răspundă necesităţii dezvoltă</w:t>
            </w:r>
            <w:r w:rsidR="00A77C97" w:rsidRPr="00A77C97">
              <w:rPr>
                <w:rFonts w:eastAsia="Times New Roman"/>
                <w:i/>
                <w:szCs w:val="24"/>
                <w:lang w:val="fr-FR" w:eastAsia="fr-BE"/>
              </w:rPr>
              <w:t>rii unei pieţe a m</w:t>
            </w:r>
            <w:r>
              <w:rPr>
                <w:rFonts w:eastAsia="Times New Roman"/>
                <w:i/>
                <w:szCs w:val="24"/>
                <w:lang w:val="fr-FR" w:eastAsia="fr-BE"/>
              </w:rPr>
              <w:t>uncii transfrontaliere cuprinzătoare şi integrată care să conducă la apariţ</w:t>
            </w:r>
            <w:r w:rsidR="00A77C97" w:rsidRPr="00A77C97">
              <w:rPr>
                <w:rFonts w:eastAsia="Times New Roman"/>
                <w:i/>
                <w:szCs w:val="24"/>
                <w:lang w:val="fr-FR" w:eastAsia="fr-BE"/>
              </w:rPr>
              <w:t>ia unor noi oportunitãţi economice şi la îmbu</w:t>
            </w:r>
            <w:r>
              <w:rPr>
                <w:rFonts w:eastAsia="Times New Roman"/>
                <w:i/>
                <w:szCs w:val="24"/>
                <w:lang w:val="fr-FR" w:eastAsia="fr-BE"/>
              </w:rPr>
              <w:t>nãtãţirea perspectivelor pe piaţ</w:t>
            </w:r>
            <w:r w:rsidR="00A77C97" w:rsidRPr="00A77C97">
              <w:rPr>
                <w:rFonts w:eastAsia="Times New Roman"/>
                <w:i/>
                <w:szCs w:val="24"/>
                <w:lang w:val="fr-FR" w:eastAsia="fr-BE"/>
              </w:rPr>
              <w:t xml:space="preserve">a muncii.  </w:t>
            </w:r>
          </w:p>
          <w:p w:rsidR="00A77C97" w:rsidRPr="00A77C97" w:rsidRDefault="00A77C97" w:rsidP="00A77C97">
            <w:pPr>
              <w:spacing w:before="60" w:after="0"/>
              <w:rPr>
                <w:rFonts w:eastAsia="Times New Roman"/>
                <w:i/>
                <w:szCs w:val="24"/>
                <w:lang w:val="fr-FR" w:eastAsia="fr-BE"/>
              </w:rPr>
            </w:pPr>
            <w:r w:rsidRPr="00A77C97">
              <w:rPr>
                <w:rFonts w:eastAsia="Times New Roman"/>
                <w:i/>
                <w:szCs w:val="24"/>
                <w:lang w:val="fr-FR" w:eastAsia="fr-BE"/>
              </w:rPr>
              <w:t xml:space="preserve">Aceastã prioritate orizontalã este importantã pentru autoritãţile publice, locuitori şi angajatori de vreme ce o piaţã a muncii eficientã este « inima » unei economii sãnãtoase. </w:t>
            </w:r>
          </w:p>
          <w:p w:rsidR="00A77C97" w:rsidRPr="00B31930" w:rsidRDefault="00A77C97" w:rsidP="00A77C97">
            <w:pPr>
              <w:spacing w:before="60" w:after="0"/>
              <w:rPr>
                <w:rFonts w:eastAsia="Times New Roman"/>
                <w:i/>
                <w:szCs w:val="24"/>
                <w:lang w:val="fr-FR" w:eastAsia="fr-BE"/>
              </w:rPr>
            </w:pPr>
            <w:r w:rsidRPr="00B31930">
              <w:rPr>
                <w:rFonts w:eastAsia="Times New Roman"/>
                <w:i/>
                <w:szCs w:val="24"/>
                <w:lang w:val="fr-FR" w:eastAsia="fr-BE"/>
              </w:rPr>
              <w:t xml:space="preserve">Provocarea constã în schimbarea percepţiei pãrţilor interesate asupra dimensiunii pieţei şi </w:t>
            </w:r>
            <w:r w:rsidRPr="00B31930">
              <w:rPr>
                <w:rFonts w:eastAsia="Times New Roman"/>
                <w:i/>
                <w:szCs w:val="24"/>
                <w:lang w:val="fr-FR" w:eastAsia="fr-BE"/>
              </w:rPr>
              <w:lastRenderedPageBreak/>
              <w:t xml:space="preserve">reducerea barierelor dintre sistemul de educaţie şi angajatori, angajaţi şi companii şi cel mai important, dintre cele douã zone  de o parte si de alta a frontierei.  </w:t>
            </w:r>
          </w:p>
          <w:p w:rsidR="00F21429" w:rsidRPr="00A77C97" w:rsidRDefault="00A77C97" w:rsidP="00A77C97">
            <w:pPr>
              <w:spacing w:before="60" w:after="0"/>
              <w:rPr>
                <w:rFonts w:eastAsia="Times New Roman"/>
                <w:i/>
                <w:szCs w:val="24"/>
                <w:lang w:val="fr-FR" w:eastAsia="fr-BE"/>
              </w:rPr>
            </w:pPr>
            <w:r w:rsidRPr="00A77C97">
              <w:rPr>
                <w:rFonts w:eastAsia="Times New Roman"/>
                <w:i/>
                <w:szCs w:val="24"/>
                <w:lang w:val="fr-FR" w:eastAsia="fr-BE"/>
              </w:rPr>
              <w:t>O piaţa a muncii integratã care se bazeazã pe învãţarea</w:t>
            </w:r>
            <w:r w:rsidR="00A465EA">
              <w:rPr>
                <w:rFonts w:eastAsia="Times New Roman"/>
                <w:i/>
                <w:szCs w:val="24"/>
                <w:lang w:val="fr-FR" w:eastAsia="fr-BE"/>
              </w:rPr>
              <w:t xml:space="preserve"> şi perfecţionarea continuã, reţele inteligente şi ample</w:t>
            </w:r>
            <w:r w:rsidRPr="00A77C97">
              <w:rPr>
                <w:rFonts w:eastAsia="Times New Roman"/>
                <w:i/>
                <w:szCs w:val="24"/>
                <w:lang w:val="fr-FR" w:eastAsia="fr-BE"/>
              </w:rPr>
              <w:t>, cu o mai</w:t>
            </w:r>
            <w:r w:rsidR="00A465EA">
              <w:rPr>
                <w:rFonts w:eastAsia="Times New Roman"/>
                <w:i/>
                <w:szCs w:val="24"/>
                <w:lang w:val="fr-FR" w:eastAsia="fr-BE"/>
              </w:rPr>
              <w:t xml:space="preserve"> mare disponibilitate a informaţ</w:t>
            </w:r>
            <w:r w:rsidRPr="00A77C97">
              <w:rPr>
                <w:rFonts w:eastAsia="Times New Roman"/>
                <w:i/>
                <w:szCs w:val="24"/>
                <w:lang w:val="fr-FR" w:eastAsia="fr-BE"/>
              </w:rPr>
              <w:t xml:space="preserve">iilor </w:t>
            </w:r>
            <w:proofErr w:type="gramStart"/>
            <w:r w:rsidRPr="00A77C97">
              <w:rPr>
                <w:rFonts w:eastAsia="Times New Roman"/>
                <w:i/>
                <w:szCs w:val="24"/>
                <w:lang w:val="fr-FR" w:eastAsia="fr-BE"/>
              </w:rPr>
              <w:t>de afaceri</w:t>
            </w:r>
            <w:proofErr w:type="gramEnd"/>
            <w:r w:rsidRPr="00A77C97">
              <w:rPr>
                <w:rFonts w:eastAsia="Times New Roman"/>
                <w:i/>
                <w:szCs w:val="24"/>
                <w:lang w:val="fr-FR" w:eastAsia="fr-BE"/>
              </w:rPr>
              <w:t>, strategice şi legale este piatra d</w:t>
            </w:r>
            <w:r w:rsidR="00A465EA">
              <w:rPr>
                <w:rFonts w:eastAsia="Times New Roman"/>
                <w:i/>
                <w:szCs w:val="24"/>
                <w:lang w:val="fr-FR" w:eastAsia="fr-BE"/>
              </w:rPr>
              <w:t>e temelie pentru locuri de muncă de calitate ş</w:t>
            </w:r>
            <w:r w:rsidRPr="00A77C97">
              <w:rPr>
                <w:rFonts w:eastAsia="Times New Roman"/>
                <w:i/>
                <w:szCs w:val="24"/>
                <w:lang w:val="fr-FR" w:eastAsia="fr-BE"/>
              </w:rPr>
              <w:t>i durabile.</w:t>
            </w:r>
          </w:p>
        </w:tc>
      </w:tr>
      <w:tr w:rsidR="00F21429" w:rsidRPr="00A158A9" w:rsidTr="006B7F12">
        <w:trPr>
          <w:trHeight w:val="4282"/>
          <w:jc w:val="center"/>
        </w:trPr>
        <w:tc>
          <w:tcPr>
            <w:tcW w:w="2713" w:type="dxa"/>
            <w:tcBorders>
              <w:top w:val="single" w:sz="4" w:space="0" w:color="auto"/>
              <w:left w:val="single" w:sz="4" w:space="0" w:color="auto"/>
              <w:bottom w:val="single" w:sz="4" w:space="0" w:color="auto"/>
              <w:right w:val="single" w:sz="4" w:space="0" w:color="auto"/>
            </w:tcBorders>
            <w:hideMark/>
          </w:tcPr>
          <w:p w:rsidR="00F21429" w:rsidRPr="00B31930" w:rsidRDefault="003B2DD2" w:rsidP="003B2DD2">
            <w:pPr>
              <w:spacing w:before="60" w:after="0"/>
              <w:rPr>
                <w:rFonts w:eastAsia="MS Mincho"/>
                <w:b/>
                <w:szCs w:val="24"/>
                <w:lang w:val="fr-FR"/>
              </w:rPr>
            </w:pPr>
            <w:r w:rsidRPr="00B31930">
              <w:rPr>
                <w:rFonts w:eastAsia="MS Mincho"/>
                <w:b/>
                <w:szCs w:val="24"/>
                <w:lang w:val="fr-FR"/>
              </w:rPr>
              <w:lastRenderedPageBreak/>
              <w:t xml:space="preserve">Obiectiv Tematic 11: Consolidarea capacității instituționale a autorităților publice și </w:t>
            </w:r>
            <w:proofErr w:type="gramStart"/>
            <w:r w:rsidRPr="00B31930">
              <w:rPr>
                <w:rFonts w:eastAsia="MS Mincho"/>
                <w:b/>
                <w:szCs w:val="24"/>
                <w:lang w:val="fr-FR"/>
              </w:rPr>
              <w:t>a</w:t>
            </w:r>
            <w:proofErr w:type="gramEnd"/>
            <w:r w:rsidRPr="00B31930">
              <w:rPr>
                <w:rFonts w:eastAsia="MS Mincho"/>
                <w:b/>
                <w:szCs w:val="24"/>
                <w:lang w:val="fr-FR"/>
              </w:rPr>
              <w:t xml:space="preserve"> persoanelor interesate și a unei administrații publice eficiente prin acțiuni menite să dezvolte capacitatea instituțională și eficiența </w:t>
            </w:r>
            <w:r w:rsidR="00A465EA">
              <w:rPr>
                <w:rFonts w:eastAsia="MS Mincho"/>
                <w:b/>
                <w:szCs w:val="24"/>
                <w:lang w:val="fr-FR"/>
              </w:rPr>
              <w:t xml:space="preserve">a </w:t>
            </w:r>
            <w:r w:rsidRPr="00B31930">
              <w:rPr>
                <w:rFonts w:eastAsia="MS Mincho"/>
                <w:b/>
                <w:szCs w:val="24"/>
                <w:lang w:val="fr-FR"/>
              </w:rPr>
              <w:t xml:space="preserve">administrațiilor și serviciilor publice vizate de implementarea FEDR, precum și prin sprijinirea acțiunilor din cadrul FSE de consolidare a capacității instituționale și a eficienței administrației publice. </w:t>
            </w:r>
          </w:p>
        </w:tc>
        <w:tc>
          <w:tcPr>
            <w:tcW w:w="3515" w:type="dxa"/>
            <w:tcBorders>
              <w:top w:val="single" w:sz="4" w:space="0" w:color="auto"/>
              <w:left w:val="single" w:sz="4" w:space="0" w:color="auto"/>
              <w:bottom w:val="single" w:sz="4" w:space="0" w:color="auto"/>
              <w:right w:val="single" w:sz="4" w:space="0" w:color="auto"/>
            </w:tcBorders>
            <w:hideMark/>
          </w:tcPr>
          <w:p w:rsidR="003B2DD2" w:rsidRPr="00B31930" w:rsidRDefault="003B2DD2" w:rsidP="003B2DD2">
            <w:pPr>
              <w:spacing w:before="60" w:after="0"/>
              <w:rPr>
                <w:rFonts w:eastAsia="MS Mincho"/>
                <w:szCs w:val="24"/>
                <w:lang w:val="fr-FR"/>
              </w:rPr>
            </w:pPr>
            <w:r w:rsidRPr="00B31930">
              <w:rPr>
                <w:rFonts w:eastAsia="MS Mincho"/>
                <w:b/>
                <w:szCs w:val="24"/>
                <w:lang w:val="fr-FR"/>
              </w:rPr>
              <w:t>PI 11.iv</w:t>
            </w:r>
            <w:r w:rsidRPr="00B31930">
              <w:rPr>
                <w:rFonts w:eastAsia="MS Mincho"/>
                <w:szCs w:val="24"/>
                <w:lang w:val="fr-FR"/>
              </w:rPr>
              <w:t>: consolidarea capacității instituționale a autorităților publice și a părților interesate și o administrație publică eficientă prin promovarea cooperării juridice și administrative și a cooperării între cetățeni și instituții</w:t>
            </w:r>
          </w:p>
          <w:p w:rsidR="00F21429" w:rsidRPr="00B31930" w:rsidRDefault="00F21429" w:rsidP="00F21429">
            <w:pPr>
              <w:spacing w:before="60" w:after="0"/>
              <w:jc w:val="left"/>
              <w:rPr>
                <w:rFonts w:eastAsia="Times New Roman"/>
                <w:szCs w:val="24"/>
                <w:lang w:val="fr-FR" w:eastAsia="fr-BE"/>
              </w:rPr>
            </w:pPr>
          </w:p>
        </w:tc>
        <w:tc>
          <w:tcPr>
            <w:tcW w:w="4824" w:type="dxa"/>
            <w:tcBorders>
              <w:top w:val="single" w:sz="4" w:space="0" w:color="auto"/>
              <w:left w:val="single" w:sz="4" w:space="0" w:color="auto"/>
              <w:bottom w:val="single" w:sz="4" w:space="0" w:color="auto"/>
              <w:right w:val="single" w:sz="4" w:space="0" w:color="auto"/>
            </w:tcBorders>
            <w:hideMark/>
          </w:tcPr>
          <w:p w:rsidR="00A77C97" w:rsidRPr="00B31930" w:rsidRDefault="00A77C97" w:rsidP="00A77C97">
            <w:pPr>
              <w:spacing w:before="60" w:after="0"/>
              <w:rPr>
                <w:rFonts w:eastAsia="Times New Roman"/>
                <w:i/>
                <w:szCs w:val="24"/>
                <w:lang w:val="fr-FR" w:eastAsia="fr-BE"/>
              </w:rPr>
            </w:pPr>
            <w:r w:rsidRPr="00B31930">
              <w:rPr>
                <w:rFonts w:eastAsia="Times New Roman"/>
                <w:i/>
                <w:szCs w:val="24"/>
                <w:lang w:val="fr-FR" w:eastAsia="fr-BE"/>
              </w:rPr>
              <w:t>Autoritãţile publice de la nivelul zonei transfrontaliere sunt confruntate cu probleme similare, fiind adesea consi</w:t>
            </w:r>
            <w:r w:rsidR="00AE2DE9">
              <w:rPr>
                <w:rFonts w:eastAsia="Times New Roman"/>
                <w:i/>
                <w:szCs w:val="24"/>
                <w:lang w:val="fr-FR" w:eastAsia="fr-BE"/>
              </w:rPr>
              <w:t>derate birocratice, opace şi puţ</w:t>
            </w:r>
            <w:r w:rsidRPr="00B31930">
              <w:rPr>
                <w:rFonts w:eastAsia="Times New Roman"/>
                <w:i/>
                <w:szCs w:val="24"/>
                <w:lang w:val="fr-FR" w:eastAsia="fr-BE"/>
              </w:rPr>
              <w:t xml:space="preserve">in deschise iniţiativelor societãţii civile. </w:t>
            </w:r>
          </w:p>
          <w:p w:rsidR="00A77C97" w:rsidRPr="00A77C97" w:rsidRDefault="00AE2DE9" w:rsidP="00A77C97">
            <w:pPr>
              <w:spacing w:before="60" w:after="0"/>
              <w:rPr>
                <w:rFonts w:eastAsia="Times New Roman"/>
                <w:i/>
                <w:szCs w:val="24"/>
                <w:lang w:val="fr-FR" w:eastAsia="fr-BE"/>
              </w:rPr>
            </w:pPr>
            <w:r>
              <w:rPr>
                <w:rFonts w:eastAsia="Times New Roman"/>
                <w:i/>
                <w:szCs w:val="24"/>
                <w:lang w:val="fr-FR" w:eastAsia="fr-BE"/>
              </w:rPr>
              <w:t>O mai buna guvernanţă este posibilă doar în condiţiile în care autorităţile publice deţin capacitatea instituţională pentru a coopera cu alte parţ</w:t>
            </w:r>
            <w:r w:rsidR="00A77C97" w:rsidRPr="00A77C97">
              <w:rPr>
                <w:rFonts w:eastAsia="Times New Roman"/>
                <w:i/>
                <w:szCs w:val="24"/>
                <w:lang w:val="fr-FR" w:eastAsia="fr-BE"/>
              </w:rPr>
              <w:t>i interesate prin ident</w:t>
            </w:r>
            <w:r>
              <w:rPr>
                <w:rFonts w:eastAsia="Times New Roman"/>
                <w:i/>
                <w:szCs w:val="24"/>
                <w:lang w:val="fr-FR" w:eastAsia="fr-BE"/>
              </w:rPr>
              <w:t>ificarea unor soluţ</w:t>
            </w:r>
            <w:r w:rsidR="00A77C97" w:rsidRPr="00A77C97">
              <w:rPr>
                <w:rFonts w:eastAsia="Times New Roman"/>
                <w:i/>
                <w:szCs w:val="24"/>
                <w:lang w:val="fr-FR" w:eastAsia="fr-BE"/>
              </w:rPr>
              <w:t xml:space="preserve">ii comune la probleme comune. </w:t>
            </w:r>
          </w:p>
          <w:p w:rsidR="00F21429" w:rsidRPr="00A77C97" w:rsidRDefault="00A77C97" w:rsidP="00A77C97">
            <w:pPr>
              <w:spacing w:before="60" w:after="0"/>
              <w:rPr>
                <w:rFonts w:eastAsia="Times New Roman"/>
                <w:i/>
                <w:szCs w:val="24"/>
                <w:lang w:val="fr-FR" w:eastAsia="fr-BE"/>
              </w:rPr>
            </w:pPr>
            <w:r w:rsidRPr="00A77C97">
              <w:rPr>
                <w:rFonts w:eastAsia="Times New Roman"/>
                <w:i/>
                <w:szCs w:val="24"/>
                <w:lang w:val="fr-FR" w:eastAsia="fr-BE"/>
              </w:rPr>
              <w:t>În acest scop este deosebit de important sã consolidãm şi sã creãm reţele de  cooperare transfrontalierã şi sã prom</w:t>
            </w:r>
            <w:r w:rsidR="00AE2DE9">
              <w:rPr>
                <w:rFonts w:eastAsia="Times New Roman"/>
                <w:i/>
                <w:szCs w:val="24"/>
                <w:lang w:val="fr-FR" w:eastAsia="fr-BE"/>
              </w:rPr>
              <w:t>ovãm iniţiativele de cooperare între parţile interesate astfel î</w:t>
            </w:r>
            <w:r w:rsidRPr="00A77C97">
              <w:rPr>
                <w:rFonts w:eastAsia="Times New Roman"/>
                <w:i/>
                <w:szCs w:val="24"/>
                <w:lang w:val="fr-FR" w:eastAsia="fr-BE"/>
              </w:rPr>
              <w:t>ncat furnizarea de servicii</w:t>
            </w:r>
            <w:r w:rsidR="00AE2DE9">
              <w:rPr>
                <w:rFonts w:eastAsia="Times New Roman"/>
                <w:i/>
                <w:szCs w:val="24"/>
                <w:lang w:val="fr-FR" w:eastAsia="fr-BE"/>
              </w:rPr>
              <w:t xml:space="preserve"> publice comune de calitate să devină posibilă</w:t>
            </w:r>
            <w:r w:rsidRPr="00A77C97">
              <w:rPr>
                <w:rFonts w:eastAsia="Times New Roman"/>
                <w:i/>
                <w:szCs w:val="24"/>
                <w:lang w:val="fr-FR" w:eastAsia="fr-BE"/>
              </w:rPr>
              <w:t>.</w:t>
            </w:r>
          </w:p>
        </w:tc>
      </w:tr>
    </w:tbl>
    <w:p w:rsidR="005221A8" w:rsidRPr="006F7519" w:rsidRDefault="005221A8" w:rsidP="00F21429">
      <w:pPr>
        <w:keepNext/>
        <w:spacing w:after="240"/>
        <w:outlineLvl w:val="1"/>
        <w:rPr>
          <w:rFonts w:eastAsia="Times New Roman"/>
          <w:b/>
          <w:szCs w:val="24"/>
          <w:lang w:val="fr-FR" w:eastAsia="fr-BE"/>
        </w:rPr>
      </w:pPr>
    </w:p>
    <w:p w:rsidR="005221A8" w:rsidRPr="00A77C97" w:rsidRDefault="005221A8">
      <w:pPr>
        <w:spacing w:before="0" w:after="0"/>
        <w:jc w:val="left"/>
        <w:rPr>
          <w:rFonts w:eastAsia="Times New Roman"/>
          <w:b/>
          <w:szCs w:val="24"/>
          <w:lang w:val="fr-FR" w:eastAsia="fr-BE"/>
        </w:rPr>
      </w:pPr>
      <w:r w:rsidRPr="00A77C97">
        <w:rPr>
          <w:rFonts w:eastAsia="Times New Roman"/>
          <w:b/>
          <w:szCs w:val="24"/>
          <w:lang w:val="fr-FR" w:eastAsia="fr-BE"/>
        </w:rPr>
        <w:br w:type="page"/>
      </w:r>
    </w:p>
    <w:p w:rsidR="00F21429" w:rsidRPr="000733B4" w:rsidRDefault="00F21429" w:rsidP="002E1C90">
      <w:pPr>
        <w:pStyle w:val="Heading2"/>
        <w:rPr>
          <w:lang w:val="fr-FR" w:eastAsia="fr-BE"/>
        </w:rPr>
      </w:pPr>
      <w:bookmarkStart w:id="13" w:name="_Toc389657957"/>
      <w:bookmarkStart w:id="14" w:name="_Toc394837749"/>
      <w:r w:rsidRPr="000733B4">
        <w:rPr>
          <w:lang w:val="fr-FR" w:eastAsia="fr-BE"/>
        </w:rPr>
        <w:lastRenderedPageBreak/>
        <w:t>1.2</w:t>
      </w:r>
      <w:r w:rsidR="009D6E69" w:rsidRPr="000733B4">
        <w:rPr>
          <w:lang w:val="fr-FR" w:eastAsia="fr-BE"/>
        </w:rPr>
        <w:t>.</w:t>
      </w:r>
      <w:r w:rsidRPr="000733B4">
        <w:rPr>
          <w:lang w:val="fr-FR" w:eastAsia="fr-BE"/>
        </w:rPr>
        <w:tab/>
      </w:r>
      <w:bookmarkEnd w:id="13"/>
      <w:r w:rsidR="00E648F4" w:rsidRPr="000733B4">
        <w:rPr>
          <w:lang w:val="fr-FR" w:eastAsia="fr-BE"/>
        </w:rPr>
        <w:t>Justificarea alocării financiare</w:t>
      </w:r>
      <w:bookmarkEnd w:id="14"/>
    </w:p>
    <w:p w:rsidR="000733B4" w:rsidRPr="00F2516F" w:rsidRDefault="000733B4" w:rsidP="000733B4">
      <w:pPr>
        <w:rPr>
          <w:lang w:val="ro-RO"/>
        </w:rPr>
      </w:pPr>
      <w:r w:rsidRPr="00F2516F">
        <w:rPr>
          <w:lang w:val="ro-RO"/>
        </w:rPr>
        <w:t xml:space="preserve">Obiectivul principal din spatele alocării financiare pentru obiectivele tematice ale Programului este de </w:t>
      </w:r>
      <w:r>
        <w:rPr>
          <w:lang w:val="ro-RO"/>
        </w:rPr>
        <w:t>a duce la îndeplinire</w:t>
      </w:r>
      <w:r w:rsidRPr="00F2516F">
        <w:rPr>
          <w:lang w:val="ro-RO"/>
        </w:rPr>
        <w:t>, într-un mod eficient</w:t>
      </w:r>
      <w:r w:rsidRPr="00B77BA5">
        <w:rPr>
          <w:lang w:val="ro-RO"/>
        </w:rPr>
        <w:t xml:space="preserve">, rezultatele preconizate ale </w:t>
      </w:r>
      <w:r w:rsidRPr="00F2516F">
        <w:rPr>
          <w:lang w:val="ro-RO"/>
        </w:rPr>
        <w:t>Programului</w:t>
      </w:r>
      <w:r>
        <w:rPr>
          <w:lang w:val="ro-RO"/>
        </w:rPr>
        <w:t>,</w:t>
      </w:r>
      <w:r w:rsidRPr="00F2516F">
        <w:rPr>
          <w:lang w:val="ro-RO"/>
        </w:rPr>
        <w:t xml:space="preserve"> pe baza resurselor disponibile. </w:t>
      </w:r>
    </w:p>
    <w:p w:rsidR="000733B4" w:rsidRPr="00F2516F" w:rsidRDefault="000733B4" w:rsidP="000733B4">
      <w:pPr>
        <w:rPr>
          <w:szCs w:val="24"/>
          <w:lang w:val="ro-RO"/>
        </w:rPr>
      </w:pPr>
      <w:r w:rsidRPr="00F2516F">
        <w:rPr>
          <w:szCs w:val="24"/>
          <w:lang w:val="ro-RO"/>
        </w:rPr>
        <w:t xml:space="preserve">Programul este finanțat de către Fondul European de Dezvoltare Regională (FEDR). Sprijinul FEDR alocat Programului se ridică la 215 745 513 EUR, apropiat de nivelul din perioada anterioară de programare (217,8 milioane EUR). Din această sumă, 6% sunt dedicați Asistenței Tehnice. </w:t>
      </w:r>
    </w:p>
    <w:p w:rsidR="000733B4" w:rsidRPr="00F2516F" w:rsidRDefault="000733B4" w:rsidP="000733B4">
      <w:pPr>
        <w:rPr>
          <w:szCs w:val="24"/>
          <w:lang w:val="ro-RO"/>
        </w:rPr>
      </w:pPr>
      <w:r w:rsidRPr="00F2516F">
        <w:rPr>
          <w:szCs w:val="24"/>
          <w:lang w:val="ro-RO"/>
        </w:rPr>
        <w:t>Instrumentul European de Vecinătate (ENI) și In</w:t>
      </w:r>
      <w:r>
        <w:rPr>
          <w:szCs w:val="24"/>
          <w:lang w:val="ro-RO"/>
        </w:rPr>
        <w:t>strumentul pentru Asistență Pre</w:t>
      </w:r>
      <w:r w:rsidRPr="00F2516F">
        <w:rPr>
          <w:szCs w:val="24"/>
          <w:lang w:val="ro-RO"/>
        </w:rPr>
        <w:t>aderare (IPA) nu se aplică acestui acestui Program, datorită faptului că implică doar două state membre UE.</w:t>
      </w:r>
    </w:p>
    <w:p w:rsidR="000733B4" w:rsidRPr="00F2516F" w:rsidRDefault="000733B4" w:rsidP="000733B4">
      <w:pPr>
        <w:rPr>
          <w:szCs w:val="24"/>
          <w:lang w:val="ro-RO"/>
        </w:rPr>
      </w:pPr>
      <w:r w:rsidRPr="00F2516F">
        <w:rPr>
          <w:szCs w:val="24"/>
          <w:lang w:val="ro-RO"/>
        </w:rPr>
        <w:t xml:space="preserve">Majoritatea finanțării va sprijini operațiuni din cadrul axei prioritare 1 ”O regiune bine conectată” (38% din totalul alocării FEDR), axei prioritare 2 ”O regiune verde” (25% din totalul alocării FEDR) și axei prioritare 3 ”O regiune sigură” (19% din totalul alocării FEDR), corespunzând obiectivelor tematice 7,6 și 5 ale FEDR. </w:t>
      </w:r>
    </w:p>
    <w:p w:rsidR="000733B4" w:rsidRPr="00F2516F" w:rsidRDefault="000733B4" w:rsidP="000733B4">
      <w:pPr>
        <w:rPr>
          <w:szCs w:val="24"/>
          <w:lang w:val="ro-RO"/>
        </w:rPr>
      </w:pPr>
      <w:r w:rsidRPr="00F2516F">
        <w:rPr>
          <w:szCs w:val="24"/>
          <w:lang w:val="ro-RO"/>
        </w:rPr>
        <w:t>Accentul pus pe accesibilitate/infrastructur</w:t>
      </w:r>
      <w:r>
        <w:rPr>
          <w:szCs w:val="24"/>
          <w:lang w:val="ro-RO"/>
        </w:rPr>
        <w:t>ă</w:t>
      </w:r>
      <w:r w:rsidRPr="00F2516F">
        <w:rPr>
          <w:szCs w:val="24"/>
          <w:lang w:val="ro-RO"/>
        </w:rPr>
        <w:t xml:space="preserve"> de transpor</w:t>
      </w:r>
      <w:r>
        <w:rPr>
          <w:szCs w:val="24"/>
          <w:lang w:val="ro-RO"/>
        </w:rPr>
        <w:t>t, protecția</w:t>
      </w:r>
      <w:r w:rsidRPr="00F2516F">
        <w:rPr>
          <w:szCs w:val="24"/>
          <w:lang w:val="ro-RO"/>
        </w:rPr>
        <w:t xml:space="preserve"> mediului (cu includerea  protejării și promovării patrimoniului) și pr</w:t>
      </w:r>
      <w:r>
        <w:rPr>
          <w:szCs w:val="24"/>
          <w:lang w:val="ro-RO"/>
        </w:rPr>
        <w:t>evenirea și gestionarea riscurilor</w:t>
      </w:r>
      <w:r w:rsidRPr="00F2516F">
        <w:rPr>
          <w:szCs w:val="24"/>
          <w:lang w:val="ro-RO"/>
        </w:rPr>
        <w:t xml:space="preserve"> este justificat de către provocările și nevoile </w:t>
      </w:r>
      <w:r>
        <w:rPr>
          <w:szCs w:val="24"/>
          <w:lang w:val="ro-RO"/>
        </w:rPr>
        <w:t>zonei</w:t>
      </w:r>
      <w:r w:rsidRPr="00F2516F">
        <w:rPr>
          <w:szCs w:val="24"/>
          <w:lang w:val="ro-RO"/>
        </w:rPr>
        <w:t xml:space="preserve"> transfrontaliere, inclusiv de faptul că abordarea într-o manieră transfrontalieră a problemelor din domeniile menționate anterior poate garanta o îmbunătățire a eficacității și creșterea eficienței. Această prioritizare a alocării financiare este bazată pe analiza rezultatelor </w:t>
      </w:r>
      <w:r>
        <w:rPr>
          <w:szCs w:val="24"/>
          <w:lang w:val="ro-RO"/>
        </w:rPr>
        <w:t>preconizate</w:t>
      </w:r>
      <w:r w:rsidRPr="00F2516F">
        <w:rPr>
          <w:szCs w:val="24"/>
          <w:lang w:val="ro-RO"/>
        </w:rPr>
        <w:t xml:space="preserve"> să fie atinse, tipurilor de acțiuni planificate sub fiecare prioritate, precum și tipurilor de investiții care vor fi făcute, luând în considerare  realitățile implementării Programului de Cooperare Transfrontalieră România – Bulgaria 2007-2013. În plus, realizările și experiența din perioada anterioară de programare au fost </w:t>
      </w:r>
      <w:r>
        <w:rPr>
          <w:szCs w:val="24"/>
          <w:lang w:val="ro-RO"/>
        </w:rPr>
        <w:t>și ele luate în considerare.</w:t>
      </w:r>
    </w:p>
    <w:p w:rsidR="000733B4" w:rsidRPr="00F2516F" w:rsidRDefault="000733B4" w:rsidP="000733B4">
      <w:pPr>
        <w:rPr>
          <w:szCs w:val="24"/>
          <w:lang w:val="ro-RO"/>
        </w:rPr>
      </w:pPr>
      <w:r w:rsidRPr="00F2516F">
        <w:rPr>
          <w:szCs w:val="24"/>
          <w:lang w:val="ro-RO"/>
        </w:rPr>
        <w:t xml:space="preserve">Finanțarea axei prioritare 4 ”O regiune calificată și </w:t>
      </w:r>
      <w:r w:rsidRPr="00FD7E01">
        <w:rPr>
          <w:szCs w:val="24"/>
          <w:lang w:val="ro-RO"/>
        </w:rPr>
        <w:t>inclusivă</w:t>
      </w:r>
      <w:r w:rsidRPr="00F2516F">
        <w:rPr>
          <w:szCs w:val="24"/>
          <w:lang w:val="ro-RO"/>
        </w:rPr>
        <w:t>” a fost stabilită la 7% din totalul alocării FEDR, pe baza analizei detaliate a nevoilor și concluziilor privind integrarea scăzută a piețelor de muncă ș</w:t>
      </w:r>
      <w:r w:rsidR="00017CA1">
        <w:rPr>
          <w:szCs w:val="24"/>
          <w:lang w:val="ro-RO"/>
        </w:rPr>
        <w:t>i pos</w:t>
      </w:r>
      <w:r>
        <w:rPr>
          <w:szCs w:val="24"/>
          <w:lang w:val="ro-RO"/>
        </w:rPr>
        <w:t>i</w:t>
      </w:r>
      <w:r w:rsidR="00017CA1">
        <w:rPr>
          <w:szCs w:val="24"/>
          <w:lang w:val="ro-RO"/>
        </w:rPr>
        <w:t>bi</w:t>
      </w:r>
      <w:r>
        <w:rPr>
          <w:szCs w:val="24"/>
          <w:lang w:val="ro-RO"/>
        </w:rPr>
        <w:t>litatea</w:t>
      </w:r>
      <w:r w:rsidRPr="00F2516F">
        <w:rPr>
          <w:szCs w:val="24"/>
          <w:lang w:val="ro-RO"/>
        </w:rPr>
        <w:t xml:space="preserve"> de a debloca dezvoltarea antreprenoriatului și oportunităților</w:t>
      </w:r>
      <w:r>
        <w:rPr>
          <w:szCs w:val="24"/>
          <w:lang w:val="ro-RO"/>
        </w:rPr>
        <w:t xml:space="preserve"> de angajare, extrem de necesare</w:t>
      </w:r>
      <w:r w:rsidRPr="00F2516F">
        <w:rPr>
          <w:szCs w:val="24"/>
          <w:lang w:val="ro-RO"/>
        </w:rPr>
        <w:t xml:space="preserve">, prin sprijinul acordat mobilității forței de muncă și capacității forțelor de muncă naționale (din zona eligibilă) de a munci de partea </w:t>
      </w:r>
      <w:r>
        <w:rPr>
          <w:szCs w:val="24"/>
          <w:lang w:val="ro-RO"/>
        </w:rPr>
        <w:t>opusă</w:t>
      </w:r>
      <w:r w:rsidRPr="00F2516F">
        <w:rPr>
          <w:szCs w:val="24"/>
          <w:lang w:val="ro-RO"/>
        </w:rPr>
        <w:t xml:space="preserve"> a frontierei. </w:t>
      </w:r>
    </w:p>
    <w:p w:rsidR="000733B4" w:rsidRPr="00F2516F" w:rsidRDefault="000733B4" w:rsidP="000733B4">
      <w:pPr>
        <w:rPr>
          <w:szCs w:val="24"/>
          <w:lang w:val="ro-RO"/>
        </w:rPr>
      </w:pPr>
      <w:r w:rsidRPr="00F2516F">
        <w:rPr>
          <w:szCs w:val="24"/>
          <w:lang w:val="ro-RO"/>
        </w:rPr>
        <w:t xml:space="preserve">5% din sprijinul total din partea Uniunii va fi alocat către axa prioritară 5 ”O regiune eficientă” pentru a răspunde la nevoia reală și cererea </w:t>
      </w:r>
      <w:r>
        <w:rPr>
          <w:szCs w:val="24"/>
          <w:lang w:val="ro-RO"/>
        </w:rPr>
        <w:t>reciprocă</w:t>
      </w:r>
      <w:r w:rsidRPr="00F2516F">
        <w:rPr>
          <w:szCs w:val="24"/>
          <w:lang w:val="ro-RO"/>
        </w:rPr>
        <w:t xml:space="preserve"> a instituțiilor interesatede a crește capacitatea de cooperare transfrontalieră și schimburile de experiență dintre administrațiile/instituțiile publice de la diverse niveluri teritoriale și</w:t>
      </w:r>
      <w:r w:rsidR="00802F4B">
        <w:rPr>
          <w:szCs w:val="24"/>
          <w:lang w:val="ro-RO"/>
        </w:rPr>
        <w:t xml:space="preserve"> de a cre</w:t>
      </w:r>
      <w:r w:rsidRPr="00F2516F">
        <w:rPr>
          <w:szCs w:val="24"/>
          <w:lang w:val="ro-RO"/>
        </w:rPr>
        <w:t>a stimuli și cadre pentru activități comune instituționalizate ca răspuns la probleme</w:t>
      </w:r>
      <w:r>
        <w:rPr>
          <w:szCs w:val="24"/>
          <w:lang w:val="ro-RO"/>
        </w:rPr>
        <w:t>le</w:t>
      </w:r>
      <w:r w:rsidRPr="00F2516F">
        <w:rPr>
          <w:szCs w:val="24"/>
          <w:lang w:val="ro-RO"/>
        </w:rPr>
        <w:t xml:space="preserve"> comune.  </w:t>
      </w:r>
    </w:p>
    <w:p w:rsidR="000733B4" w:rsidRPr="000733B4" w:rsidRDefault="000733B4" w:rsidP="00E87E22">
      <w:pPr>
        <w:keepNext/>
        <w:spacing w:before="360" w:after="240"/>
        <w:ind w:left="1560" w:hanging="1560"/>
        <w:outlineLvl w:val="0"/>
        <w:rPr>
          <w:rFonts w:eastAsia="Times New Roman"/>
          <w:b/>
          <w:bCs/>
          <w:smallCaps/>
          <w:szCs w:val="24"/>
          <w:lang w:val="ro-RO"/>
        </w:rPr>
        <w:sectPr w:rsidR="000733B4" w:rsidRPr="000733B4" w:rsidSect="00523803">
          <w:pgSz w:w="11906" w:h="16838"/>
          <w:pgMar w:top="1021" w:right="1418" w:bottom="1021" w:left="1418" w:header="454" w:footer="624" w:gutter="0"/>
          <w:cols w:space="708"/>
          <w:docGrid w:linePitch="326"/>
        </w:sectPr>
      </w:pPr>
    </w:p>
    <w:p w:rsidR="00F21429" w:rsidRPr="00FF685E" w:rsidRDefault="00E648F4" w:rsidP="002E1C90">
      <w:pPr>
        <w:pStyle w:val="Heading2"/>
        <w:rPr>
          <w:lang w:val="fr-FR" w:eastAsia="fr-BE"/>
        </w:rPr>
      </w:pPr>
      <w:bookmarkStart w:id="15" w:name="_Toc394837750"/>
      <w:r w:rsidRPr="00FF685E">
        <w:rPr>
          <w:lang w:val="fr-FR" w:eastAsia="fr-BE"/>
        </w:rPr>
        <w:lastRenderedPageBreak/>
        <w:t xml:space="preserve">Tabelul 2: </w:t>
      </w:r>
      <w:r w:rsidR="00FA72D0" w:rsidRPr="00FA72D0">
        <w:rPr>
          <w:lang w:val="fr-FR" w:eastAsia="fr-BE"/>
        </w:rPr>
        <w:t>Imagine de ansamblu asupra strategiei de investiții a programului de cooperare</w:t>
      </w:r>
      <w:bookmarkEnd w:id="15"/>
    </w:p>
    <w:tbl>
      <w:tblPr>
        <w:tblW w:w="15015" w:type="dxa"/>
        <w:jc w:val="center"/>
        <w:tblLayout w:type="fixed"/>
        <w:tblCellMar>
          <w:left w:w="70" w:type="dxa"/>
          <w:right w:w="70" w:type="dxa"/>
        </w:tblCellMar>
        <w:tblLook w:val="04A0" w:firstRow="1" w:lastRow="0" w:firstColumn="1" w:lastColumn="0" w:noHBand="0" w:noVBand="1"/>
      </w:tblPr>
      <w:tblGrid>
        <w:gridCol w:w="1388"/>
        <w:gridCol w:w="1417"/>
        <w:gridCol w:w="843"/>
        <w:gridCol w:w="850"/>
        <w:gridCol w:w="851"/>
        <w:gridCol w:w="1700"/>
        <w:gridCol w:w="3117"/>
        <w:gridCol w:w="2409"/>
        <w:gridCol w:w="2440"/>
      </w:tblGrid>
      <w:tr w:rsidR="00FA72D0" w:rsidRPr="00FA72D0" w:rsidTr="008A29E2">
        <w:trPr>
          <w:trHeight w:val="300"/>
          <w:jc w:val="center"/>
        </w:trPr>
        <w:tc>
          <w:tcPr>
            <w:tcW w:w="1388" w:type="dxa"/>
            <w:vMerge w:val="restart"/>
            <w:tcBorders>
              <w:top w:val="single" w:sz="4" w:space="0" w:color="auto"/>
              <w:left w:val="single" w:sz="4" w:space="0" w:color="auto"/>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b/>
                <w:bCs/>
                <w:color w:val="000000"/>
                <w:sz w:val="20"/>
                <w:lang w:val="en-US" w:eastAsia="fr-FR"/>
              </w:rPr>
            </w:pPr>
            <w:r w:rsidRPr="00FA72D0">
              <w:rPr>
                <w:rFonts w:eastAsia="Times New Roman"/>
                <w:b/>
                <w:bCs/>
                <w:color w:val="000000"/>
                <w:sz w:val="20"/>
                <w:lang w:val="en-US" w:eastAsia="fr-FR"/>
              </w:rPr>
              <w:t>Axa </w:t>
            </w:r>
          </w:p>
          <w:p w:rsidR="00FA72D0" w:rsidRPr="00FA72D0" w:rsidRDefault="00FA72D0" w:rsidP="008A29E2">
            <w:pPr>
              <w:spacing w:after="0"/>
              <w:jc w:val="center"/>
              <w:rPr>
                <w:rFonts w:eastAsia="Times New Roman"/>
                <w:b/>
                <w:color w:val="000000"/>
                <w:sz w:val="20"/>
                <w:lang w:val="en-US" w:eastAsia="fr-FR"/>
              </w:rPr>
            </w:pPr>
            <w:r w:rsidRPr="00FA72D0">
              <w:rPr>
                <w:rFonts w:eastAsia="Times New Roman"/>
                <w:b/>
                <w:bCs/>
                <w:color w:val="000000"/>
                <w:sz w:val="20"/>
                <w:lang w:val="en-US" w:eastAsia="fr-FR"/>
              </w:rPr>
              <w:t>prioritară </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b/>
                <w:color w:val="000000"/>
                <w:sz w:val="20"/>
                <w:lang w:val="en-US" w:eastAsia="fr-FR"/>
              </w:rPr>
            </w:pPr>
            <w:r w:rsidRPr="00FA72D0">
              <w:rPr>
                <w:b/>
                <w:sz w:val="20"/>
              </w:rPr>
              <w:t>Sprijinul FEDR (in EUR)</w:t>
            </w:r>
          </w:p>
        </w:tc>
        <w:tc>
          <w:tcPr>
            <w:tcW w:w="2544" w:type="dxa"/>
            <w:gridSpan w:val="3"/>
            <w:tcBorders>
              <w:top w:val="single" w:sz="4" w:space="0" w:color="auto"/>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b/>
                <w:color w:val="000000"/>
                <w:sz w:val="20"/>
                <w:lang w:val="fr-FR" w:eastAsia="fr-FR"/>
              </w:rPr>
            </w:pPr>
            <w:r w:rsidRPr="00FA72D0">
              <w:rPr>
                <w:rFonts w:eastAsia="Times New Roman"/>
                <w:b/>
                <w:color w:val="000000"/>
                <w:sz w:val="20"/>
                <w:lang w:val="fr-FR" w:eastAsia="fr-FR"/>
              </w:rPr>
              <w:t xml:space="preserve">Proporția (%) sprijinului total al Uniunii pentru programul de cooperare </w:t>
            </w:r>
          </w:p>
        </w:tc>
        <w:tc>
          <w:tcPr>
            <w:tcW w:w="1700" w:type="dxa"/>
            <w:vMerge w:val="restart"/>
            <w:tcBorders>
              <w:top w:val="single" w:sz="4" w:space="0" w:color="auto"/>
              <w:left w:val="single" w:sz="4" w:space="0" w:color="auto"/>
              <w:bottom w:val="single" w:sz="4" w:space="0" w:color="000000"/>
              <w:right w:val="single" w:sz="4" w:space="0" w:color="auto"/>
            </w:tcBorders>
            <w:vAlign w:val="center"/>
            <w:hideMark/>
          </w:tcPr>
          <w:p w:rsidR="00FA72D0" w:rsidRPr="00FA72D0" w:rsidRDefault="00FA72D0" w:rsidP="008A29E2">
            <w:pPr>
              <w:spacing w:after="0"/>
              <w:jc w:val="center"/>
              <w:rPr>
                <w:rFonts w:eastAsia="Times New Roman"/>
                <w:b/>
                <w:color w:val="000000"/>
                <w:sz w:val="20"/>
                <w:lang w:val="en-US" w:eastAsia="fr-FR"/>
              </w:rPr>
            </w:pPr>
            <w:r w:rsidRPr="00FA72D0">
              <w:rPr>
                <w:rFonts w:eastAsia="Times New Roman"/>
                <w:b/>
                <w:color w:val="000000"/>
                <w:sz w:val="20"/>
                <w:lang w:val="en-US" w:eastAsia="fr-FR"/>
              </w:rPr>
              <w:t>Obiectiv Tematic</w:t>
            </w:r>
          </w:p>
        </w:tc>
        <w:tc>
          <w:tcPr>
            <w:tcW w:w="3117" w:type="dxa"/>
            <w:vMerge w:val="restart"/>
            <w:tcBorders>
              <w:top w:val="single" w:sz="4" w:space="0" w:color="auto"/>
              <w:left w:val="single" w:sz="4" w:space="0" w:color="auto"/>
              <w:bottom w:val="single" w:sz="4" w:space="0" w:color="000000"/>
              <w:right w:val="single" w:sz="4" w:space="0" w:color="auto"/>
            </w:tcBorders>
            <w:vAlign w:val="center"/>
            <w:hideMark/>
          </w:tcPr>
          <w:p w:rsidR="00FA72D0" w:rsidRPr="00FA72D0" w:rsidRDefault="00FA72D0" w:rsidP="008A29E2">
            <w:pPr>
              <w:spacing w:after="0"/>
              <w:jc w:val="center"/>
              <w:rPr>
                <w:rFonts w:eastAsia="Times New Roman"/>
                <w:b/>
                <w:color w:val="000000"/>
                <w:sz w:val="20"/>
                <w:lang w:val="en-US" w:eastAsia="fr-FR"/>
              </w:rPr>
            </w:pPr>
            <w:r w:rsidRPr="00FA72D0">
              <w:rPr>
                <w:b/>
                <w:bCs/>
                <w:sz w:val="20"/>
                <w:lang w:val="en-US"/>
              </w:rPr>
              <w:t>Priorități de investiții</w:t>
            </w: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b/>
                <w:color w:val="000000"/>
                <w:sz w:val="20"/>
                <w:lang w:val="en-US" w:eastAsia="fr-FR"/>
              </w:rPr>
            </w:pPr>
            <w:r w:rsidRPr="00FA72D0">
              <w:rPr>
                <w:rFonts w:eastAsia="Times New Roman"/>
                <w:b/>
                <w:color w:val="000000"/>
                <w:sz w:val="20"/>
                <w:lang w:eastAsia="fr-FR"/>
              </w:rPr>
              <w:t>Obiective specifice corespunzătoare priorităților de investiții</w:t>
            </w:r>
          </w:p>
        </w:tc>
        <w:tc>
          <w:tcPr>
            <w:tcW w:w="2440" w:type="dxa"/>
            <w:vMerge w:val="restart"/>
            <w:tcBorders>
              <w:top w:val="single" w:sz="4" w:space="0" w:color="auto"/>
              <w:left w:val="single" w:sz="4" w:space="0" w:color="auto"/>
              <w:bottom w:val="single" w:sz="4" w:space="0" w:color="auto"/>
              <w:right w:val="single" w:sz="4" w:space="0" w:color="auto"/>
            </w:tcBorders>
            <w:vAlign w:val="center"/>
            <w:hideMark/>
          </w:tcPr>
          <w:p w:rsidR="00FA72D0" w:rsidRPr="00FA72D0" w:rsidRDefault="00802F4B" w:rsidP="008A29E2">
            <w:pPr>
              <w:spacing w:after="0"/>
              <w:jc w:val="center"/>
              <w:rPr>
                <w:rFonts w:eastAsia="Times New Roman"/>
                <w:b/>
                <w:color w:val="000000"/>
                <w:sz w:val="20"/>
                <w:lang w:val="fr-FR" w:eastAsia="fr-FR"/>
              </w:rPr>
            </w:pPr>
            <w:r>
              <w:rPr>
                <w:rFonts w:eastAsia="Times New Roman"/>
                <w:b/>
                <w:color w:val="000000"/>
                <w:sz w:val="20"/>
                <w:lang w:val="fr-FR" w:eastAsia="fr-FR"/>
              </w:rPr>
              <w:t>Indicatori</w:t>
            </w:r>
            <w:r w:rsidR="00AA6495" w:rsidRPr="00E8711B">
              <w:rPr>
                <w:rFonts w:eastAsia="Times New Roman"/>
                <w:b/>
                <w:sz w:val="20"/>
                <w:lang w:val="fr-FR" w:eastAsia="fr-FR"/>
              </w:rPr>
              <w:t>i</w:t>
            </w:r>
            <w:r w:rsidR="00E8711B">
              <w:rPr>
                <w:rFonts w:eastAsia="Times New Roman"/>
                <w:b/>
                <w:color w:val="FF0000"/>
                <w:sz w:val="20"/>
                <w:lang w:val="fr-FR" w:eastAsia="fr-FR"/>
              </w:rPr>
              <w:t xml:space="preserve"> </w:t>
            </w:r>
            <w:r w:rsidR="00FA72D0" w:rsidRPr="00FA72D0">
              <w:rPr>
                <w:rFonts w:eastAsia="Times New Roman"/>
                <w:b/>
                <w:color w:val="000000"/>
                <w:sz w:val="20"/>
                <w:lang w:val="fr-FR" w:eastAsia="fr-FR"/>
              </w:rPr>
              <w:t>de rezultat care corespund obiectivului specific</w:t>
            </w:r>
          </w:p>
        </w:tc>
      </w:tr>
      <w:tr w:rsidR="00FA72D0" w:rsidRPr="00FA72D0" w:rsidTr="008A29E2">
        <w:trPr>
          <w:trHeight w:val="1200"/>
          <w:jc w:val="center"/>
        </w:trPr>
        <w:tc>
          <w:tcPr>
            <w:tcW w:w="1388" w:type="dxa"/>
            <w:vMerge/>
            <w:tcBorders>
              <w:top w:val="single" w:sz="4" w:space="0" w:color="auto"/>
              <w:left w:val="single" w:sz="4" w:space="0" w:color="auto"/>
              <w:bottom w:val="single" w:sz="4" w:space="0" w:color="auto"/>
              <w:right w:val="single" w:sz="4" w:space="0" w:color="auto"/>
            </w:tcBorders>
            <w:vAlign w:val="center"/>
            <w:hideMark/>
          </w:tcPr>
          <w:p w:rsidR="00FA72D0" w:rsidRPr="00FA72D0" w:rsidRDefault="00FA72D0" w:rsidP="008A29E2">
            <w:pPr>
              <w:keepNext/>
              <w:spacing w:before="0" w:after="0"/>
              <w:jc w:val="left"/>
              <w:outlineLvl w:val="0"/>
              <w:rPr>
                <w:rFonts w:eastAsia="Times New Roman"/>
                <w:b/>
                <w:color w:val="000000"/>
                <w:sz w:val="20"/>
                <w:lang w:val="fr-FR" w:eastAsia="fr-FR"/>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A72D0" w:rsidRPr="00FA72D0" w:rsidRDefault="00FA72D0" w:rsidP="008A29E2">
            <w:pPr>
              <w:keepNext/>
              <w:spacing w:before="0" w:after="0"/>
              <w:jc w:val="left"/>
              <w:outlineLvl w:val="0"/>
              <w:rPr>
                <w:rFonts w:eastAsia="Times New Roman"/>
                <w:b/>
                <w:color w:val="000000"/>
                <w:sz w:val="20"/>
                <w:lang w:val="fr-FR" w:eastAsia="fr-FR"/>
              </w:rPr>
            </w:pPr>
          </w:p>
        </w:tc>
        <w:tc>
          <w:tcPr>
            <w:tcW w:w="843" w:type="dxa"/>
            <w:tcBorders>
              <w:top w:val="nil"/>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b/>
                <w:color w:val="000000"/>
                <w:sz w:val="20"/>
                <w:lang w:val="en-US" w:eastAsia="fr-FR"/>
              </w:rPr>
            </w:pPr>
            <w:r w:rsidRPr="00FA72D0">
              <w:rPr>
                <w:rFonts w:eastAsia="Times New Roman"/>
                <w:b/>
                <w:color w:val="000000"/>
                <w:sz w:val="20"/>
                <w:lang w:val="en-US" w:eastAsia="fr-FR"/>
              </w:rPr>
              <w:t xml:space="preserve">FEDR  </w:t>
            </w:r>
          </w:p>
        </w:tc>
        <w:tc>
          <w:tcPr>
            <w:tcW w:w="850" w:type="dxa"/>
            <w:tcBorders>
              <w:top w:val="nil"/>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b/>
                <w:color w:val="000000"/>
                <w:sz w:val="20"/>
                <w:lang w:val="en-US" w:eastAsia="fr-FR"/>
              </w:rPr>
            </w:pPr>
            <w:r w:rsidRPr="00FA72D0">
              <w:rPr>
                <w:rFonts w:eastAsia="Times New Roman"/>
                <w:b/>
                <w:color w:val="000000"/>
                <w:sz w:val="20"/>
                <w:lang w:val="en-US" w:eastAsia="fr-FR"/>
              </w:rPr>
              <w:t xml:space="preserve">ENI  </w:t>
            </w:r>
          </w:p>
        </w:tc>
        <w:tc>
          <w:tcPr>
            <w:tcW w:w="851" w:type="dxa"/>
            <w:tcBorders>
              <w:top w:val="nil"/>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b/>
                <w:color w:val="000000"/>
                <w:sz w:val="20"/>
                <w:lang w:val="en-US" w:eastAsia="fr-FR"/>
              </w:rPr>
            </w:pPr>
            <w:r w:rsidRPr="00FA72D0">
              <w:rPr>
                <w:rFonts w:eastAsia="Times New Roman"/>
                <w:b/>
                <w:color w:val="000000"/>
                <w:sz w:val="20"/>
                <w:lang w:val="en-US" w:eastAsia="fr-FR"/>
              </w:rPr>
              <w:t xml:space="preserve">IPA  </w:t>
            </w:r>
          </w:p>
        </w:tc>
        <w:tc>
          <w:tcPr>
            <w:tcW w:w="1700" w:type="dxa"/>
            <w:vMerge/>
            <w:tcBorders>
              <w:top w:val="single" w:sz="4" w:space="0" w:color="auto"/>
              <w:left w:val="single" w:sz="4" w:space="0" w:color="auto"/>
              <w:bottom w:val="single" w:sz="4" w:space="0" w:color="000000"/>
              <w:right w:val="single" w:sz="4" w:space="0" w:color="auto"/>
            </w:tcBorders>
            <w:vAlign w:val="center"/>
            <w:hideMark/>
          </w:tcPr>
          <w:p w:rsidR="00FA72D0" w:rsidRPr="00FA72D0" w:rsidRDefault="00FA72D0" w:rsidP="008A29E2">
            <w:pPr>
              <w:keepNext/>
              <w:spacing w:before="0" w:after="0"/>
              <w:jc w:val="left"/>
              <w:outlineLvl w:val="0"/>
              <w:rPr>
                <w:rFonts w:eastAsia="Times New Roman"/>
                <w:b/>
                <w:color w:val="000000"/>
                <w:sz w:val="20"/>
                <w:lang w:val="en-US" w:eastAsia="fr-FR"/>
              </w:rPr>
            </w:pPr>
          </w:p>
        </w:tc>
        <w:tc>
          <w:tcPr>
            <w:tcW w:w="3117" w:type="dxa"/>
            <w:vMerge/>
            <w:tcBorders>
              <w:top w:val="single" w:sz="4" w:space="0" w:color="auto"/>
              <w:left w:val="single" w:sz="4" w:space="0" w:color="auto"/>
              <w:bottom w:val="single" w:sz="4" w:space="0" w:color="000000"/>
              <w:right w:val="single" w:sz="4" w:space="0" w:color="auto"/>
            </w:tcBorders>
            <w:vAlign w:val="center"/>
            <w:hideMark/>
          </w:tcPr>
          <w:p w:rsidR="00FA72D0" w:rsidRPr="00FA72D0" w:rsidRDefault="00FA72D0" w:rsidP="008A29E2">
            <w:pPr>
              <w:keepNext/>
              <w:spacing w:before="0" w:after="0"/>
              <w:jc w:val="left"/>
              <w:outlineLvl w:val="0"/>
              <w:rPr>
                <w:rFonts w:eastAsia="Times New Roman"/>
                <w:b/>
                <w:color w:val="000000"/>
                <w:sz w:val="20"/>
                <w:lang w:val="en-US" w:eastAsia="fr-FR"/>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FA72D0" w:rsidRPr="00FA72D0" w:rsidRDefault="00FA72D0" w:rsidP="008A29E2">
            <w:pPr>
              <w:keepNext/>
              <w:spacing w:before="0" w:after="0"/>
              <w:jc w:val="left"/>
              <w:outlineLvl w:val="0"/>
              <w:rPr>
                <w:rFonts w:eastAsia="Times New Roman"/>
                <w:b/>
                <w:color w:val="000000"/>
                <w:sz w:val="20"/>
                <w:lang w:val="en-US" w:eastAsia="fr-FR"/>
              </w:rPr>
            </w:pP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A72D0" w:rsidRPr="00FA72D0" w:rsidRDefault="00FA72D0" w:rsidP="008A29E2">
            <w:pPr>
              <w:keepNext/>
              <w:spacing w:before="0" w:after="0"/>
              <w:jc w:val="left"/>
              <w:outlineLvl w:val="0"/>
              <w:rPr>
                <w:rFonts w:eastAsia="Times New Roman"/>
                <w:b/>
                <w:color w:val="000000"/>
                <w:sz w:val="20"/>
                <w:lang w:val="en-US" w:eastAsia="fr-FR"/>
              </w:rPr>
            </w:pPr>
          </w:p>
        </w:tc>
      </w:tr>
      <w:tr w:rsidR="00FA72D0" w:rsidRPr="00FA72D0" w:rsidTr="008A29E2">
        <w:trPr>
          <w:trHeight w:val="1500"/>
          <w:jc w:val="center"/>
        </w:trPr>
        <w:tc>
          <w:tcPr>
            <w:tcW w:w="1388" w:type="dxa"/>
            <w:vMerge w:val="restart"/>
            <w:tcBorders>
              <w:top w:val="nil"/>
              <w:left w:val="single" w:sz="4" w:space="0" w:color="auto"/>
              <w:bottom w:val="single" w:sz="4" w:space="0" w:color="auto"/>
              <w:right w:val="single" w:sz="4" w:space="0" w:color="auto"/>
            </w:tcBorders>
            <w:vAlign w:val="center"/>
            <w:hideMark/>
          </w:tcPr>
          <w:p w:rsidR="00FA72D0" w:rsidRPr="006F7519" w:rsidRDefault="00FA72D0" w:rsidP="008A29E2">
            <w:pPr>
              <w:spacing w:after="0"/>
              <w:jc w:val="center"/>
              <w:rPr>
                <w:rFonts w:eastAsia="Times New Roman"/>
                <w:color w:val="000000"/>
                <w:sz w:val="22"/>
                <w:szCs w:val="22"/>
                <w:lang w:val="it-IT" w:eastAsia="fr-FR"/>
              </w:rPr>
            </w:pPr>
            <w:r w:rsidRPr="006F7519">
              <w:rPr>
                <w:rFonts w:eastAsia="Times New Roman"/>
                <w:color w:val="000000"/>
                <w:sz w:val="22"/>
                <w:szCs w:val="22"/>
                <w:lang w:val="it-IT" w:eastAsia="fr-FR"/>
              </w:rPr>
              <w:t>AP 1: O regiune bine conectată</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81,983,295</w:t>
            </w:r>
          </w:p>
        </w:tc>
        <w:tc>
          <w:tcPr>
            <w:tcW w:w="843" w:type="dxa"/>
            <w:vMerge w:val="restart"/>
            <w:tcBorders>
              <w:top w:val="single" w:sz="4" w:space="0" w:color="auto"/>
              <w:left w:val="single" w:sz="4" w:space="0" w:color="auto"/>
              <w:bottom w:val="single" w:sz="4" w:space="0" w:color="000000"/>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38% </w:t>
            </w:r>
          </w:p>
        </w:tc>
        <w:tc>
          <w:tcPr>
            <w:tcW w:w="850" w:type="dxa"/>
            <w:vMerge w:val="restart"/>
            <w:tcBorders>
              <w:top w:val="single" w:sz="4" w:space="0" w:color="auto"/>
              <w:left w:val="single" w:sz="4" w:space="0" w:color="auto"/>
              <w:bottom w:val="single" w:sz="4" w:space="0" w:color="000000"/>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NA</w:t>
            </w:r>
          </w:p>
        </w:tc>
        <w:tc>
          <w:tcPr>
            <w:tcW w:w="851" w:type="dxa"/>
            <w:vMerge w:val="restart"/>
            <w:tcBorders>
              <w:top w:val="single" w:sz="4" w:space="0" w:color="auto"/>
              <w:left w:val="single" w:sz="4" w:space="0" w:color="auto"/>
              <w:bottom w:val="single" w:sz="4" w:space="0" w:color="000000"/>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NA</w:t>
            </w:r>
          </w:p>
        </w:tc>
        <w:tc>
          <w:tcPr>
            <w:tcW w:w="1700" w:type="dxa"/>
            <w:vMerge w:val="restart"/>
            <w:tcBorders>
              <w:top w:val="single" w:sz="4" w:space="0" w:color="auto"/>
              <w:left w:val="single" w:sz="4" w:space="0" w:color="auto"/>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OT 7: Promovarea sistemelor de transport durabile și eliminarea blocajelor din cadrul infrastructurilor rețelelor majore</w:t>
            </w:r>
          </w:p>
        </w:tc>
        <w:tc>
          <w:tcPr>
            <w:tcW w:w="3117" w:type="dxa"/>
            <w:tcBorders>
              <w:top w:val="single" w:sz="4" w:space="0" w:color="auto"/>
              <w:left w:val="nil"/>
              <w:bottom w:val="single" w:sz="4" w:space="0" w:color="auto"/>
              <w:right w:val="single" w:sz="4" w:space="0" w:color="auto"/>
            </w:tcBorders>
            <w:vAlign w:val="center"/>
            <w:hideMark/>
          </w:tcPr>
          <w:p w:rsidR="00FA72D0" w:rsidRPr="006F7519" w:rsidRDefault="00FA72D0" w:rsidP="008A29E2">
            <w:pPr>
              <w:spacing w:after="0"/>
              <w:jc w:val="center"/>
              <w:rPr>
                <w:rFonts w:eastAsia="Times New Roman"/>
                <w:sz w:val="22"/>
                <w:szCs w:val="22"/>
                <w:lang w:val="it-IT" w:eastAsia="fr-BE"/>
              </w:rPr>
            </w:pPr>
            <w:r w:rsidRPr="006F7519">
              <w:rPr>
                <w:rFonts w:eastAsia="Times New Roman"/>
                <w:sz w:val="22"/>
                <w:szCs w:val="22"/>
                <w:lang w:val="it-IT" w:eastAsia="fr-BE"/>
              </w:rPr>
              <w:t>PI 7b: stimularea mobilității regionale prin conectarea nodurilor secundare și terțiare la infrastructura TEN-T, inclusiv a nodurilor multimodale;</w:t>
            </w:r>
          </w:p>
          <w:p w:rsidR="00FA72D0" w:rsidRPr="006F7519" w:rsidRDefault="00FA72D0" w:rsidP="008A29E2">
            <w:pPr>
              <w:spacing w:after="0"/>
              <w:jc w:val="center"/>
              <w:rPr>
                <w:rFonts w:eastAsia="Times New Roman"/>
                <w:sz w:val="22"/>
                <w:szCs w:val="22"/>
                <w:lang w:val="it-IT" w:eastAsia="fr-BE"/>
              </w:rPr>
            </w:pPr>
          </w:p>
        </w:tc>
        <w:tc>
          <w:tcPr>
            <w:tcW w:w="2409" w:type="dxa"/>
            <w:tcBorders>
              <w:top w:val="single" w:sz="4" w:space="0" w:color="auto"/>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fr-FR" w:eastAsia="fr-FR"/>
              </w:rPr>
            </w:pPr>
            <w:r w:rsidRPr="00FA72D0">
              <w:rPr>
                <w:rFonts w:eastAsia="Times New Roman"/>
                <w:color w:val="000000"/>
                <w:sz w:val="22"/>
                <w:szCs w:val="22"/>
                <w:lang w:val="fr-FR" w:eastAsia="fr-FR"/>
              </w:rPr>
              <w:t xml:space="preserve">OS 1.1: Îmbunătățirea </w:t>
            </w:r>
            <w:r w:rsidRPr="00FA72D0">
              <w:rPr>
                <w:sz w:val="22"/>
                <w:szCs w:val="22"/>
                <w:lang w:val="fr-FR"/>
              </w:rPr>
              <w:t>procesului de planificare, dezvoltare și coordonare a sistemelor de transport transfrontaliere în vederea asigurari</w:t>
            </w:r>
            <w:r w:rsidR="00802F4B">
              <w:rPr>
                <w:sz w:val="22"/>
                <w:szCs w:val="22"/>
                <w:lang w:val="fr-FR"/>
              </w:rPr>
              <w:t>i unor mai bune conexiuni la reţ</w:t>
            </w:r>
            <w:r w:rsidRPr="00FA72D0">
              <w:rPr>
                <w:sz w:val="22"/>
                <w:szCs w:val="22"/>
                <w:lang w:val="fr-FR"/>
              </w:rPr>
              <w:t>elele de transport TEN-T.</w:t>
            </w:r>
          </w:p>
        </w:tc>
        <w:tc>
          <w:tcPr>
            <w:tcW w:w="2440" w:type="dxa"/>
            <w:tcBorders>
              <w:top w:val="nil"/>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fr-FR" w:eastAsia="fr-FR"/>
              </w:rPr>
            </w:pPr>
            <w:r w:rsidRPr="00FA72D0">
              <w:rPr>
                <w:sz w:val="22"/>
                <w:szCs w:val="22"/>
                <w:lang w:val="fr-FR"/>
              </w:rPr>
              <w:t xml:space="preserve">Populația transfrontalieră care este deservită </w:t>
            </w:r>
            <w:proofErr w:type="gramStart"/>
            <w:r w:rsidRPr="00FA72D0">
              <w:rPr>
                <w:sz w:val="22"/>
                <w:szCs w:val="22"/>
                <w:lang w:val="fr-FR"/>
              </w:rPr>
              <w:t>de infrastructura</w:t>
            </w:r>
            <w:proofErr w:type="gramEnd"/>
            <w:r w:rsidRPr="00FA72D0">
              <w:rPr>
                <w:sz w:val="22"/>
                <w:szCs w:val="22"/>
                <w:lang w:val="fr-FR"/>
              </w:rPr>
              <w:t xml:space="preserve"> modernizată către rețeaua TEN-T</w:t>
            </w:r>
          </w:p>
        </w:tc>
      </w:tr>
      <w:tr w:rsidR="00FA72D0" w:rsidRPr="00A158A9" w:rsidTr="008A29E2">
        <w:trPr>
          <w:trHeight w:val="593"/>
          <w:jc w:val="center"/>
        </w:trPr>
        <w:tc>
          <w:tcPr>
            <w:tcW w:w="1388" w:type="dxa"/>
            <w:vMerge/>
            <w:tcBorders>
              <w:top w:val="nil"/>
              <w:left w:val="single" w:sz="4" w:space="0" w:color="auto"/>
              <w:bottom w:val="single" w:sz="4" w:space="0" w:color="auto"/>
              <w:right w:val="single" w:sz="4" w:space="0" w:color="auto"/>
            </w:tcBorders>
            <w:vAlign w:val="center"/>
            <w:hideMark/>
          </w:tcPr>
          <w:p w:rsidR="00FA72D0" w:rsidRPr="00FA72D0" w:rsidRDefault="00FA72D0" w:rsidP="008A29E2">
            <w:pPr>
              <w:spacing w:before="0" w:after="0"/>
              <w:jc w:val="left"/>
              <w:rPr>
                <w:rFonts w:eastAsia="Times New Roman"/>
                <w:color w:val="000000"/>
                <w:sz w:val="22"/>
                <w:szCs w:val="22"/>
                <w:lang w:val="fr-FR" w:eastAsia="fr-FR"/>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A72D0" w:rsidRPr="00FA72D0" w:rsidRDefault="00FA72D0" w:rsidP="008A29E2">
            <w:pPr>
              <w:spacing w:before="0" w:after="0"/>
              <w:jc w:val="left"/>
              <w:rPr>
                <w:rFonts w:eastAsia="Times New Roman"/>
                <w:color w:val="000000"/>
                <w:sz w:val="22"/>
                <w:szCs w:val="22"/>
                <w:lang w:val="fr-FR" w:eastAsia="fr-FR"/>
              </w:rPr>
            </w:pPr>
          </w:p>
        </w:tc>
        <w:tc>
          <w:tcPr>
            <w:tcW w:w="843" w:type="dxa"/>
            <w:vMerge/>
            <w:tcBorders>
              <w:top w:val="single" w:sz="4" w:space="0" w:color="auto"/>
              <w:left w:val="single" w:sz="4" w:space="0" w:color="auto"/>
              <w:bottom w:val="single" w:sz="4" w:space="0" w:color="000000"/>
              <w:right w:val="single" w:sz="4" w:space="0" w:color="auto"/>
            </w:tcBorders>
            <w:vAlign w:val="center"/>
            <w:hideMark/>
          </w:tcPr>
          <w:p w:rsidR="00FA72D0" w:rsidRPr="00FA72D0" w:rsidRDefault="00FA72D0" w:rsidP="008A29E2">
            <w:pPr>
              <w:spacing w:before="0" w:after="0"/>
              <w:jc w:val="left"/>
              <w:rPr>
                <w:rFonts w:eastAsia="Times New Roman"/>
                <w:color w:val="000000"/>
                <w:sz w:val="22"/>
                <w:szCs w:val="22"/>
                <w:lang w:val="fr-FR" w:eastAsia="fr-FR"/>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FA72D0" w:rsidRPr="00FA72D0" w:rsidRDefault="00FA72D0" w:rsidP="008A29E2">
            <w:pPr>
              <w:spacing w:before="0" w:after="0"/>
              <w:jc w:val="left"/>
              <w:rPr>
                <w:rFonts w:eastAsia="Times New Roman"/>
                <w:color w:val="000000"/>
                <w:sz w:val="22"/>
                <w:szCs w:val="22"/>
                <w:lang w:val="fr-FR" w:eastAsia="fr-FR"/>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FA72D0" w:rsidRPr="00FA72D0" w:rsidRDefault="00FA72D0" w:rsidP="008A29E2">
            <w:pPr>
              <w:spacing w:before="0" w:after="0"/>
              <w:jc w:val="left"/>
              <w:rPr>
                <w:rFonts w:eastAsia="Times New Roman"/>
                <w:color w:val="000000"/>
                <w:sz w:val="22"/>
                <w:szCs w:val="22"/>
                <w:lang w:val="fr-FR" w:eastAsia="fr-FR"/>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FA72D0" w:rsidRPr="00FA72D0" w:rsidRDefault="00FA72D0" w:rsidP="008A29E2">
            <w:pPr>
              <w:spacing w:before="0" w:after="0"/>
              <w:jc w:val="left"/>
              <w:rPr>
                <w:rFonts w:eastAsia="Times New Roman"/>
                <w:color w:val="000000"/>
                <w:sz w:val="22"/>
                <w:szCs w:val="22"/>
                <w:lang w:val="fr-FR" w:eastAsia="fr-FR"/>
              </w:rPr>
            </w:pPr>
          </w:p>
        </w:tc>
        <w:tc>
          <w:tcPr>
            <w:tcW w:w="3117" w:type="dxa"/>
            <w:tcBorders>
              <w:top w:val="nil"/>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sz w:val="22"/>
                <w:szCs w:val="22"/>
                <w:lang w:val="fr-FR" w:eastAsia="fr-BE"/>
              </w:rPr>
            </w:pPr>
            <w:r w:rsidRPr="00FA72D0">
              <w:rPr>
                <w:rFonts w:eastAsia="Times New Roman"/>
                <w:sz w:val="22"/>
                <w:szCs w:val="22"/>
                <w:lang w:val="fr-FR" w:eastAsia="fr-BE"/>
              </w:rPr>
              <w:t>PI 7c: dezvoltarea și îmbunătățirea unor sisteme de transport care respectă mediul, inclusiv a celor cu zgomot redus, și care au emisii reduse de carbon, inclusiv a căilor navigabile interioare și a sistemelor de transport maritim, a porturilor, a legăturilor multimodale și infrastructurilor aeroportuare, cu scopul de a promova mobilitatea durabilă la nivel regional și local;</w:t>
            </w:r>
          </w:p>
        </w:tc>
        <w:tc>
          <w:tcPr>
            <w:tcW w:w="2409" w:type="dxa"/>
            <w:tcBorders>
              <w:top w:val="nil"/>
              <w:left w:val="nil"/>
              <w:bottom w:val="single" w:sz="4" w:space="0" w:color="auto"/>
              <w:right w:val="single" w:sz="4" w:space="0" w:color="auto"/>
            </w:tcBorders>
            <w:vAlign w:val="center"/>
            <w:hideMark/>
          </w:tcPr>
          <w:p w:rsidR="00FA72D0" w:rsidRPr="00FA72D0" w:rsidRDefault="00FA72D0" w:rsidP="008A29E2">
            <w:pPr>
              <w:rPr>
                <w:sz w:val="22"/>
                <w:szCs w:val="22"/>
                <w:lang w:val="fr-FR"/>
              </w:rPr>
            </w:pPr>
            <w:r w:rsidRPr="00FA72D0">
              <w:rPr>
                <w:rFonts w:eastAsia="Times New Roman"/>
                <w:color w:val="000000"/>
                <w:sz w:val="22"/>
                <w:szCs w:val="22"/>
                <w:lang w:val="fr-FR" w:eastAsia="fr-FR"/>
              </w:rPr>
              <w:t>OS 1.2:</w:t>
            </w:r>
            <w:r w:rsidRPr="00FA72D0">
              <w:rPr>
                <w:sz w:val="22"/>
                <w:szCs w:val="22"/>
                <w:lang w:val="fr-FR"/>
              </w:rPr>
              <w:t xml:space="preserve"> Creșterea siguranței transportului pe căile fluviale sau maritime </w:t>
            </w:r>
          </w:p>
        </w:tc>
        <w:tc>
          <w:tcPr>
            <w:tcW w:w="2440" w:type="dxa"/>
            <w:tcBorders>
              <w:top w:val="nil"/>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fr-FR" w:eastAsia="fr-FR"/>
              </w:rPr>
            </w:pPr>
            <w:r w:rsidRPr="00FA72D0">
              <w:rPr>
                <w:sz w:val="22"/>
                <w:szCs w:val="22"/>
                <w:lang w:val="fr-FR"/>
              </w:rPr>
              <w:t>% din zona Dunării și a Mării Negre în regiunea transfrontalieră RO-BG în care siguranța navigației a fost îmbunătățită</w:t>
            </w:r>
            <w:r w:rsidRPr="00FA72D0">
              <w:rPr>
                <w:rFonts w:eastAsia="Times New Roman"/>
                <w:color w:val="000000"/>
                <w:sz w:val="22"/>
                <w:szCs w:val="22"/>
                <w:lang w:val="fr-FR" w:eastAsia="fr-FR"/>
              </w:rPr>
              <w:t xml:space="preserve"> prin acțiuni comune </w:t>
            </w:r>
          </w:p>
        </w:tc>
      </w:tr>
      <w:tr w:rsidR="00FA72D0" w:rsidRPr="00A158A9" w:rsidTr="008A29E2">
        <w:trPr>
          <w:trHeight w:val="1500"/>
          <w:jc w:val="center"/>
        </w:trPr>
        <w:tc>
          <w:tcPr>
            <w:tcW w:w="1388" w:type="dxa"/>
            <w:vMerge w:val="restart"/>
            <w:tcBorders>
              <w:top w:val="nil"/>
              <w:left w:val="single" w:sz="4" w:space="0" w:color="auto"/>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lastRenderedPageBreak/>
              <w:t xml:space="preserve">AP 2: </w:t>
            </w:r>
          </w:p>
          <w:p w:rsidR="00FA72D0" w:rsidRPr="00FA72D0" w:rsidRDefault="00FA72D0" w:rsidP="008A29E2">
            <w:pPr>
              <w:spacing w:after="0"/>
              <w:jc w:val="center"/>
              <w:rPr>
                <w:rFonts w:eastAsia="Times New Roman"/>
                <w:color w:val="000000"/>
                <w:sz w:val="22"/>
                <w:szCs w:val="22"/>
                <w:lang w:val="en-US" w:eastAsia="fr-FR"/>
              </w:rPr>
            </w:pPr>
            <w:r w:rsidRPr="00FA72D0">
              <w:rPr>
                <w:sz w:val="22"/>
                <w:szCs w:val="22"/>
              </w:rPr>
              <w:t>O regiune verde</w:t>
            </w:r>
          </w:p>
        </w:tc>
        <w:tc>
          <w:tcPr>
            <w:tcW w:w="1417" w:type="dxa"/>
            <w:vMerge w:val="restart"/>
            <w:tcBorders>
              <w:top w:val="nil"/>
              <w:left w:val="single" w:sz="4" w:space="0" w:color="auto"/>
              <w:bottom w:val="single" w:sz="4" w:space="0" w:color="auto"/>
              <w:right w:val="single" w:sz="4" w:space="0" w:color="auto"/>
            </w:tcBorders>
            <w:vAlign w:val="center"/>
            <w:hideMark/>
          </w:tcPr>
          <w:p w:rsidR="00FA72D0" w:rsidRPr="00FA72D0" w:rsidRDefault="00FA72D0" w:rsidP="008A29E2">
            <w:pPr>
              <w:jc w:val="center"/>
              <w:rPr>
                <w:color w:val="000000"/>
                <w:sz w:val="22"/>
                <w:szCs w:val="22"/>
                <w:lang w:val="en-US"/>
              </w:rPr>
            </w:pPr>
            <w:r w:rsidRPr="00FA72D0">
              <w:rPr>
                <w:color w:val="000000"/>
                <w:sz w:val="22"/>
                <w:szCs w:val="22"/>
                <w:lang w:val="en-US"/>
              </w:rPr>
              <w:t>53,936,378</w:t>
            </w:r>
          </w:p>
          <w:p w:rsidR="00FA72D0" w:rsidRPr="00FA72D0" w:rsidRDefault="00FA72D0" w:rsidP="008A29E2">
            <w:pPr>
              <w:spacing w:after="0"/>
              <w:jc w:val="center"/>
              <w:rPr>
                <w:rFonts w:eastAsia="Times New Roman"/>
                <w:color w:val="000000"/>
                <w:sz w:val="22"/>
                <w:szCs w:val="22"/>
                <w:lang w:val="en-US" w:eastAsia="fr-FR"/>
              </w:rPr>
            </w:pPr>
          </w:p>
        </w:tc>
        <w:tc>
          <w:tcPr>
            <w:tcW w:w="843" w:type="dxa"/>
            <w:vMerge w:val="restart"/>
            <w:tcBorders>
              <w:top w:val="nil"/>
              <w:left w:val="single" w:sz="4" w:space="0" w:color="auto"/>
              <w:bottom w:val="nil"/>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25% </w:t>
            </w:r>
          </w:p>
        </w:tc>
        <w:tc>
          <w:tcPr>
            <w:tcW w:w="850" w:type="dxa"/>
            <w:vMerge w:val="restart"/>
            <w:tcBorders>
              <w:top w:val="nil"/>
              <w:left w:val="single" w:sz="4" w:space="0" w:color="auto"/>
              <w:bottom w:val="nil"/>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NA</w:t>
            </w:r>
          </w:p>
        </w:tc>
        <w:tc>
          <w:tcPr>
            <w:tcW w:w="851" w:type="dxa"/>
            <w:vMerge w:val="restart"/>
            <w:tcBorders>
              <w:top w:val="nil"/>
              <w:left w:val="single" w:sz="4" w:space="0" w:color="auto"/>
              <w:bottom w:val="nil"/>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NA</w:t>
            </w:r>
          </w:p>
        </w:tc>
        <w:tc>
          <w:tcPr>
            <w:tcW w:w="1700" w:type="dxa"/>
            <w:vMerge w:val="restart"/>
            <w:tcBorders>
              <w:top w:val="nil"/>
              <w:left w:val="single" w:sz="4" w:space="0" w:color="auto"/>
              <w:bottom w:val="single" w:sz="4" w:space="0" w:color="auto"/>
              <w:right w:val="single" w:sz="4" w:space="0" w:color="auto"/>
            </w:tcBorders>
            <w:vAlign w:val="center"/>
            <w:hideMark/>
          </w:tcPr>
          <w:p w:rsidR="00FA72D0" w:rsidRPr="006F7519" w:rsidRDefault="00FA72D0" w:rsidP="008A29E2">
            <w:pPr>
              <w:spacing w:after="0"/>
              <w:jc w:val="center"/>
              <w:rPr>
                <w:rFonts w:eastAsia="Times New Roman"/>
                <w:color w:val="000000"/>
                <w:sz w:val="22"/>
                <w:szCs w:val="22"/>
                <w:lang w:val="it-IT" w:eastAsia="fr-FR"/>
              </w:rPr>
            </w:pPr>
            <w:r w:rsidRPr="006F7519">
              <w:rPr>
                <w:rFonts w:eastAsia="Times New Roman"/>
                <w:color w:val="000000"/>
                <w:sz w:val="22"/>
                <w:szCs w:val="22"/>
                <w:lang w:val="it-IT" w:eastAsia="fr-FR"/>
              </w:rPr>
              <w:t xml:space="preserve">OT 6: </w:t>
            </w:r>
            <w:r w:rsidRPr="006F7519">
              <w:rPr>
                <w:rFonts w:eastAsia="MS Mincho"/>
                <w:sz w:val="22"/>
                <w:szCs w:val="22"/>
                <w:lang w:val="it-IT"/>
              </w:rPr>
              <w:t>Conservarea și protecția mediului și promovarea utilizării eficiente a resurselor</w:t>
            </w:r>
          </w:p>
        </w:tc>
        <w:tc>
          <w:tcPr>
            <w:tcW w:w="3117" w:type="dxa"/>
            <w:tcBorders>
              <w:top w:val="nil"/>
              <w:left w:val="nil"/>
              <w:bottom w:val="nil"/>
              <w:right w:val="single" w:sz="4" w:space="0" w:color="auto"/>
            </w:tcBorders>
            <w:vAlign w:val="center"/>
            <w:hideMark/>
          </w:tcPr>
          <w:p w:rsidR="00FA72D0" w:rsidRPr="006F7519" w:rsidRDefault="00FA72D0" w:rsidP="008A29E2">
            <w:pPr>
              <w:spacing w:after="0"/>
              <w:jc w:val="center"/>
              <w:rPr>
                <w:rFonts w:eastAsia="Times New Roman"/>
                <w:sz w:val="22"/>
                <w:szCs w:val="22"/>
                <w:lang w:val="it-IT" w:eastAsia="fr-BE"/>
              </w:rPr>
            </w:pPr>
            <w:r w:rsidRPr="006F7519">
              <w:rPr>
                <w:rFonts w:eastAsia="Times New Roman"/>
                <w:sz w:val="22"/>
                <w:szCs w:val="22"/>
                <w:lang w:val="it-IT" w:eastAsia="fr-BE"/>
              </w:rPr>
              <w:t>PI 6.c: Conservarea, protejarea, promovarea și dezvoltarea patrimoniului natural și cultural;</w:t>
            </w:r>
          </w:p>
          <w:p w:rsidR="00FA72D0" w:rsidRPr="006F7519" w:rsidRDefault="00FA72D0" w:rsidP="008A29E2">
            <w:pPr>
              <w:spacing w:after="0"/>
              <w:jc w:val="center"/>
              <w:rPr>
                <w:rFonts w:eastAsia="Times New Roman"/>
                <w:sz w:val="22"/>
                <w:szCs w:val="22"/>
                <w:lang w:val="it-IT" w:eastAsia="fr-BE"/>
              </w:rPr>
            </w:pPr>
          </w:p>
        </w:tc>
        <w:tc>
          <w:tcPr>
            <w:tcW w:w="2409" w:type="dxa"/>
            <w:tcBorders>
              <w:top w:val="nil"/>
              <w:left w:val="nil"/>
              <w:bottom w:val="nil"/>
              <w:right w:val="single" w:sz="4" w:space="0" w:color="auto"/>
            </w:tcBorders>
            <w:vAlign w:val="center"/>
            <w:hideMark/>
          </w:tcPr>
          <w:p w:rsidR="00FA72D0" w:rsidRPr="00FA72D0" w:rsidRDefault="00AA6495" w:rsidP="008A29E2">
            <w:pPr>
              <w:spacing w:after="0"/>
              <w:jc w:val="center"/>
              <w:rPr>
                <w:rFonts w:eastAsia="Times New Roman"/>
                <w:color w:val="000000"/>
                <w:sz w:val="22"/>
                <w:szCs w:val="22"/>
                <w:lang w:val="fr-FR" w:eastAsia="fr-FR"/>
              </w:rPr>
            </w:pPr>
            <w:r>
              <w:rPr>
                <w:rFonts w:eastAsia="Times New Roman"/>
                <w:color w:val="000000"/>
                <w:sz w:val="22"/>
                <w:szCs w:val="22"/>
                <w:lang w:val="fr-FR" w:eastAsia="fr-FR"/>
              </w:rPr>
              <w:t>OS 2.1: Îmbunătățirea utiliză</w:t>
            </w:r>
            <w:r w:rsidR="00FA72D0" w:rsidRPr="00FA72D0">
              <w:rPr>
                <w:rFonts w:eastAsia="Times New Roman"/>
                <w:color w:val="000000"/>
                <w:sz w:val="22"/>
                <w:szCs w:val="22"/>
                <w:lang w:val="fr-FR" w:eastAsia="fr-FR"/>
              </w:rPr>
              <w:t xml:space="preserve">rii durabile </w:t>
            </w:r>
            <w:proofErr w:type="gramStart"/>
            <w:r w:rsidR="00FA72D0" w:rsidRPr="00FA72D0">
              <w:rPr>
                <w:rFonts w:eastAsia="Times New Roman"/>
                <w:color w:val="000000"/>
                <w:sz w:val="22"/>
                <w:szCs w:val="22"/>
                <w:lang w:val="fr-FR" w:eastAsia="fr-FR"/>
              </w:rPr>
              <w:t>a</w:t>
            </w:r>
            <w:proofErr w:type="gramEnd"/>
            <w:r w:rsidR="00FA72D0" w:rsidRPr="00FA72D0">
              <w:rPr>
                <w:rFonts w:eastAsia="Times New Roman"/>
                <w:color w:val="000000"/>
                <w:sz w:val="22"/>
                <w:szCs w:val="22"/>
                <w:lang w:val="fr-FR" w:eastAsia="fr-FR"/>
              </w:rPr>
              <w:t xml:space="preserve"> resurselor și patrimoniului natural și a patrimoniului cultural </w:t>
            </w:r>
          </w:p>
        </w:tc>
        <w:tc>
          <w:tcPr>
            <w:tcW w:w="2440" w:type="dxa"/>
            <w:tcBorders>
              <w:top w:val="nil"/>
              <w:left w:val="nil"/>
              <w:bottom w:val="nil"/>
              <w:right w:val="single" w:sz="4" w:space="0" w:color="auto"/>
            </w:tcBorders>
            <w:vAlign w:val="center"/>
            <w:hideMark/>
          </w:tcPr>
          <w:p w:rsidR="00FA72D0" w:rsidRPr="00FA72D0" w:rsidRDefault="00AA6495" w:rsidP="008A29E2">
            <w:pPr>
              <w:spacing w:after="0"/>
              <w:jc w:val="center"/>
              <w:rPr>
                <w:sz w:val="22"/>
                <w:szCs w:val="22"/>
                <w:lang w:val="fr-FR"/>
              </w:rPr>
            </w:pPr>
            <w:proofErr w:type="gramStart"/>
            <w:r>
              <w:rPr>
                <w:sz w:val="22"/>
                <w:szCs w:val="22"/>
                <w:lang w:val="fr-FR"/>
              </w:rPr>
              <w:t xml:space="preserve">Numarul de înnoptări </w:t>
            </w:r>
            <w:proofErr w:type="gramEnd"/>
            <w:r>
              <w:rPr>
                <w:sz w:val="22"/>
                <w:szCs w:val="22"/>
                <w:lang w:val="fr-FR"/>
              </w:rPr>
              <w:t xml:space="preserve"> ale turiş</w:t>
            </w:r>
            <w:r w:rsidR="00FA72D0" w:rsidRPr="00FA72D0">
              <w:rPr>
                <w:sz w:val="22"/>
                <w:szCs w:val="22"/>
                <w:lang w:val="fr-FR"/>
              </w:rPr>
              <w:t>tilor în aria transfrontalieră</w:t>
            </w:r>
          </w:p>
        </w:tc>
      </w:tr>
      <w:tr w:rsidR="00FA72D0" w:rsidRPr="00A158A9" w:rsidTr="008A29E2">
        <w:trPr>
          <w:trHeight w:val="1800"/>
          <w:jc w:val="center"/>
        </w:trPr>
        <w:tc>
          <w:tcPr>
            <w:tcW w:w="1388" w:type="dxa"/>
            <w:vMerge/>
            <w:tcBorders>
              <w:top w:val="nil"/>
              <w:left w:val="single" w:sz="4" w:space="0" w:color="auto"/>
              <w:bottom w:val="single" w:sz="4" w:space="0" w:color="auto"/>
              <w:right w:val="single" w:sz="4" w:space="0" w:color="auto"/>
            </w:tcBorders>
            <w:vAlign w:val="center"/>
            <w:hideMark/>
          </w:tcPr>
          <w:p w:rsidR="00FA72D0" w:rsidRPr="00FA72D0" w:rsidRDefault="00FA72D0" w:rsidP="008A29E2">
            <w:pPr>
              <w:keepNext/>
              <w:spacing w:before="0" w:after="0"/>
              <w:jc w:val="left"/>
              <w:outlineLvl w:val="0"/>
              <w:rPr>
                <w:rFonts w:eastAsia="Times New Roman"/>
                <w:color w:val="000000"/>
                <w:sz w:val="22"/>
                <w:szCs w:val="22"/>
                <w:lang w:val="fr-FR" w:eastAsia="fr-FR"/>
              </w:rPr>
            </w:pPr>
          </w:p>
        </w:tc>
        <w:tc>
          <w:tcPr>
            <w:tcW w:w="1417" w:type="dxa"/>
            <w:vMerge/>
            <w:tcBorders>
              <w:top w:val="nil"/>
              <w:left w:val="single" w:sz="4" w:space="0" w:color="auto"/>
              <w:bottom w:val="single" w:sz="4" w:space="0" w:color="auto"/>
              <w:right w:val="single" w:sz="4" w:space="0" w:color="auto"/>
            </w:tcBorders>
            <w:vAlign w:val="center"/>
            <w:hideMark/>
          </w:tcPr>
          <w:p w:rsidR="00FA72D0" w:rsidRPr="00FA72D0" w:rsidRDefault="00FA72D0" w:rsidP="008A29E2">
            <w:pPr>
              <w:keepNext/>
              <w:spacing w:before="0" w:after="0"/>
              <w:jc w:val="left"/>
              <w:outlineLvl w:val="0"/>
              <w:rPr>
                <w:rFonts w:eastAsia="Times New Roman"/>
                <w:color w:val="000000"/>
                <w:sz w:val="22"/>
                <w:szCs w:val="22"/>
                <w:lang w:val="fr-FR" w:eastAsia="fr-FR"/>
              </w:rPr>
            </w:pPr>
          </w:p>
        </w:tc>
        <w:tc>
          <w:tcPr>
            <w:tcW w:w="843" w:type="dxa"/>
            <w:vMerge/>
            <w:tcBorders>
              <w:top w:val="nil"/>
              <w:left w:val="single" w:sz="4" w:space="0" w:color="auto"/>
              <w:bottom w:val="nil"/>
              <w:right w:val="single" w:sz="4" w:space="0" w:color="auto"/>
            </w:tcBorders>
            <w:vAlign w:val="center"/>
            <w:hideMark/>
          </w:tcPr>
          <w:p w:rsidR="00FA72D0" w:rsidRPr="00FA72D0" w:rsidRDefault="00FA72D0" w:rsidP="008A29E2">
            <w:pPr>
              <w:keepNext/>
              <w:spacing w:before="0" w:after="0"/>
              <w:jc w:val="left"/>
              <w:outlineLvl w:val="0"/>
              <w:rPr>
                <w:rFonts w:eastAsia="Times New Roman"/>
                <w:color w:val="000000"/>
                <w:sz w:val="22"/>
                <w:szCs w:val="22"/>
                <w:lang w:val="fr-FR" w:eastAsia="fr-FR"/>
              </w:rPr>
            </w:pPr>
          </w:p>
        </w:tc>
        <w:tc>
          <w:tcPr>
            <w:tcW w:w="850" w:type="dxa"/>
            <w:vMerge/>
            <w:tcBorders>
              <w:top w:val="nil"/>
              <w:left w:val="single" w:sz="4" w:space="0" w:color="auto"/>
              <w:bottom w:val="nil"/>
              <w:right w:val="single" w:sz="4" w:space="0" w:color="auto"/>
            </w:tcBorders>
            <w:vAlign w:val="center"/>
            <w:hideMark/>
          </w:tcPr>
          <w:p w:rsidR="00FA72D0" w:rsidRPr="00FA72D0" w:rsidRDefault="00FA72D0" w:rsidP="008A29E2">
            <w:pPr>
              <w:keepNext/>
              <w:spacing w:before="0" w:after="0"/>
              <w:jc w:val="left"/>
              <w:outlineLvl w:val="0"/>
              <w:rPr>
                <w:rFonts w:eastAsia="Times New Roman"/>
                <w:color w:val="000000"/>
                <w:sz w:val="22"/>
                <w:szCs w:val="22"/>
                <w:lang w:val="fr-FR" w:eastAsia="fr-FR"/>
              </w:rPr>
            </w:pPr>
          </w:p>
        </w:tc>
        <w:tc>
          <w:tcPr>
            <w:tcW w:w="851" w:type="dxa"/>
            <w:vMerge/>
            <w:tcBorders>
              <w:top w:val="nil"/>
              <w:left w:val="single" w:sz="4" w:space="0" w:color="auto"/>
              <w:bottom w:val="nil"/>
              <w:right w:val="single" w:sz="4" w:space="0" w:color="auto"/>
            </w:tcBorders>
            <w:vAlign w:val="center"/>
            <w:hideMark/>
          </w:tcPr>
          <w:p w:rsidR="00FA72D0" w:rsidRPr="00FA72D0" w:rsidRDefault="00FA72D0" w:rsidP="008A29E2">
            <w:pPr>
              <w:keepNext/>
              <w:spacing w:before="0" w:after="0"/>
              <w:jc w:val="left"/>
              <w:outlineLvl w:val="0"/>
              <w:rPr>
                <w:rFonts w:eastAsia="Times New Roman"/>
                <w:color w:val="000000"/>
                <w:sz w:val="22"/>
                <w:szCs w:val="22"/>
                <w:lang w:val="fr-FR" w:eastAsia="fr-FR"/>
              </w:rPr>
            </w:pPr>
          </w:p>
        </w:tc>
        <w:tc>
          <w:tcPr>
            <w:tcW w:w="1700" w:type="dxa"/>
            <w:vMerge/>
            <w:tcBorders>
              <w:top w:val="nil"/>
              <w:left w:val="single" w:sz="4" w:space="0" w:color="auto"/>
              <w:bottom w:val="single" w:sz="4" w:space="0" w:color="auto"/>
              <w:right w:val="single" w:sz="4" w:space="0" w:color="auto"/>
            </w:tcBorders>
            <w:vAlign w:val="center"/>
            <w:hideMark/>
          </w:tcPr>
          <w:p w:rsidR="00FA72D0" w:rsidRPr="00FA72D0" w:rsidRDefault="00FA72D0" w:rsidP="008A29E2">
            <w:pPr>
              <w:keepNext/>
              <w:spacing w:before="0" w:after="0"/>
              <w:jc w:val="left"/>
              <w:outlineLvl w:val="0"/>
              <w:rPr>
                <w:rFonts w:eastAsia="Times New Roman"/>
                <w:color w:val="000000"/>
                <w:sz w:val="22"/>
                <w:szCs w:val="22"/>
                <w:lang w:val="fr-FR" w:eastAsia="fr-FR"/>
              </w:rPr>
            </w:pPr>
          </w:p>
        </w:tc>
        <w:tc>
          <w:tcPr>
            <w:tcW w:w="3117" w:type="dxa"/>
            <w:tcBorders>
              <w:top w:val="single" w:sz="4" w:space="0" w:color="auto"/>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sz w:val="22"/>
                <w:szCs w:val="22"/>
                <w:lang w:val="fr-FR" w:eastAsia="fr-BE"/>
              </w:rPr>
            </w:pPr>
            <w:r w:rsidRPr="00FA72D0">
              <w:rPr>
                <w:rFonts w:eastAsia="Times New Roman"/>
                <w:sz w:val="22"/>
                <w:szCs w:val="22"/>
                <w:lang w:val="fr-FR" w:eastAsia="fr-BE"/>
              </w:rPr>
              <w:t>PI 6.d: Protejarea și refacerea biodiversității și a solurilor, precum și promovarea unor servicii ecosistemice, inclusiv prin Natura 2000 și infrastructuri ecologice;</w:t>
            </w:r>
          </w:p>
          <w:p w:rsidR="00FA72D0" w:rsidRPr="00FA72D0" w:rsidRDefault="00FA72D0" w:rsidP="008A29E2">
            <w:pPr>
              <w:spacing w:after="0"/>
              <w:jc w:val="center"/>
              <w:rPr>
                <w:rFonts w:eastAsia="Times New Roman"/>
                <w:sz w:val="22"/>
                <w:szCs w:val="22"/>
                <w:lang w:val="fr-FR" w:eastAsia="fr-BE"/>
              </w:rPr>
            </w:pPr>
          </w:p>
        </w:tc>
        <w:tc>
          <w:tcPr>
            <w:tcW w:w="2409" w:type="dxa"/>
            <w:tcBorders>
              <w:top w:val="single" w:sz="4" w:space="0" w:color="auto"/>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fr-FR" w:eastAsia="fr-FR"/>
              </w:rPr>
            </w:pPr>
            <w:r w:rsidRPr="00FA72D0">
              <w:rPr>
                <w:rFonts w:eastAsia="Times New Roman"/>
                <w:color w:val="000000"/>
                <w:sz w:val="22"/>
                <w:szCs w:val="22"/>
                <w:lang w:val="fr-FR" w:eastAsia="fr-FR"/>
              </w:rPr>
              <w:t>OS 2.2: Îmbunătățirea</w:t>
            </w:r>
            <w:r w:rsidRPr="00FA72D0">
              <w:rPr>
                <w:sz w:val="22"/>
                <w:szCs w:val="22"/>
                <w:lang w:val="fr-FR"/>
              </w:rPr>
              <w:t xml:space="preserve"> managementului durabil al ecosistemelor din zona transfrontalieră</w:t>
            </w:r>
          </w:p>
        </w:tc>
        <w:tc>
          <w:tcPr>
            <w:tcW w:w="2440" w:type="dxa"/>
            <w:tcBorders>
              <w:top w:val="single" w:sz="4" w:space="0" w:color="auto"/>
              <w:left w:val="nil"/>
              <w:bottom w:val="single" w:sz="4" w:space="0" w:color="auto"/>
              <w:right w:val="single" w:sz="4" w:space="0" w:color="auto"/>
            </w:tcBorders>
            <w:vAlign w:val="center"/>
            <w:hideMark/>
          </w:tcPr>
          <w:p w:rsidR="00FA72D0" w:rsidRPr="00FA72D0" w:rsidRDefault="00FA72D0" w:rsidP="008A29E2">
            <w:pPr>
              <w:spacing w:after="0"/>
              <w:rPr>
                <w:rFonts w:eastAsia="Times New Roman"/>
                <w:color w:val="000000"/>
                <w:sz w:val="22"/>
                <w:szCs w:val="22"/>
                <w:lang w:val="fr-FR" w:eastAsia="fr-FR"/>
              </w:rPr>
            </w:pPr>
            <w:r w:rsidRPr="00FA72D0">
              <w:rPr>
                <w:sz w:val="22"/>
                <w:szCs w:val="22"/>
                <w:lang w:val="fr-FR"/>
              </w:rPr>
              <w:t>Situri NATURA 2000 din regiunea transfrontalieră cu instrumente coordonate de management</w:t>
            </w:r>
          </w:p>
        </w:tc>
      </w:tr>
      <w:tr w:rsidR="00FA72D0" w:rsidRPr="00A158A9" w:rsidTr="008A29E2">
        <w:trPr>
          <w:trHeight w:val="1200"/>
          <w:jc w:val="center"/>
        </w:trPr>
        <w:tc>
          <w:tcPr>
            <w:tcW w:w="1388" w:type="dxa"/>
            <w:tcBorders>
              <w:top w:val="nil"/>
              <w:left w:val="single" w:sz="4" w:space="0" w:color="auto"/>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 xml:space="preserve">AP 3: </w:t>
            </w:r>
          </w:p>
          <w:p w:rsidR="00FA72D0" w:rsidRPr="00FA72D0" w:rsidRDefault="00FA72D0" w:rsidP="008A29E2">
            <w:pPr>
              <w:spacing w:after="0"/>
              <w:jc w:val="center"/>
              <w:rPr>
                <w:rFonts w:eastAsia="Times New Roman"/>
                <w:color w:val="000000"/>
                <w:sz w:val="22"/>
                <w:szCs w:val="22"/>
                <w:lang w:val="en-US" w:eastAsia="fr-FR"/>
              </w:rPr>
            </w:pPr>
            <w:r w:rsidRPr="00FA72D0">
              <w:rPr>
                <w:sz w:val="22"/>
                <w:szCs w:val="22"/>
              </w:rPr>
              <w:t>O regiune sigură</w:t>
            </w:r>
          </w:p>
        </w:tc>
        <w:tc>
          <w:tcPr>
            <w:tcW w:w="1417" w:type="dxa"/>
            <w:tcBorders>
              <w:top w:val="nil"/>
              <w:left w:val="nil"/>
              <w:bottom w:val="single" w:sz="4" w:space="0" w:color="auto"/>
              <w:right w:val="single" w:sz="4" w:space="0" w:color="auto"/>
            </w:tcBorders>
            <w:vAlign w:val="center"/>
            <w:hideMark/>
          </w:tcPr>
          <w:p w:rsidR="00FA72D0" w:rsidRPr="00FA72D0" w:rsidRDefault="00FA72D0" w:rsidP="008A29E2">
            <w:pPr>
              <w:jc w:val="center"/>
              <w:rPr>
                <w:color w:val="000000"/>
                <w:sz w:val="22"/>
                <w:szCs w:val="22"/>
                <w:lang w:val="en-US"/>
              </w:rPr>
            </w:pPr>
            <w:r w:rsidRPr="00FA72D0">
              <w:rPr>
                <w:color w:val="000000"/>
                <w:sz w:val="22"/>
                <w:szCs w:val="22"/>
                <w:lang w:val="en-US"/>
              </w:rPr>
              <w:t>40,991,647</w:t>
            </w:r>
          </w:p>
          <w:p w:rsidR="00FA72D0" w:rsidRPr="00FA72D0" w:rsidRDefault="00FA72D0" w:rsidP="008A29E2">
            <w:pPr>
              <w:spacing w:after="0"/>
              <w:jc w:val="center"/>
              <w:rPr>
                <w:rFonts w:eastAsia="Times New Roman"/>
                <w:color w:val="000000"/>
                <w:sz w:val="22"/>
                <w:szCs w:val="22"/>
                <w:lang w:val="en-US" w:eastAsia="fr-FR"/>
              </w:rPr>
            </w:pPr>
          </w:p>
        </w:tc>
        <w:tc>
          <w:tcPr>
            <w:tcW w:w="843" w:type="dxa"/>
            <w:tcBorders>
              <w:top w:val="single" w:sz="4" w:space="0" w:color="auto"/>
              <w:left w:val="nil"/>
              <w:bottom w:val="nil"/>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19% </w:t>
            </w:r>
          </w:p>
        </w:tc>
        <w:tc>
          <w:tcPr>
            <w:tcW w:w="850" w:type="dxa"/>
            <w:tcBorders>
              <w:top w:val="single" w:sz="4" w:space="0" w:color="auto"/>
              <w:left w:val="nil"/>
              <w:bottom w:val="nil"/>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NA</w:t>
            </w:r>
          </w:p>
        </w:tc>
        <w:tc>
          <w:tcPr>
            <w:tcW w:w="851" w:type="dxa"/>
            <w:tcBorders>
              <w:top w:val="single" w:sz="4" w:space="0" w:color="auto"/>
              <w:left w:val="nil"/>
              <w:bottom w:val="nil"/>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NA</w:t>
            </w:r>
          </w:p>
        </w:tc>
        <w:tc>
          <w:tcPr>
            <w:tcW w:w="1700" w:type="dxa"/>
            <w:tcBorders>
              <w:top w:val="nil"/>
              <w:left w:val="nil"/>
              <w:bottom w:val="single" w:sz="4" w:space="0" w:color="auto"/>
              <w:right w:val="single" w:sz="4" w:space="0" w:color="auto"/>
            </w:tcBorders>
            <w:vAlign w:val="center"/>
            <w:hideMark/>
          </w:tcPr>
          <w:p w:rsidR="00FA72D0" w:rsidRPr="006F7519" w:rsidRDefault="00FA72D0" w:rsidP="008A29E2">
            <w:pPr>
              <w:spacing w:after="0"/>
              <w:jc w:val="center"/>
              <w:rPr>
                <w:rFonts w:eastAsia="Times New Roman"/>
                <w:color w:val="000000"/>
                <w:sz w:val="22"/>
                <w:szCs w:val="22"/>
                <w:lang w:val="it-IT" w:eastAsia="fr-FR"/>
              </w:rPr>
            </w:pPr>
            <w:r w:rsidRPr="006F7519">
              <w:rPr>
                <w:rFonts w:eastAsia="Times New Roman"/>
                <w:color w:val="000000"/>
                <w:sz w:val="22"/>
                <w:szCs w:val="22"/>
                <w:lang w:val="it-IT" w:eastAsia="fr-FR"/>
              </w:rPr>
              <w:t>OT 5:  Promovarea adaptării la schimbările climatice, a prevenirii și a gestionării riscurilor</w:t>
            </w:r>
          </w:p>
        </w:tc>
        <w:tc>
          <w:tcPr>
            <w:tcW w:w="3117" w:type="dxa"/>
            <w:tcBorders>
              <w:top w:val="nil"/>
              <w:left w:val="nil"/>
              <w:bottom w:val="single" w:sz="4" w:space="0" w:color="auto"/>
              <w:right w:val="single" w:sz="4" w:space="0" w:color="auto"/>
            </w:tcBorders>
            <w:vAlign w:val="center"/>
            <w:hideMark/>
          </w:tcPr>
          <w:p w:rsidR="00FA72D0" w:rsidRPr="006F7519" w:rsidRDefault="00FA72D0" w:rsidP="008A29E2">
            <w:pPr>
              <w:spacing w:after="0"/>
              <w:jc w:val="center"/>
              <w:rPr>
                <w:rFonts w:eastAsia="Times New Roman"/>
                <w:sz w:val="22"/>
                <w:szCs w:val="22"/>
                <w:lang w:val="it-IT" w:eastAsia="fr-BE"/>
              </w:rPr>
            </w:pPr>
            <w:r w:rsidRPr="006F7519">
              <w:rPr>
                <w:rFonts w:eastAsia="Times New Roman"/>
                <w:bCs/>
                <w:sz w:val="22"/>
                <w:szCs w:val="22"/>
                <w:lang w:val="it-IT" w:eastAsia="fr-BE"/>
              </w:rPr>
              <w:t>PI 5.b: P</w:t>
            </w:r>
            <w:r w:rsidRPr="006F7519">
              <w:rPr>
                <w:rFonts w:eastAsia="Times New Roman"/>
                <w:sz w:val="22"/>
                <w:szCs w:val="22"/>
                <w:lang w:val="it-IT" w:eastAsia="fr-BE"/>
              </w:rPr>
              <w:t>romovarea investițiilor destinate abordării unor riscuri specifice, asigurarea rezistenței în fața dezastrelor și dezvoltarea unor sisteme de gestionare a dezastrelor;</w:t>
            </w:r>
          </w:p>
          <w:p w:rsidR="00FA72D0" w:rsidRPr="006F7519" w:rsidRDefault="00FA72D0" w:rsidP="008A29E2">
            <w:pPr>
              <w:spacing w:after="0"/>
              <w:jc w:val="center"/>
              <w:rPr>
                <w:rFonts w:eastAsia="Times New Roman"/>
                <w:sz w:val="22"/>
                <w:szCs w:val="22"/>
                <w:lang w:val="it-IT" w:eastAsia="fr-BE"/>
              </w:rPr>
            </w:pPr>
          </w:p>
        </w:tc>
        <w:tc>
          <w:tcPr>
            <w:tcW w:w="2409" w:type="dxa"/>
            <w:tcBorders>
              <w:top w:val="nil"/>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fr-FR" w:eastAsia="fr-FR"/>
              </w:rPr>
            </w:pPr>
            <w:r w:rsidRPr="00FA72D0">
              <w:rPr>
                <w:rFonts w:eastAsia="Times New Roman"/>
                <w:color w:val="000000"/>
                <w:sz w:val="22"/>
                <w:szCs w:val="22"/>
                <w:lang w:val="fr-FR" w:eastAsia="fr-FR"/>
              </w:rPr>
              <w:t>OS 3.1: Îmbunătățirea managementului comun al riscului în aria transfrontalieră</w:t>
            </w:r>
          </w:p>
        </w:tc>
        <w:tc>
          <w:tcPr>
            <w:tcW w:w="2440" w:type="dxa"/>
            <w:tcBorders>
              <w:top w:val="nil"/>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fr-FR" w:eastAsia="fr-FR"/>
              </w:rPr>
            </w:pPr>
            <w:r w:rsidRPr="00FA72D0">
              <w:rPr>
                <w:sz w:val="22"/>
                <w:szCs w:val="22"/>
                <w:lang w:val="fr-FR"/>
              </w:rPr>
              <w:t>Calitatea managementului comun al riscului în aria transfrontalieră</w:t>
            </w:r>
          </w:p>
        </w:tc>
      </w:tr>
      <w:tr w:rsidR="00FA72D0" w:rsidRPr="00A158A9" w:rsidTr="008A29E2">
        <w:trPr>
          <w:trHeight w:val="1200"/>
          <w:jc w:val="center"/>
        </w:trPr>
        <w:tc>
          <w:tcPr>
            <w:tcW w:w="1388" w:type="dxa"/>
            <w:tcBorders>
              <w:top w:val="nil"/>
              <w:left w:val="single" w:sz="4" w:space="0" w:color="auto"/>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fr-FR" w:eastAsia="fr-FR"/>
              </w:rPr>
            </w:pPr>
            <w:r w:rsidRPr="00FA72D0">
              <w:rPr>
                <w:rFonts w:eastAsia="Times New Roman"/>
                <w:color w:val="000000"/>
                <w:sz w:val="22"/>
                <w:szCs w:val="22"/>
                <w:lang w:val="fr-FR" w:eastAsia="fr-FR"/>
              </w:rPr>
              <w:t xml:space="preserve">AP 4: </w:t>
            </w:r>
          </w:p>
          <w:p w:rsidR="00FA72D0" w:rsidRPr="00FA72D0" w:rsidRDefault="00FA72D0" w:rsidP="008A29E2">
            <w:pPr>
              <w:spacing w:after="0"/>
              <w:jc w:val="center"/>
              <w:rPr>
                <w:rFonts w:eastAsia="Times New Roman"/>
                <w:color w:val="000000"/>
                <w:sz w:val="22"/>
                <w:szCs w:val="22"/>
                <w:lang w:val="fr-FR" w:eastAsia="fr-FR"/>
              </w:rPr>
            </w:pPr>
            <w:r w:rsidRPr="00FA72D0">
              <w:rPr>
                <w:sz w:val="22"/>
                <w:szCs w:val="22"/>
                <w:lang w:val="fr-FR"/>
              </w:rPr>
              <w:t xml:space="preserve">O regiune calificată și </w:t>
            </w:r>
            <w:r w:rsidRPr="00FD7E01">
              <w:rPr>
                <w:sz w:val="22"/>
                <w:szCs w:val="22"/>
                <w:lang w:val="fr-FR"/>
              </w:rPr>
              <w:t>inclusivă</w:t>
            </w:r>
          </w:p>
        </w:tc>
        <w:tc>
          <w:tcPr>
            <w:tcW w:w="1417" w:type="dxa"/>
            <w:tcBorders>
              <w:top w:val="nil"/>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fr-FR" w:eastAsia="fr-FR"/>
              </w:rPr>
            </w:pPr>
            <w:r w:rsidRPr="00FA72D0">
              <w:rPr>
                <w:rFonts w:eastAsia="Times New Roman"/>
                <w:color w:val="000000"/>
                <w:sz w:val="22"/>
                <w:szCs w:val="22"/>
                <w:lang w:val="fr-FR" w:eastAsia="fr-FR"/>
              </w:rPr>
              <w:t> </w:t>
            </w:r>
          </w:p>
          <w:p w:rsidR="00FA72D0" w:rsidRPr="00FA72D0" w:rsidRDefault="00FA72D0" w:rsidP="008A29E2">
            <w:pPr>
              <w:jc w:val="center"/>
              <w:rPr>
                <w:color w:val="000000"/>
                <w:sz w:val="22"/>
                <w:szCs w:val="22"/>
                <w:lang w:val="en-US"/>
              </w:rPr>
            </w:pPr>
            <w:r w:rsidRPr="00FA72D0">
              <w:rPr>
                <w:color w:val="000000"/>
                <w:sz w:val="22"/>
                <w:szCs w:val="22"/>
                <w:lang w:val="en-US"/>
              </w:rPr>
              <w:t>15,102,186</w:t>
            </w:r>
          </w:p>
          <w:p w:rsidR="00FA72D0" w:rsidRPr="00FA72D0" w:rsidRDefault="00FA72D0" w:rsidP="008A29E2">
            <w:pPr>
              <w:spacing w:after="0"/>
              <w:jc w:val="center"/>
              <w:rPr>
                <w:rFonts w:eastAsia="Times New Roman"/>
                <w:color w:val="000000"/>
                <w:sz w:val="22"/>
                <w:szCs w:val="22"/>
                <w:lang w:val="en-US" w:eastAsia="fr-FR"/>
              </w:rPr>
            </w:pPr>
          </w:p>
        </w:tc>
        <w:tc>
          <w:tcPr>
            <w:tcW w:w="843" w:type="dxa"/>
            <w:tcBorders>
              <w:top w:val="single" w:sz="4" w:space="0" w:color="auto"/>
              <w:left w:val="nil"/>
              <w:bottom w:val="nil"/>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7%</w:t>
            </w:r>
          </w:p>
        </w:tc>
        <w:tc>
          <w:tcPr>
            <w:tcW w:w="850" w:type="dxa"/>
            <w:tcBorders>
              <w:top w:val="single" w:sz="4" w:space="0" w:color="auto"/>
              <w:left w:val="nil"/>
              <w:bottom w:val="nil"/>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NA</w:t>
            </w:r>
          </w:p>
        </w:tc>
        <w:tc>
          <w:tcPr>
            <w:tcW w:w="851" w:type="dxa"/>
            <w:tcBorders>
              <w:top w:val="single" w:sz="4" w:space="0" w:color="auto"/>
              <w:left w:val="nil"/>
              <w:bottom w:val="nil"/>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NA</w:t>
            </w:r>
          </w:p>
        </w:tc>
        <w:tc>
          <w:tcPr>
            <w:tcW w:w="1700" w:type="dxa"/>
            <w:tcBorders>
              <w:top w:val="nil"/>
              <w:left w:val="nil"/>
              <w:bottom w:val="single" w:sz="4" w:space="0" w:color="auto"/>
              <w:right w:val="single" w:sz="4" w:space="0" w:color="auto"/>
            </w:tcBorders>
            <w:vAlign w:val="center"/>
            <w:hideMark/>
          </w:tcPr>
          <w:p w:rsidR="00FA72D0" w:rsidRPr="006F7519" w:rsidRDefault="00FA72D0" w:rsidP="008A29E2">
            <w:pPr>
              <w:spacing w:after="0"/>
              <w:jc w:val="center"/>
              <w:rPr>
                <w:rFonts w:eastAsia="Times New Roman"/>
                <w:color w:val="000000"/>
                <w:sz w:val="22"/>
                <w:szCs w:val="22"/>
                <w:lang w:val="it-IT" w:eastAsia="fr-FR"/>
              </w:rPr>
            </w:pPr>
            <w:r w:rsidRPr="006F7519">
              <w:rPr>
                <w:rFonts w:eastAsia="Times New Roman"/>
                <w:color w:val="000000"/>
                <w:sz w:val="22"/>
                <w:szCs w:val="22"/>
                <w:lang w:val="it-IT" w:eastAsia="fr-FR"/>
              </w:rPr>
              <w:t>OT 8: Promovarea sustenabilității și calității locurilor de muncă și sprijinirea mobilității forței de muncă;</w:t>
            </w:r>
          </w:p>
        </w:tc>
        <w:tc>
          <w:tcPr>
            <w:tcW w:w="3117" w:type="dxa"/>
            <w:tcBorders>
              <w:top w:val="nil"/>
              <w:left w:val="nil"/>
              <w:bottom w:val="single" w:sz="4" w:space="0" w:color="auto"/>
              <w:right w:val="single" w:sz="4" w:space="0" w:color="auto"/>
            </w:tcBorders>
            <w:vAlign w:val="center"/>
            <w:hideMark/>
          </w:tcPr>
          <w:p w:rsidR="00FA72D0" w:rsidRPr="006F7519" w:rsidRDefault="00FA72D0" w:rsidP="008A29E2">
            <w:pPr>
              <w:spacing w:after="0"/>
              <w:jc w:val="center"/>
              <w:rPr>
                <w:rFonts w:eastAsia="Times New Roman"/>
                <w:sz w:val="22"/>
                <w:szCs w:val="22"/>
                <w:lang w:val="it-IT" w:eastAsia="fr-BE"/>
              </w:rPr>
            </w:pPr>
            <w:r w:rsidRPr="006F7519">
              <w:rPr>
                <w:rFonts w:eastAsia="Times New Roman"/>
                <w:sz w:val="22"/>
                <w:szCs w:val="22"/>
                <w:lang w:val="it-IT" w:eastAsia="fr-BE"/>
              </w:rPr>
              <w:t>PI 8. i: Promovarea sustenabilității și calității locurilor de muncă și sprijinirea mobilității forței de muncă prin integrarea piețelor forței de muncă transfrontaliere, inclusiv mobilitatea transfrontalieră, inițiativele comune locale în domeniul ocupării forței de muncă, servicii de informare și de consiliere și formarea comună</w:t>
            </w:r>
          </w:p>
        </w:tc>
        <w:tc>
          <w:tcPr>
            <w:tcW w:w="2409" w:type="dxa"/>
            <w:tcBorders>
              <w:top w:val="nil"/>
              <w:left w:val="nil"/>
              <w:bottom w:val="single" w:sz="4" w:space="0" w:color="auto"/>
              <w:right w:val="single" w:sz="4" w:space="0" w:color="auto"/>
            </w:tcBorders>
            <w:vAlign w:val="center"/>
            <w:hideMark/>
          </w:tcPr>
          <w:p w:rsidR="00FA72D0" w:rsidRPr="006F7519" w:rsidRDefault="00FA72D0" w:rsidP="008A29E2">
            <w:pPr>
              <w:spacing w:after="0"/>
              <w:jc w:val="center"/>
              <w:rPr>
                <w:rFonts w:eastAsia="Times New Roman"/>
                <w:color w:val="000000"/>
                <w:sz w:val="22"/>
                <w:szCs w:val="22"/>
                <w:lang w:val="it-IT" w:eastAsia="fr-FR"/>
              </w:rPr>
            </w:pPr>
            <w:r w:rsidRPr="006F7519">
              <w:rPr>
                <w:rFonts w:eastAsia="Times New Roman"/>
                <w:color w:val="000000"/>
                <w:sz w:val="22"/>
                <w:szCs w:val="22"/>
                <w:lang w:val="it-IT" w:eastAsia="fr-FR"/>
              </w:rPr>
              <w:t>OS 4.1</w:t>
            </w:r>
            <w:r w:rsidRPr="006F7519">
              <w:rPr>
                <w:b/>
                <w:sz w:val="22"/>
                <w:szCs w:val="22"/>
                <w:lang w:val="it-IT"/>
              </w:rPr>
              <w:t xml:space="preserve"> Î</w:t>
            </w:r>
            <w:r w:rsidRPr="006F7519">
              <w:rPr>
                <w:sz w:val="22"/>
                <w:szCs w:val="22"/>
                <w:lang w:val="it-IT"/>
              </w:rPr>
              <w:t>ncurajarea integrării zonei transfrontaliere în privința ocupării și mobilității forței de muncă</w:t>
            </w:r>
          </w:p>
        </w:tc>
        <w:tc>
          <w:tcPr>
            <w:tcW w:w="2440" w:type="dxa"/>
            <w:tcBorders>
              <w:top w:val="nil"/>
              <w:left w:val="nil"/>
              <w:bottom w:val="single" w:sz="4" w:space="0" w:color="auto"/>
              <w:right w:val="single" w:sz="4" w:space="0" w:color="auto"/>
            </w:tcBorders>
            <w:vAlign w:val="center"/>
          </w:tcPr>
          <w:p w:rsidR="00FA72D0" w:rsidRPr="00FA72D0" w:rsidRDefault="00FA72D0" w:rsidP="008A29E2">
            <w:pPr>
              <w:spacing w:after="0"/>
              <w:rPr>
                <w:rFonts w:eastAsia="Times New Roman"/>
                <w:color w:val="000000"/>
                <w:sz w:val="22"/>
                <w:szCs w:val="22"/>
                <w:lang w:val="fr-FR" w:eastAsia="fr-FR"/>
              </w:rPr>
            </w:pPr>
            <w:r w:rsidRPr="00FA72D0">
              <w:rPr>
                <w:rFonts w:eastAsia="Times New Roman"/>
                <w:sz w:val="22"/>
                <w:szCs w:val="22"/>
                <w:lang w:val="fr-FR" w:eastAsia="fr-FR"/>
              </w:rPr>
              <w:t xml:space="preserve">Populația cu acces la inițiativele comune </w:t>
            </w:r>
            <w:proofErr w:type="gramStart"/>
            <w:r w:rsidRPr="00FA72D0">
              <w:rPr>
                <w:rFonts w:eastAsia="Times New Roman"/>
                <w:sz w:val="22"/>
                <w:szCs w:val="22"/>
                <w:lang w:val="fr-FR" w:eastAsia="fr-FR"/>
              </w:rPr>
              <w:t>de angajare</w:t>
            </w:r>
            <w:proofErr w:type="gramEnd"/>
          </w:p>
        </w:tc>
      </w:tr>
      <w:tr w:rsidR="00FA72D0" w:rsidRPr="00A158A9" w:rsidTr="008A29E2">
        <w:trPr>
          <w:trHeight w:val="1500"/>
          <w:jc w:val="center"/>
        </w:trPr>
        <w:tc>
          <w:tcPr>
            <w:tcW w:w="1388" w:type="dxa"/>
            <w:tcBorders>
              <w:top w:val="nil"/>
              <w:left w:val="single" w:sz="4" w:space="0" w:color="auto"/>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lastRenderedPageBreak/>
              <w:t xml:space="preserve">AP 5: </w:t>
            </w:r>
          </w:p>
          <w:p w:rsidR="00FA72D0" w:rsidRPr="00FA72D0" w:rsidRDefault="00FA72D0" w:rsidP="008A29E2">
            <w:pPr>
              <w:spacing w:after="0"/>
              <w:jc w:val="center"/>
              <w:rPr>
                <w:rFonts w:eastAsia="Times New Roman"/>
                <w:color w:val="000000"/>
                <w:sz w:val="22"/>
                <w:szCs w:val="22"/>
                <w:lang w:val="en-US" w:eastAsia="fr-FR"/>
              </w:rPr>
            </w:pPr>
            <w:r w:rsidRPr="00FA72D0">
              <w:rPr>
                <w:sz w:val="22"/>
                <w:szCs w:val="22"/>
              </w:rPr>
              <w:t>O regiune eficientă</w:t>
            </w:r>
          </w:p>
        </w:tc>
        <w:tc>
          <w:tcPr>
            <w:tcW w:w="1417" w:type="dxa"/>
            <w:tcBorders>
              <w:top w:val="nil"/>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 </w:t>
            </w:r>
          </w:p>
          <w:p w:rsidR="00FA72D0" w:rsidRPr="00FA72D0" w:rsidRDefault="00FA72D0" w:rsidP="008A29E2">
            <w:pPr>
              <w:jc w:val="center"/>
              <w:rPr>
                <w:color w:val="000000"/>
                <w:sz w:val="22"/>
                <w:szCs w:val="22"/>
                <w:lang w:val="en-US"/>
              </w:rPr>
            </w:pPr>
            <w:r w:rsidRPr="00FA72D0">
              <w:rPr>
                <w:color w:val="000000"/>
                <w:sz w:val="22"/>
                <w:szCs w:val="22"/>
                <w:lang w:val="en-US"/>
              </w:rPr>
              <w:t>10,787,276</w:t>
            </w:r>
          </w:p>
          <w:p w:rsidR="00FA72D0" w:rsidRPr="00FA72D0" w:rsidRDefault="00FA72D0" w:rsidP="008A29E2">
            <w:pPr>
              <w:spacing w:after="0"/>
              <w:jc w:val="center"/>
              <w:rPr>
                <w:rFonts w:eastAsia="Times New Roman"/>
                <w:color w:val="000000"/>
                <w:sz w:val="22"/>
                <w:szCs w:val="22"/>
                <w:lang w:val="en-US" w:eastAsia="fr-FR"/>
              </w:rPr>
            </w:pPr>
          </w:p>
        </w:tc>
        <w:tc>
          <w:tcPr>
            <w:tcW w:w="843" w:type="dxa"/>
            <w:tcBorders>
              <w:top w:val="single" w:sz="4" w:space="0" w:color="auto"/>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5% </w:t>
            </w:r>
          </w:p>
        </w:tc>
        <w:tc>
          <w:tcPr>
            <w:tcW w:w="850" w:type="dxa"/>
            <w:tcBorders>
              <w:top w:val="single" w:sz="4" w:space="0" w:color="auto"/>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NA</w:t>
            </w:r>
          </w:p>
        </w:tc>
        <w:tc>
          <w:tcPr>
            <w:tcW w:w="851" w:type="dxa"/>
            <w:tcBorders>
              <w:top w:val="single" w:sz="4" w:space="0" w:color="auto"/>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NA</w:t>
            </w:r>
          </w:p>
        </w:tc>
        <w:tc>
          <w:tcPr>
            <w:tcW w:w="1700" w:type="dxa"/>
            <w:tcBorders>
              <w:top w:val="nil"/>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OT 11: Consolidarea capacității instituționale a autorităților publice și a persoanelor interesate și a unei administrații publice eficiente prin acțiuni menite să dezvolte capacitatea instituțională și eficiența administrațiilor și serviciilor publice vizate de implementarea FEDR, precum și prin sprijinirea acțiunilor din cadrul FSE de consolidare a capacității instituționale și a eficienței administrației publice</w:t>
            </w:r>
          </w:p>
        </w:tc>
        <w:tc>
          <w:tcPr>
            <w:tcW w:w="3117" w:type="dxa"/>
            <w:tcBorders>
              <w:top w:val="nil"/>
              <w:left w:val="nil"/>
              <w:bottom w:val="single" w:sz="4" w:space="0" w:color="auto"/>
              <w:right w:val="single" w:sz="4" w:space="0" w:color="auto"/>
            </w:tcBorders>
            <w:vAlign w:val="center"/>
            <w:hideMark/>
          </w:tcPr>
          <w:p w:rsidR="00FA72D0" w:rsidRPr="00FA72D0" w:rsidRDefault="00FA72D0" w:rsidP="008A29E2">
            <w:pPr>
              <w:spacing w:after="0"/>
              <w:jc w:val="center"/>
              <w:rPr>
                <w:rFonts w:eastAsia="Times New Roman"/>
                <w:color w:val="000000"/>
                <w:sz w:val="22"/>
                <w:szCs w:val="22"/>
                <w:lang w:val="en-US" w:eastAsia="fr-FR"/>
              </w:rPr>
            </w:pPr>
            <w:r w:rsidRPr="00FA72D0">
              <w:rPr>
                <w:rFonts w:eastAsia="Times New Roman"/>
                <w:color w:val="000000"/>
                <w:sz w:val="22"/>
                <w:szCs w:val="22"/>
                <w:lang w:val="en-US" w:eastAsia="fr-FR"/>
              </w:rPr>
              <w:t>PI 11.iv: consolidarea capacității instituționale a autorităților publice și a părților interesate și o administrație publică eficientă prin promovarea cooperării juridice și administrative și a cooperării între cetățeni și instituții</w:t>
            </w:r>
          </w:p>
          <w:p w:rsidR="00FA72D0" w:rsidRPr="00FA72D0" w:rsidRDefault="00FA72D0" w:rsidP="008A29E2">
            <w:pPr>
              <w:spacing w:after="0"/>
              <w:jc w:val="center"/>
              <w:rPr>
                <w:rFonts w:eastAsia="Times New Roman"/>
                <w:color w:val="000000"/>
                <w:sz w:val="22"/>
                <w:szCs w:val="22"/>
                <w:lang w:val="en-US" w:eastAsia="fr-FR"/>
              </w:rPr>
            </w:pPr>
          </w:p>
        </w:tc>
        <w:tc>
          <w:tcPr>
            <w:tcW w:w="2409" w:type="dxa"/>
            <w:tcBorders>
              <w:top w:val="nil"/>
              <w:left w:val="nil"/>
              <w:bottom w:val="single" w:sz="4" w:space="0" w:color="auto"/>
              <w:right w:val="single" w:sz="4" w:space="0" w:color="auto"/>
            </w:tcBorders>
            <w:vAlign w:val="center"/>
            <w:hideMark/>
          </w:tcPr>
          <w:p w:rsidR="00FA72D0" w:rsidRPr="006F7519" w:rsidRDefault="00FA72D0" w:rsidP="008A29E2">
            <w:pPr>
              <w:spacing w:after="0"/>
              <w:jc w:val="center"/>
              <w:rPr>
                <w:rFonts w:eastAsia="Times New Roman"/>
                <w:color w:val="000000"/>
                <w:sz w:val="22"/>
                <w:szCs w:val="22"/>
                <w:lang w:val="it-IT" w:eastAsia="fr-FR"/>
              </w:rPr>
            </w:pPr>
            <w:r w:rsidRPr="006F7519">
              <w:rPr>
                <w:rFonts w:eastAsia="Times New Roman"/>
                <w:color w:val="000000"/>
                <w:sz w:val="22"/>
                <w:szCs w:val="22"/>
                <w:lang w:val="it-IT" w:eastAsia="fr-FR"/>
              </w:rPr>
              <w:t xml:space="preserve">OS 5.1: </w:t>
            </w:r>
            <w:r w:rsidRPr="006F7519">
              <w:rPr>
                <w:sz w:val="22"/>
                <w:szCs w:val="22"/>
                <w:lang w:val="it-IT"/>
              </w:rPr>
              <w:t>Creșterea capacității de cooperare și a eficienței instituțiilor publice în contextul cooperării transfrontaliere</w:t>
            </w:r>
          </w:p>
        </w:tc>
        <w:tc>
          <w:tcPr>
            <w:tcW w:w="2440" w:type="dxa"/>
            <w:tcBorders>
              <w:top w:val="nil"/>
              <w:left w:val="nil"/>
              <w:bottom w:val="single" w:sz="4" w:space="0" w:color="auto"/>
              <w:right w:val="single" w:sz="4" w:space="0" w:color="auto"/>
            </w:tcBorders>
            <w:vAlign w:val="center"/>
            <w:hideMark/>
          </w:tcPr>
          <w:p w:rsidR="00FA72D0" w:rsidRPr="006F7519" w:rsidRDefault="00FA72D0" w:rsidP="008A29E2">
            <w:pPr>
              <w:spacing w:after="0"/>
              <w:jc w:val="center"/>
              <w:rPr>
                <w:rFonts w:eastAsia="Times New Roman"/>
                <w:color w:val="000000"/>
                <w:sz w:val="22"/>
                <w:szCs w:val="22"/>
                <w:lang w:val="it-IT" w:eastAsia="fr-FR"/>
              </w:rPr>
            </w:pPr>
            <w:r w:rsidRPr="006F7519">
              <w:rPr>
                <w:rFonts w:eastAsia="Times New Roman"/>
                <w:sz w:val="22"/>
                <w:szCs w:val="22"/>
                <w:lang w:val="it-IT"/>
              </w:rPr>
              <w:t>Nivelul de coordonare al instituțiilor publice din zona eligibilă</w:t>
            </w:r>
          </w:p>
        </w:tc>
      </w:tr>
    </w:tbl>
    <w:p w:rsidR="00FA72D0" w:rsidRPr="006F7519" w:rsidRDefault="00FA72D0" w:rsidP="00B77BA5">
      <w:pPr>
        <w:keepNext/>
        <w:spacing w:before="360" w:after="240"/>
        <w:ind w:left="1560" w:hanging="1560"/>
        <w:jc w:val="center"/>
        <w:outlineLvl w:val="0"/>
        <w:rPr>
          <w:rFonts w:eastAsia="Times New Roman"/>
          <w:b/>
          <w:bCs/>
          <w:smallCaps/>
          <w:szCs w:val="24"/>
          <w:highlight w:val="red"/>
          <w:lang w:val="it-IT"/>
        </w:rPr>
        <w:sectPr w:rsidR="00FA72D0" w:rsidRPr="006F7519" w:rsidSect="00F21429">
          <w:pgSz w:w="16838" w:h="11906" w:orient="landscape"/>
          <w:pgMar w:top="1418" w:right="1021" w:bottom="1418" w:left="1021" w:header="454" w:footer="624" w:gutter="0"/>
          <w:cols w:space="708"/>
          <w:docGrid w:linePitch="326"/>
        </w:sectPr>
      </w:pPr>
    </w:p>
    <w:p w:rsidR="0064374C" w:rsidRPr="006F7519" w:rsidRDefault="0064374C" w:rsidP="002E1C90">
      <w:pPr>
        <w:pStyle w:val="Heading1"/>
        <w:rPr>
          <w:highlight w:val="red"/>
          <w:lang w:val="it-IT"/>
        </w:rPr>
      </w:pPr>
      <w:bookmarkStart w:id="16" w:name="_Toc389657959"/>
    </w:p>
    <w:p w:rsidR="00FD2917" w:rsidRPr="006F7519" w:rsidRDefault="006E1CDE" w:rsidP="002E1C90">
      <w:pPr>
        <w:pStyle w:val="Heading1"/>
        <w:rPr>
          <w:lang w:val="it-IT"/>
        </w:rPr>
      </w:pPr>
      <w:bookmarkStart w:id="17" w:name="_Toc394837751"/>
      <w:r w:rsidRPr="006F7519">
        <w:rPr>
          <w:lang w:val="it-IT"/>
        </w:rPr>
        <w:t>SECȚIUNEA 2</w:t>
      </w:r>
      <w:r w:rsidR="00E87E22" w:rsidRPr="006F7519">
        <w:rPr>
          <w:lang w:val="it-IT"/>
        </w:rPr>
        <w:t>.</w:t>
      </w:r>
      <w:bookmarkEnd w:id="16"/>
      <w:r w:rsidRPr="006F7519">
        <w:rPr>
          <w:lang w:val="it-IT"/>
        </w:rPr>
        <w:t xml:space="preserve"> AXELE PRIORITARE</w:t>
      </w:r>
      <w:bookmarkEnd w:id="17"/>
    </w:p>
    <w:p w:rsidR="006E1CDE" w:rsidRPr="006F7519" w:rsidRDefault="005221A8" w:rsidP="002E1C90">
      <w:pPr>
        <w:pStyle w:val="Heading2"/>
        <w:rPr>
          <w:lang w:val="it-IT"/>
        </w:rPr>
      </w:pPr>
      <w:bookmarkStart w:id="18" w:name="_Toc389657960"/>
      <w:bookmarkStart w:id="19" w:name="_Toc394837752"/>
      <w:r w:rsidRPr="006F7519">
        <w:rPr>
          <w:lang w:val="it-IT"/>
        </w:rPr>
        <w:t xml:space="preserve">2.A.  </w:t>
      </w:r>
      <w:r w:rsidR="006E1CDE" w:rsidRPr="006F7519">
        <w:rPr>
          <w:lang w:val="it-IT"/>
        </w:rPr>
        <w:t>O descriere a axelor prioritare, altele decât asistența tehnică</w:t>
      </w:r>
      <w:bookmarkEnd w:id="18"/>
      <w:bookmarkEnd w:id="19"/>
    </w:p>
    <w:p w:rsidR="00F21429" w:rsidRPr="003612AC" w:rsidRDefault="00F21429" w:rsidP="002E1C90">
      <w:pPr>
        <w:pStyle w:val="Heading2"/>
        <w:rPr>
          <w:highlight w:val="red"/>
          <w:lang w:val="fr-FR"/>
        </w:rPr>
      </w:pPr>
      <w:bookmarkStart w:id="20" w:name="_Toc394837753"/>
      <w:proofErr w:type="gramStart"/>
      <w:r w:rsidRPr="003612AC">
        <w:rPr>
          <w:lang w:val="fr-FR"/>
        </w:rPr>
        <w:t>2.A.1</w:t>
      </w:r>
      <w:proofErr w:type="gramEnd"/>
      <w:r w:rsidRPr="003612AC">
        <w:rPr>
          <w:lang w:val="fr-FR"/>
        </w:rPr>
        <w:t xml:space="preserve">. </w:t>
      </w:r>
      <w:r w:rsidR="003612AC" w:rsidRPr="003612AC">
        <w:rPr>
          <w:lang w:val="fr-FR"/>
        </w:rPr>
        <w:t>Axa prioritară (se repetă pentru fiecare axă prioritară)</w:t>
      </w:r>
      <w:bookmarkEnd w:id="20"/>
    </w:p>
    <w:tbl>
      <w:tblPr>
        <w:tblStyle w:val="TableGrid"/>
        <w:tblW w:w="0" w:type="auto"/>
        <w:tblLook w:val="04A0" w:firstRow="1" w:lastRow="0" w:firstColumn="1" w:lastColumn="0" w:noHBand="0" w:noVBand="1"/>
      </w:tblPr>
      <w:tblGrid>
        <w:gridCol w:w="9210"/>
      </w:tblGrid>
      <w:tr w:rsidR="002564E4" w:rsidRPr="00A158A9" w:rsidTr="005221A8">
        <w:tc>
          <w:tcPr>
            <w:tcW w:w="9210" w:type="dxa"/>
          </w:tcPr>
          <w:p w:rsidR="002564E4" w:rsidRPr="006F7519" w:rsidRDefault="003612AC" w:rsidP="003612AC">
            <w:pPr>
              <w:pStyle w:val="Heading4"/>
              <w:outlineLvl w:val="3"/>
              <w:rPr>
                <w:lang w:val="it-IT"/>
              </w:rPr>
            </w:pPr>
            <w:bookmarkStart w:id="21" w:name="_Toc394837754"/>
            <w:r w:rsidRPr="006F7519">
              <w:rPr>
                <w:lang w:val="it-IT"/>
              </w:rPr>
              <w:t xml:space="preserve">AXA </w:t>
            </w:r>
            <w:r w:rsidR="002564E4" w:rsidRPr="006F7519">
              <w:rPr>
                <w:lang w:val="it-IT"/>
              </w:rPr>
              <w:t>PRIORIT</w:t>
            </w:r>
            <w:r w:rsidRPr="006F7519">
              <w:rPr>
                <w:lang w:val="it-IT"/>
              </w:rPr>
              <w:t>ARĂ</w:t>
            </w:r>
            <w:r w:rsidR="002564E4" w:rsidRPr="006F7519">
              <w:rPr>
                <w:lang w:val="it-IT"/>
              </w:rPr>
              <w:t xml:space="preserve"> 1: </w:t>
            </w:r>
            <w:r w:rsidR="00C85E79" w:rsidRPr="006F7519">
              <w:rPr>
                <w:lang w:val="it-IT"/>
              </w:rPr>
              <w:t>O regiune bine conectată</w:t>
            </w:r>
            <w:bookmarkEnd w:id="21"/>
          </w:p>
        </w:tc>
      </w:tr>
    </w:tbl>
    <w:p w:rsidR="002564E4" w:rsidRPr="006F7519" w:rsidRDefault="002564E4" w:rsidP="002564E4">
      <w:pPr>
        <w:spacing w:after="240" w:line="276" w:lineRule="auto"/>
        <w:rPr>
          <w:rFonts w:eastAsia="Times New Roman"/>
          <w:highlight w:val="red"/>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7"/>
      </w:tblGrid>
      <w:tr w:rsidR="002564E4" w:rsidRPr="00A158A9" w:rsidTr="005221A8">
        <w:trPr>
          <w:jc w:val="center"/>
        </w:trPr>
        <w:tc>
          <w:tcPr>
            <w:tcW w:w="7937" w:type="dxa"/>
            <w:tcBorders>
              <w:top w:val="single" w:sz="4" w:space="0" w:color="auto"/>
              <w:left w:val="single" w:sz="4" w:space="0" w:color="auto"/>
              <w:bottom w:val="single" w:sz="4" w:space="0" w:color="auto"/>
              <w:right w:val="single" w:sz="4" w:space="0" w:color="auto"/>
            </w:tcBorders>
            <w:hideMark/>
          </w:tcPr>
          <w:p w:rsidR="002564E4" w:rsidRPr="00C85E79" w:rsidRDefault="00FF412A" w:rsidP="00C85E79">
            <w:pPr>
              <w:spacing w:after="240" w:line="276" w:lineRule="auto"/>
              <w:ind w:left="480" w:hanging="480"/>
              <w:rPr>
                <w:rFonts w:eastAsia="Times New Roman"/>
                <w:lang w:val="fr-FR"/>
              </w:rPr>
            </w:pPr>
            <w:r w:rsidRPr="00C85E79">
              <w:rPr>
                <w:rFonts w:eastAsia="Times New Roman"/>
                <w:lang w:val="en-US"/>
              </w:rPr>
              <w:fldChar w:fldCharType="begin">
                <w:ffData>
                  <w:name w:val="Check1"/>
                  <w:enabled/>
                  <w:calcOnExit w:val="0"/>
                  <w:checkBox>
                    <w:sizeAuto/>
                    <w:default w:val="0"/>
                  </w:checkBox>
                </w:ffData>
              </w:fldChar>
            </w:r>
            <w:r w:rsidR="00C12B77" w:rsidRPr="00C85E79">
              <w:rPr>
                <w:rFonts w:eastAsia="Times New Roman"/>
                <w:lang w:val="fr-FR"/>
              </w:rPr>
              <w:instrText xml:space="preserve"> FORMCHECKBOX </w:instrText>
            </w:r>
            <w:r w:rsidR="006D5DA0">
              <w:rPr>
                <w:rFonts w:eastAsia="Times New Roman"/>
                <w:lang w:val="en-US"/>
              </w:rPr>
            </w:r>
            <w:r w:rsidR="006D5DA0">
              <w:rPr>
                <w:rFonts w:eastAsia="Times New Roman"/>
                <w:lang w:val="en-US"/>
              </w:rPr>
              <w:fldChar w:fldCharType="separate"/>
            </w:r>
            <w:r w:rsidRPr="00C85E79">
              <w:rPr>
                <w:rFonts w:eastAsia="Times New Roman"/>
                <w:lang w:val="en-US"/>
              </w:rPr>
              <w:fldChar w:fldCharType="end"/>
            </w:r>
            <w:r w:rsidR="002564E4" w:rsidRPr="00C85E79">
              <w:rPr>
                <w:rFonts w:eastAsia="Times New Roman"/>
                <w:lang w:val="fr-FR"/>
              </w:rPr>
              <w:tab/>
            </w:r>
            <w:r w:rsidR="00C85E79" w:rsidRPr="00C85E79">
              <w:rPr>
                <w:rFonts w:eastAsia="Times New Roman"/>
                <w:lang w:val="fr-FR"/>
              </w:rPr>
              <w:t xml:space="preserve">Întreaga axă prioritară se va implementa exclusiv prin instrumente financiare </w:t>
            </w:r>
          </w:p>
        </w:tc>
      </w:tr>
      <w:tr w:rsidR="002564E4" w:rsidRPr="00A158A9" w:rsidTr="005221A8">
        <w:trPr>
          <w:jc w:val="center"/>
        </w:trPr>
        <w:tc>
          <w:tcPr>
            <w:tcW w:w="7937" w:type="dxa"/>
            <w:tcBorders>
              <w:top w:val="single" w:sz="4" w:space="0" w:color="auto"/>
              <w:left w:val="single" w:sz="4" w:space="0" w:color="auto"/>
              <w:bottom w:val="single" w:sz="4" w:space="0" w:color="auto"/>
              <w:right w:val="single" w:sz="4" w:space="0" w:color="auto"/>
            </w:tcBorders>
            <w:hideMark/>
          </w:tcPr>
          <w:p w:rsidR="002564E4" w:rsidRPr="00C85E79" w:rsidRDefault="006D5DA0" w:rsidP="00C85E79">
            <w:pPr>
              <w:tabs>
                <w:tab w:val="left" w:pos="2302"/>
              </w:tabs>
              <w:spacing w:after="240" w:line="276" w:lineRule="auto"/>
              <w:ind w:left="480" w:hanging="480"/>
              <w:rPr>
                <w:rFonts w:eastAsia="Times New Roman"/>
                <w:lang w:val="fr-FR"/>
              </w:rPr>
            </w:pPr>
            <w:r>
              <w:rPr>
                <w:lang w:val="en-US"/>
              </w:rPr>
              <w:fldChar w:fldCharType="begin">
                <w:ffData>
                  <w:name w:val=""/>
                  <w:enabled/>
                  <w:calcOnExit w:val="0"/>
                  <w:checkBox>
                    <w:sizeAuto/>
                    <w:default w:val="0"/>
                  </w:checkBox>
                </w:ffData>
              </w:fldChar>
            </w:r>
            <w:r>
              <w:rPr>
                <w:lang w:val="en-US"/>
              </w:rPr>
              <w:instrText xml:space="preserve"> FORMCHECKBOX </w:instrText>
            </w:r>
            <w:r>
              <w:rPr>
                <w:lang w:val="en-US"/>
              </w:rPr>
            </w:r>
            <w:r>
              <w:rPr>
                <w:lang w:val="en-US"/>
              </w:rPr>
              <w:fldChar w:fldCharType="end"/>
            </w:r>
            <w:r w:rsidR="002564E4" w:rsidRPr="00C85E79">
              <w:rPr>
                <w:rFonts w:eastAsia="Times New Roman"/>
                <w:lang w:val="fr-FR"/>
              </w:rPr>
              <w:tab/>
            </w:r>
            <w:r w:rsidR="00C85E79" w:rsidRPr="00C85E79">
              <w:rPr>
                <w:rFonts w:eastAsia="Times New Roman"/>
                <w:lang w:val="fr-FR"/>
              </w:rPr>
              <w:t xml:space="preserve">Întreaga axă prioritară se va implementa exclusiv prin instrumente financiare stabilite la nivelul Uniunii </w:t>
            </w:r>
          </w:p>
        </w:tc>
      </w:tr>
      <w:tr w:rsidR="002564E4" w:rsidRPr="00A158A9" w:rsidTr="005221A8">
        <w:trPr>
          <w:jc w:val="center"/>
        </w:trPr>
        <w:tc>
          <w:tcPr>
            <w:tcW w:w="7937" w:type="dxa"/>
            <w:tcBorders>
              <w:top w:val="single" w:sz="4" w:space="0" w:color="auto"/>
              <w:left w:val="single" w:sz="4" w:space="0" w:color="auto"/>
              <w:bottom w:val="single" w:sz="4" w:space="0" w:color="auto"/>
              <w:right w:val="single" w:sz="4" w:space="0" w:color="auto"/>
            </w:tcBorders>
            <w:hideMark/>
          </w:tcPr>
          <w:p w:rsidR="002564E4" w:rsidRPr="00C85E79" w:rsidRDefault="00FF412A" w:rsidP="00C85E79">
            <w:pPr>
              <w:tabs>
                <w:tab w:val="left" w:pos="2302"/>
              </w:tabs>
              <w:spacing w:after="240" w:line="276" w:lineRule="auto"/>
              <w:ind w:left="480" w:hanging="480"/>
              <w:rPr>
                <w:rFonts w:eastAsia="Times New Roman"/>
                <w:lang w:val="fr-FR"/>
              </w:rPr>
            </w:pPr>
            <w:r w:rsidRPr="00C85E79">
              <w:rPr>
                <w:rFonts w:eastAsia="Times New Roman"/>
                <w:lang w:val="en-US"/>
              </w:rPr>
              <w:fldChar w:fldCharType="begin">
                <w:ffData>
                  <w:name w:val="Check3"/>
                  <w:enabled/>
                  <w:calcOnExit w:val="0"/>
                  <w:checkBox>
                    <w:sizeAuto/>
                    <w:default w:val="0"/>
                  </w:checkBox>
                </w:ffData>
              </w:fldChar>
            </w:r>
            <w:r w:rsidR="00C12B77" w:rsidRPr="00C85E79">
              <w:rPr>
                <w:rFonts w:eastAsia="Times New Roman"/>
                <w:lang w:val="fr-FR"/>
              </w:rPr>
              <w:instrText xml:space="preserve"> FORMCHECKBOX </w:instrText>
            </w:r>
            <w:r w:rsidR="006D5DA0">
              <w:rPr>
                <w:rFonts w:eastAsia="Times New Roman"/>
                <w:lang w:val="en-US"/>
              </w:rPr>
            </w:r>
            <w:r w:rsidR="006D5DA0">
              <w:rPr>
                <w:rFonts w:eastAsia="Times New Roman"/>
                <w:lang w:val="en-US"/>
              </w:rPr>
              <w:fldChar w:fldCharType="separate"/>
            </w:r>
            <w:r w:rsidRPr="00C85E79">
              <w:rPr>
                <w:rFonts w:eastAsia="Times New Roman"/>
                <w:lang w:val="en-US"/>
              </w:rPr>
              <w:fldChar w:fldCharType="end"/>
            </w:r>
            <w:r w:rsidR="002564E4" w:rsidRPr="00C85E79">
              <w:rPr>
                <w:rFonts w:eastAsia="Times New Roman"/>
                <w:lang w:val="fr-FR"/>
              </w:rPr>
              <w:tab/>
            </w:r>
            <w:r w:rsidR="00C85E79" w:rsidRPr="00C85E79">
              <w:rPr>
                <w:rFonts w:eastAsia="Times New Roman"/>
                <w:lang w:val="fr-FR"/>
              </w:rPr>
              <w:t xml:space="preserve">Întreaga axă prioritară se va implementa prin dezvoltare locală plasată sub responsabilitatea comunității </w:t>
            </w:r>
          </w:p>
        </w:tc>
      </w:tr>
    </w:tbl>
    <w:p w:rsidR="002564E4" w:rsidRPr="00C85E79" w:rsidRDefault="002564E4" w:rsidP="006E781B">
      <w:pPr>
        <w:rPr>
          <w:lang w:val="fr-FR"/>
        </w:rPr>
      </w:pPr>
      <w:bookmarkStart w:id="22" w:name="_Toc394837755"/>
      <w:bookmarkStart w:id="23" w:name="_Toc389657961"/>
      <w:proofErr w:type="gramStart"/>
      <w:r w:rsidRPr="00396473">
        <w:rPr>
          <w:rStyle w:val="Heading2Char"/>
          <w:rFonts w:eastAsia="Calibri"/>
          <w:lang w:val="fr-FR"/>
        </w:rPr>
        <w:t>2.A.2</w:t>
      </w:r>
      <w:proofErr w:type="gramEnd"/>
      <w:r w:rsidRPr="00396473">
        <w:rPr>
          <w:rStyle w:val="Heading2Char"/>
          <w:rFonts w:eastAsia="Calibri"/>
          <w:lang w:val="fr-FR"/>
        </w:rPr>
        <w:t xml:space="preserve">. </w:t>
      </w:r>
      <w:r w:rsidR="00C85E79" w:rsidRPr="00396473">
        <w:rPr>
          <w:rStyle w:val="Heading2Char"/>
          <w:rFonts w:eastAsia="Calibri"/>
          <w:lang w:val="fr-FR"/>
        </w:rPr>
        <w:t xml:space="preserve">Justificarea stabilirii unei axe prioritare care acoperă mai mult de un obiectiv </w:t>
      </w:r>
      <w:proofErr w:type="gramStart"/>
      <w:r w:rsidR="00C85E79" w:rsidRPr="00396473">
        <w:rPr>
          <w:rStyle w:val="Heading2Char"/>
          <w:rFonts w:eastAsia="Calibri"/>
          <w:lang w:val="fr-FR"/>
        </w:rPr>
        <w:t>tematic</w:t>
      </w:r>
      <w:bookmarkEnd w:id="22"/>
      <w:r w:rsidR="00C85E79" w:rsidRPr="00396473">
        <w:rPr>
          <w:bCs/>
          <w:lang w:val="fr-FR"/>
        </w:rPr>
        <w:t>(</w:t>
      </w:r>
      <w:proofErr w:type="gramEnd"/>
      <w:r w:rsidR="00C85E79" w:rsidRPr="00396473">
        <w:rPr>
          <w:bCs/>
          <w:lang w:val="fr-FR"/>
        </w:rPr>
        <w:t>dacă este cazul)</w:t>
      </w:r>
      <w:bookmarkEnd w:id="23"/>
    </w:p>
    <w:p w:rsidR="002564E4" w:rsidRPr="00C85E79" w:rsidRDefault="002564E4" w:rsidP="002564E4">
      <w:pPr>
        <w:rPr>
          <w:lang w:val="fr-FR"/>
        </w:rPr>
      </w:pPr>
      <w:r w:rsidRPr="00C85E79">
        <w:rPr>
          <w:lang w:val="fr-FR"/>
        </w:rPr>
        <w:t>N</w:t>
      </w:r>
      <w:r w:rsidR="00C85E79" w:rsidRPr="00C85E79">
        <w:rPr>
          <w:lang w:val="fr-FR"/>
        </w:rPr>
        <w:t xml:space="preserve">u se aplică </w:t>
      </w:r>
    </w:p>
    <w:p w:rsidR="00C85E79" w:rsidRPr="00C85E79" w:rsidRDefault="002564E4" w:rsidP="002E1C90">
      <w:pPr>
        <w:pStyle w:val="Heading2"/>
        <w:rPr>
          <w:lang w:val="fr-FR"/>
        </w:rPr>
      </w:pPr>
      <w:bookmarkStart w:id="24" w:name="_Toc394837756"/>
      <w:proofErr w:type="gramStart"/>
      <w:r w:rsidRPr="00C85E79">
        <w:rPr>
          <w:lang w:val="fr-FR"/>
        </w:rPr>
        <w:t>2.A.3</w:t>
      </w:r>
      <w:proofErr w:type="gramEnd"/>
      <w:r w:rsidRPr="00C85E79">
        <w:rPr>
          <w:lang w:val="fr-FR"/>
        </w:rPr>
        <w:t xml:space="preserve">. </w:t>
      </w:r>
      <w:r w:rsidR="00C85E79" w:rsidRPr="00C85E79">
        <w:rPr>
          <w:lang w:val="fr-FR"/>
        </w:rPr>
        <w:t>Fondul și baza de calcul pentru sprijinul Uniunii</w:t>
      </w:r>
      <w:bookmarkEnd w:id="24"/>
    </w:p>
    <w:p w:rsidR="002564E4" w:rsidRPr="00396473" w:rsidRDefault="00C85E79" w:rsidP="00C85E79">
      <w:pPr>
        <w:rPr>
          <w:lang w:val="fr-FR"/>
        </w:rPr>
      </w:pPr>
      <w:r w:rsidRPr="00396473">
        <w:rPr>
          <w:lang w:val="fr-FR"/>
        </w:rPr>
        <w:t>(</w:t>
      </w:r>
      <w:proofErr w:type="gramStart"/>
      <w:r w:rsidRPr="00396473">
        <w:rPr>
          <w:lang w:val="fr-FR"/>
        </w:rPr>
        <w:t>se</w:t>
      </w:r>
      <w:proofErr w:type="gramEnd"/>
      <w:r w:rsidRPr="00396473">
        <w:rPr>
          <w:lang w:val="fr-FR"/>
        </w:rPr>
        <w:t xml:space="preserve"> repetă pentru fiecare fond acoperit de axa prioritară)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4962"/>
      </w:tblGrid>
      <w:tr w:rsidR="002564E4" w:rsidRPr="006E781B" w:rsidTr="005221A8">
        <w:trPr>
          <w:jc w:val="center"/>
        </w:trPr>
        <w:tc>
          <w:tcPr>
            <w:tcW w:w="2070" w:type="dxa"/>
            <w:tcBorders>
              <w:top w:val="single" w:sz="4" w:space="0" w:color="auto"/>
              <w:left w:val="single" w:sz="4" w:space="0" w:color="auto"/>
              <w:bottom w:val="single" w:sz="4" w:space="0" w:color="auto"/>
              <w:right w:val="single" w:sz="4" w:space="0" w:color="auto"/>
            </w:tcBorders>
            <w:hideMark/>
          </w:tcPr>
          <w:p w:rsidR="002564E4" w:rsidRPr="006E781B" w:rsidRDefault="002564E4" w:rsidP="00A71DBE">
            <w:pPr>
              <w:spacing w:before="0" w:after="0" w:line="276" w:lineRule="auto"/>
              <w:rPr>
                <w:rFonts w:eastAsia="Times New Roman"/>
                <w:i/>
                <w:lang w:val="en-US"/>
              </w:rPr>
            </w:pPr>
            <w:r w:rsidRPr="006E781B">
              <w:rPr>
                <w:rFonts w:eastAsia="Times New Roman"/>
                <w:i/>
                <w:lang w:val="en-US"/>
              </w:rPr>
              <w:t>F</w:t>
            </w:r>
            <w:r w:rsidR="006E781B">
              <w:rPr>
                <w:rFonts w:eastAsia="Times New Roman"/>
                <w:i/>
                <w:lang w:val="en-US"/>
              </w:rPr>
              <w:t>o</w:t>
            </w:r>
            <w:r w:rsidRPr="006E781B">
              <w:rPr>
                <w:rFonts w:eastAsia="Times New Roman"/>
                <w:i/>
                <w:lang w:val="en-US"/>
              </w:rPr>
              <w:t>nd</w:t>
            </w:r>
          </w:p>
        </w:tc>
        <w:tc>
          <w:tcPr>
            <w:tcW w:w="4962" w:type="dxa"/>
            <w:tcBorders>
              <w:top w:val="single" w:sz="4" w:space="0" w:color="auto"/>
              <w:left w:val="single" w:sz="4" w:space="0" w:color="auto"/>
              <w:bottom w:val="single" w:sz="4" w:space="0" w:color="auto"/>
              <w:right w:val="single" w:sz="4" w:space="0" w:color="auto"/>
            </w:tcBorders>
            <w:hideMark/>
          </w:tcPr>
          <w:p w:rsidR="002564E4" w:rsidRPr="006E781B" w:rsidRDefault="001B679A" w:rsidP="00A71DBE">
            <w:pPr>
              <w:spacing w:before="0" w:after="0" w:line="276" w:lineRule="auto"/>
              <w:rPr>
                <w:rFonts w:eastAsia="Times New Roman"/>
                <w:i/>
                <w:szCs w:val="24"/>
                <w:lang w:val="en-US"/>
              </w:rPr>
            </w:pPr>
            <w:r>
              <w:rPr>
                <w:rFonts w:eastAsia="Times New Roman"/>
                <w:i/>
                <w:szCs w:val="24"/>
                <w:lang w:val="en-US"/>
              </w:rPr>
              <w:t>FEDR</w:t>
            </w:r>
          </w:p>
        </w:tc>
      </w:tr>
      <w:tr w:rsidR="002564E4" w:rsidRPr="00210B75" w:rsidTr="005221A8">
        <w:trPr>
          <w:jc w:val="center"/>
        </w:trPr>
        <w:tc>
          <w:tcPr>
            <w:tcW w:w="2070" w:type="dxa"/>
            <w:tcBorders>
              <w:top w:val="single" w:sz="4" w:space="0" w:color="auto"/>
              <w:left w:val="single" w:sz="4" w:space="0" w:color="auto"/>
              <w:bottom w:val="single" w:sz="4" w:space="0" w:color="auto"/>
              <w:right w:val="single" w:sz="4" w:space="0" w:color="auto"/>
            </w:tcBorders>
            <w:hideMark/>
          </w:tcPr>
          <w:p w:rsidR="002564E4" w:rsidRPr="006F7519" w:rsidRDefault="006E781B" w:rsidP="00A71DBE">
            <w:pPr>
              <w:spacing w:before="0" w:after="0" w:line="276" w:lineRule="auto"/>
              <w:rPr>
                <w:rFonts w:eastAsia="Times New Roman"/>
                <w:i/>
                <w:lang w:val="it-IT"/>
              </w:rPr>
            </w:pPr>
            <w:r w:rsidRPr="006F7519">
              <w:rPr>
                <w:rFonts w:eastAsia="Times New Roman"/>
                <w:i/>
                <w:lang w:val="it-IT"/>
              </w:rPr>
              <w:t xml:space="preserve">Baza de calcul (totalul cheltuielilor eligibile sau al cheltuielilor publice eligibile) </w:t>
            </w:r>
          </w:p>
        </w:tc>
        <w:tc>
          <w:tcPr>
            <w:tcW w:w="4962" w:type="dxa"/>
            <w:tcBorders>
              <w:top w:val="single" w:sz="4" w:space="0" w:color="auto"/>
              <w:left w:val="single" w:sz="4" w:space="0" w:color="auto"/>
              <w:bottom w:val="single" w:sz="4" w:space="0" w:color="auto"/>
              <w:right w:val="single" w:sz="4" w:space="0" w:color="auto"/>
            </w:tcBorders>
            <w:hideMark/>
          </w:tcPr>
          <w:p w:rsidR="002564E4" w:rsidRPr="006E781B" w:rsidRDefault="006E781B" w:rsidP="00A71DBE">
            <w:pPr>
              <w:spacing w:before="0" w:after="0" w:line="276" w:lineRule="auto"/>
              <w:rPr>
                <w:rFonts w:eastAsia="Times New Roman"/>
                <w:i/>
                <w:color w:val="8DB3E2"/>
                <w:sz w:val="18"/>
                <w:szCs w:val="18"/>
                <w:lang w:val="en-US"/>
              </w:rPr>
            </w:pPr>
            <w:r>
              <w:rPr>
                <w:rFonts w:eastAsia="Times New Roman"/>
                <w:i/>
                <w:lang w:val="en-US"/>
              </w:rPr>
              <w:t>T</w:t>
            </w:r>
            <w:r w:rsidRPr="006E781B">
              <w:rPr>
                <w:rFonts w:eastAsia="Times New Roman"/>
                <w:i/>
                <w:lang w:val="en-US"/>
              </w:rPr>
              <w:t xml:space="preserve">otalul cheltuielilor eligibile </w:t>
            </w:r>
          </w:p>
        </w:tc>
      </w:tr>
    </w:tbl>
    <w:p w:rsidR="002564E4" w:rsidRPr="00A32A94" w:rsidRDefault="002564E4" w:rsidP="002E1C90">
      <w:pPr>
        <w:pStyle w:val="Heading2"/>
        <w:rPr>
          <w:lang w:val="it-IT"/>
        </w:rPr>
      </w:pPr>
      <w:bookmarkStart w:id="25" w:name="_Toc394837757"/>
      <w:r w:rsidRPr="00A32A94">
        <w:rPr>
          <w:lang w:val="it-IT"/>
        </w:rPr>
        <w:t xml:space="preserve">2.A.4. </w:t>
      </w:r>
      <w:r w:rsidR="006E781B" w:rsidRPr="00A32A94">
        <w:rPr>
          <w:lang w:val="it-IT"/>
        </w:rPr>
        <w:t>Prioritatea de investiții</w:t>
      </w:r>
      <w:bookmarkEnd w:id="25"/>
    </w:p>
    <w:p w:rsidR="002564E4" w:rsidRPr="006F7519" w:rsidRDefault="006E781B" w:rsidP="00311248">
      <w:pPr>
        <w:pStyle w:val="Heading4"/>
        <w:rPr>
          <w:i/>
          <w:color w:val="4F81BD" w:themeColor="accent1"/>
          <w:sz w:val="36"/>
          <w:szCs w:val="24"/>
          <w:highlight w:val="red"/>
          <w:lang w:val="it-IT"/>
        </w:rPr>
      </w:pPr>
      <w:bookmarkStart w:id="26" w:name="_Toc394837758"/>
      <w:r w:rsidRPr="006F7519">
        <w:rPr>
          <w:color w:val="365F91"/>
          <w:lang w:val="it-IT"/>
        </w:rPr>
        <w:t>Prioritatea de investiții</w:t>
      </w:r>
      <w:r w:rsidR="002564E4" w:rsidRPr="006F7519">
        <w:rPr>
          <w:color w:val="365F91"/>
          <w:lang w:val="it-IT"/>
        </w:rPr>
        <w:t xml:space="preserve"> 7b</w:t>
      </w:r>
      <w:r w:rsidR="00CD3CE0" w:rsidRPr="006F7519">
        <w:rPr>
          <w:color w:val="365F91"/>
          <w:lang w:val="it-IT"/>
        </w:rPr>
        <w:t>:</w:t>
      </w:r>
      <w:r w:rsidRPr="006F7519">
        <w:rPr>
          <w:color w:val="365F91"/>
          <w:lang w:val="it-IT"/>
        </w:rPr>
        <w:t>stimularea mobilității regionale prin conectarea nodurilor secundare și terțiare la infrastructura TEN-T, inclusiv a nodurilor multimodale</w:t>
      </w:r>
      <w:bookmarkEnd w:id="26"/>
    </w:p>
    <w:p w:rsidR="00A71DBE" w:rsidRPr="006F7519" w:rsidRDefault="00A71DBE" w:rsidP="002E1C90">
      <w:pPr>
        <w:pStyle w:val="Heading2"/>
        <w:rPr>
          <w:lang w:val="it-IT"/>
        </w:rPr>
        <w:sectPr w:rsidR="00A71DBE" w:rsidRPr="006F7519">
          <w:footerReference w:type="default" r:id="rId24"/>
          <w:pgSz w:w="11906" w:h="16838"/>
          <w:pgMar w:top="1021" w:right="1418" w:bottom="1021" w:left="1418" w:header="601" w:footer="1077" w:gutter="0"/>
          <w:cols w:space="720"/>
        </w:sectPr>
      </w:pPr>
    </w:p>
    <w:p w:rsidR="002564E4" w:rsidRPr="006F7519" w:rsidRDefault="002564E4" w:rsidP="002E1C90">
      <w:pPr>
        <w:pStyle w:val="Heading2"/>
        <w:rPr>
          <w:lang w:val="it-IT"/>
        </w:rPr>
      </w:pPr>
      <w:bookmarkStart w:id="27" w:name="_Toc394837759"/>
      <w:r w:rsidRPr="006F7519">
        <w:rPr>
          <w:lang w:val="it-IT"/>
        </w:rPr>
        <w:lastRenderedPageBreak/>
        <w:t xml:space="preserve">2.A.5. </w:t>
      </w:r>
      <w:r w:rsidR="006E781B" w:rsidRPr="006F7519">
        <w:rPr>
          <w:lang w:val="it-IT"/>
        </w:rPr>
        <w:t>Obiective specifice corespunzătoare priorității de investiții și rezultate preconizate</w:t>
      </w:r>
      <w:bookmarkEnd w:id="27"/>
    </w:p>
    <w:tbl>
      <w:tblPr>
        <w:tblStyle w:val="TableGrid2"/>
        <w:tblW w:w="10944" w:type="dxa"/>
        <w:jc w:val="center"/>
        <w:tblLook w:val="04A0" w:firstRow="1" w:lastRow="0" w:firstColumn="1" w:lastColumn="0" w:noHBand="0" w:noVBand="1"/>
      </w:tblPr>
      <w:tblGrid>
        <w:gridCol w:w="2638"/>
        <w:gridCol w:w="8306"/>
      </w:tblGrid>
      <w:tr w:rsidR="00010086" w:rsidRPr="00A71DBE" w:rsidTr="00E81F0F">
        <w:trPr>
          <w:jc w:val="center"/>
        </w:trPr>
        <w:tc>
          <w:tcPr>
            <w:tcW w:w="2638" w:type="dxa"/>
          </w:tcPr>
          <w:p w:rsidR="00010086" w:rsidRPr="00A71DBE" w:rsidRDefault="00010086" w:rsidP="00A71DBE">
            <w:pPr>
              <w:spacing w:before="0" w:after="80"/>
              <w:rPr>
                <w:rFonts w:eastAsia="Times New Roman"/>
                <w:b/>
                <w:i/>
                <w:sz w:val="22"/>
                <w:szCs w:val="22"/>
                <w:lang w:val="en-US" w:eastAsia="en-US"/>
              </w:rPr>
            </w:pPr>
            <w:r w:rsidRPr="00A71DBE">
              <w:rPr>
                <w:rFonts w:eastAsia="Times New Roman"/>
                <w:b/>
                <w:i/>
                <w:sz w:val="22"/>
                <w:szCs w:val="22"/>
                <w:lang w:val="en-US" w:eastAsia="en-US"/>
              </w:rPr>
              <w:t>ID</w:t>
            </w:r>
          </w:p>
        </w:tc>
        <w:tc>
          <w:tcPr>
            <w:tcW w:w="8306" w:type="dxa"/>
          </w:tcPr>
          <w:p w:rsidR="00010086" w:rsidRPr="00A71DBE" w:rsidRDefault="00010086" w:rsidP="00A71DBE">
            <w:pPr>
              <w:spacing w:before="0" w:after="80"/>
              <w:rPr>
                <w:rFonts w:eastAsia="Times New Roman"/>
                <w:b/>
                <w:sz w:val="22"/>
                <w:szCs w:val="22"/>
                <w:lang w:val="en-US" w:eastAsia="en-US"/>
              </w:rPr>
            </w:pPr>
          </w:p>
        </w:tc>
      </w:tr>
      <w:tr w:rsidR="00010086" w:rsidRPr="00A158A9" w:rsidTr="00E81F0F">
        <w:trPr>
          <w:jc w:val="center"/>
        </w:trPr>
        <w:tc>
          <w:tcPr>
            <w:tcW w:w="2638" w:type="dxa"/>
          </w:tcPr>
          <w:p w:rsidR="00010086" w:rsidRPr="00A71DBE" w:rsidRDefault="006E781B" w:rsidP="00A71DBE">
            <w:pPr>
              <w:spacing w:before="0" w:after="80"/>
              <w:rPr>
                <w:rFonts w:eastAsia="Times New Roman"/>
                <w:b/>
                <w:i/>
                <w:sz w:val="22"/>
                <w:szCs w:val="22"/>
                <w:lang w:val="en-US" w:eastAsia="en-US"/>
              </w:rPr>
            </w:pPr>
            <w:r w:rsidRPr="00A71DBE">
              <w:rPr>
                <w:rFonts w:eastAsia="Times New Roman"/>
                <w:b/>
                <w:i/>
                <w:sz w:val="22"/>
                <w:szCs w:val="22"/>
                <w:lang w:val="en-US" w:eastAsia="en-US"/>
              </w:rPr>
              <w:t>Obiectiv Specific</w:t>
            </w:r>
            <w:r w:rsidR="00010086" w:rsidRPr="00A71DBE">
              <w:rPr>
                <w:rFonts w:eastAsia="Times New Roman"/>
                <w:b/>
                <w:i/>
                <w:sz w:val="22"/>
                <w:szCs w:val="22"/>
                <w:lang w:val="en-US" w:eastAsia="en-US"/>
              </w:rPr>
              <w:t xml:space="preserve"> 1.1</w:t>
            </w:r>
          </w:p>
        </w:tc>
        <w:tc>
          <w:tcPr>
            <w:tcW w:w="8306" w:type="dxa"/>
          </w:tcPr>
          <w:p w:rsidR="00CA7ACC" w:rsidRPr="00A71DBE" w:rsidRDefault="004D2B0C" w:rsidP="00A71DBE">
            <w:pPr>
              <w:spacing w:before="0" w:after="80"/>
              <w:rPr>
                <w:rFonts w:eastAsia="Times New Roman"/>
                <w:b/>
                <w:sz w:val="22"/>
                <w:szCs w:val="22"/>
                <w:lang w:val="fr-FR" w:eastAsia="en-US"/>
              </w:rPr>
            </w:pPr>
            <w:r w:rsidRPr="00A71DBE">
              <w:rPr>
                <w:rFonts w:eastAsia="Times New Roman"/>
                <w:b/>
                <w:sz w:val="22"/>
                <w:szCs w:val="22"/>
                <w:lang w:val="fr-FR" w:eastAsia="en-US"/>
              </w:rPr>
              <w:t>Îmbună</w:t>
            </w:r>
            <w:r w:rsidR="00137853" w:rsidRPr="00A71DBE">
              <w:rPr>
                <w:rFonts w:eastAsia="Times New Roman"/>
                <w:b/>
                <w:sz w:val="22"/>
                <w:szCs w:val="22"/>
                <w:lang w:val="fr-FR" w:eastAsia="en-US"/>
              </w:rPr>
              <w:t>t</w:t>
            </w:r>
            <w:r w:rsidRPr="00A71DBE">
              <w:rPr>
                <w:rFonts w:eastAsia="Times New Roman"/>
                <w:b/>
                <w:sz w:val="22"/>
                <w:szCs w:val="22"/>
                <w:lang w:val="fr-FR" w:eastAsia="en-US"/>
              </w:rPr>
              <w:t>ăț</w:t>
            </w:r>
            <w:r w:rsidR="00137853" w:rsidRPr="00A71DBE">
              <w:rPr>
                <w:rFonts w:eastAsia="Times New Roman"/>
                <w:b/>
                <w:sz w:val="22"/>
                <w:szCs w:val="22"/>
                <w:lang w:val="fr-FR" w:eastAsia="en-US"/>
              </w:rPr>
              <w:t xml:space="preserve">irea procesului de planificare, dezvoltare </w:t>
            </w:r>
            <w:r w:rsidRPr="00A71DBE">
              <w:rPr>
                <w:rFonts w:eastAsia="Times New Roman"/>
                <w:b/>
                <w:sz w:val="22"/>
                <w:szCs w:val="22"/>
                <w:lang w:val="fr-FR" w:eastAsia="en-US"/>
              </w:rPr>
              <w:t>ș</w:t>
            </w:r>
            <w:r w:rsidR="00137853" w:rsidRPr="00A71DBE">
              <w:rPr>
                <w:rFonts w:eastAsia="Times New Roman"/>
                <w:b/>
                <w:sz w:val="22"/>
                <w:szCs w:val="22"/>
                <w:lang w:val="fr-FR" w:eastAsia="en-US"/>
              </w:rPr>
              <w:t xml:space="preserve">i coordonare a sistemelor de transport transfrontaliere </w:t>
            </w:r>
            <w:r w:rsidRPr="00A71DBE">
              <w:rPr>
                <w:rFonts w:eastAsia="Times New Roman"/>
                <w:b/>
                <w:sz w:val="22"/>
                <w:szCs w:val="22"/>
                <w:lang w:val="fr-FR" w:eastAsia="en-US"/>
              </w:rPr>
              <w:t>î</w:t>
            </w:r>
            <w:r w:rsidR="00137853" w:rsidRPr="00A71DBE">
              <w:rPr>
                <w:rFonts w:eastAsia="Times New Roman"/>
                <w:b/>
                <w:sz w:val="22"/>
                <w:szCs w:val="22"/>
                <w:lang w:val="fr-FR" w:eastAsia="en-US"/>
              </w:rPr>
              <w:t>n vederea asigur</w:t>
            </w:r>
            <w:r w:rsidRPr="00A71DBE">
              <w:rPr>
                <w:rFonts w:eastAsia="Times New Roman"/>
                <w:b/>
                <w:sz w:val="22"/>
                <w:szCs w:val="22"/>
                <w:lang w:val="fr-FR" w:eastAsia="en-US"/>
              </w:rPr>
              <w:t>ă</w:t>
            </w:r>
            <w:r w:rsidR="00137853" w:rsidRPr="00A71DBE">
              <w:rPr>
                <w:rFonts w:eastAsia="Times New Roman"/>
                <w:b/>
                <w:sz w:val="22"/>
                <w:szCs w:val="22"/>
                <w:lang w:val="fr-FR" w:eastAsia="en-US"/>
              </w:rPr>
              <w:t>rii unor mai bune conexiuni la re</w:t>
            </w:r>
            <w:r w:rsidRPr="00A71DBE">
              <w:rPr>
                <w:rFonts w:eastAsia="Times New Roman"/>
                <w:b/>
                <w:sz w:val="22"/>
                <w:szCs w:val="22"/>
                <w:lang w:val="fr-FR" w:eastAsia="en-US"/>
              </w:rPr>
              <w:t>ț</w:t>
            </w:r>
            <w:r w:rsidR="00137853" w:rsidRPr="00A71DBE">
              <w:rPr>
                <w:rFonts w:eastAsia="Times New Roman"/>
                <w:b/>
                <w:sz w:val="22"/>
                <w:szCs w:val="22"/>
                <w:lang w:val="fr-FR" w:eastAsia="en-US"/>
              </w:rPr>
              <w:t xml:space="preserve">elele de transport TEN-T </w:t>
            </w:r>
          </w:p>
        </w:tc>
      </w:tr>
      <w:tr w:rsidR="00010086" w:rsidRPr="00A158A9" w:rsidTr="00E81F0F">
        <w:trPr>
          <w:jc w:val="center"/>
        </w:trPr>
        <w:tc>
          <w:tcPr>
            <w:tcW w:w="2638" w:type="dxa"/>
          </w:tcPr>
          <w:p w:rsidR="00010086" w:rsidRPr="006F7519" w:rsidRDefault="00137853" w:rsidP="00A71DBE">
            <w:pPr>
              <w:spacing w:before="0" w:after="80"/>
              <w:rPr>
                <w:rFonts w:eastAsia="Times New Roman"/>
                <w:b/>
                <w:i/>
                <w:sz w:val="22"/>
                <w:szCs w:val="22"/>
                <w:lang w:val="it-IT" w:eastAsia="en-US"/>
              </w:rPr>
            </w:pPr>
            <w:r w:rsidRPr="006F7519">
              <w:rPr>
                <w:rFonts w:eastAsia="Times New Roman"/>
                <w:b/>
                <w:i/>
                <w:sz w:val="22"/>
                <w:szCs w:val="22"/>
                <w:lang w:val="it-IT" w:eastAsia="en-US"/>
              </w:rPr>
              <w:t>Rezultatele pe care statul membru caută să le obțină prin sprijinul din partea Uniunii</w:t>
            </w:r>
          </w:p>
        </w:tc>
        <w:tc>
          <w:tcPr>
            <w:tcW w:w="8306" w:type="dxa"/>
          </w:tcPr>
          <w:p w:rsidR="00A71DBE" w:rsidRPr="00A71DBE" w:rsidRDefault="00A71DBE" w:rsidP="00A71DBE">
            <w:pPr>
              <w:spacing w:before="0" w:after="80"/>
              <w:rPr>
                <w:lang w:val="fr-FR"/>
              </w:rPr>
            </w:pPr>
            <w:r w:rsidRPr="00A71DBE">
              <w:rPr>
                <w:lang w:val="fr-FR"/>
              </w:rPr>
              <w:t xml:space="preserve">Dificultăţile de accesibilitate şi mobilitate care afectează judeţele/districtele din zona transfrontalieră au la origine motive </w:t>
            </w:r>
            <w:r w:rsidRPr="00610053">
              <w:rPr>
                <w:lang w:val="fr-FR"/>
              </w:rPr>
              <w:t>istorice</w:t>
            </w:r>
            <w:r w:rsidRPr="00A71DBE">
              <w:rPr>
                <w:lang w:val="fr-FR"/>
              </w:rPr>
              <w:t>: reţeaua locală şi regională de transport a fost</w:t>
            </w:r>
            <w:r w:rsidR="00DD00F0">
              <w:rPr>
                <w:lang w:val="fr-FR"/>
              </w:rPr>
              <w:t xml:space="preserve"> construită, înainte de 1990</w:t>
            </w:r>
            <w:r w:rsidRPr="00A71DBE">
              <w:rPr>
                <w:lang w:val="fr-FR"/>
              </w:rPr>
              <w:t xml:space="preserve">, pe premisa că Dunărea era o graniţă rigidă, o zonă aflată într-un „punct mort”. La acel moment, conta doar conectivitatea nodurilor cu capitala naţională sau zonele urbane </w:t>
            </w:r>
            <w:r w:rsidR="00DD00F0">
              <w:rPr>
                <w:lang w:val="fr-FR"/>
              </w:rPr>
              <w:t>importante, generând astfel mari zone cu conectivitate redusă</w:t>
            </w:r>
            <w:r w:rsidRPr="00A71DBE">
              <w:rPr>
                <w:lang w:val="fr-FR"/>
              </w:rPr>
              <w:t xml:space="preserve"> între zonele rurale şi nodurile secundare şi între nodurile secundare şi nodurile terţiare la nivel naţional şi conectivitate aproape zero la nivel transfrontalier. Zona transfrontalieră suferă în prezent de conectarea limitată a infrastructurilor judeţelor/districtelor la cele ale  TEN-T datorită inf</w:t>
            </w:r>
            <w:r w:rsidR="00DD00F0">
              <w:rPr>
                <w:lang w:val="fr-FR"/>
              </w:rPr>
              <w:t>rastructurii majore nefinalizate</w:t>
            </w:r>
            <w:r w:rsidRPr="00A71DBE">
              <w:rPr>
                <w:lang w:val="fr-FR"/>
              </w:rPr>
              <w:t xml:space="preserve"> a coridorului TEN-T din vecinătatea sa sau deficienţelor conectărilor existente la coridoarele TEN-T.</w:t>
            </w:r>
          </w:p>
          <w:p w:rsidR="00A71DBE" w:rsidRPr="00A71DBE" w:rsidRDefault="00A71DBE" w:rsidP="00A71DBE">
            <w:pPr>
              <w:spacing w:before="0" w:after="80"/>
              <w:rPr>
                <w:lang w:val="fr-FR"/>
              </w:rPr>
            </w:pPr>
            <w:r w:rsidRPr="00A71DBE">
              <w:rPr>
                <w:lang w:val="fr-FR"/>
              </w:rPr>
              <w:t>Având în vedere că Dunărea – un coridor TEN-T şi un important coridor de transport paneuropean – reprezintă coloana vertebrală geografică a zonei transfrontaliere, deficienţele menţionate mai sus pot fi parţial tratate prin regândirea conectivităţii teritoriului într-</w:t>
            </w:r>
            <w:r w:rsidR="00DD00F0">
              <w:rPr>
                <w:lang w:val="fr-FR"/>
              </w:rPr>
              <w:t>un mod mai axat pe Dunăre. Luând în calcul</w:t>
            </w:r>
            <w:r w:rsidRPr="00A71DBE">
              <w:rPr>
                <w:lang w:val="fr-FR"/>
              </w:rPr>
              <w:t xml:space="preserve"> specificităţile conectivităţii fluviului, aceasta înseamnă un accent mai apăsat pe sinergiile de mobilitate dintre zonele române şi bulgare ale Dunării pentru a dezvolta într-un mod inteligent conectivitatea bazată pe Dunăre a judeţelor/districtelor din zona transfrontalieră. Cu alte cuvinte, aceasta înseamnă îmbunătăţirea conectivităţii zonelor rurale, nodurilor secundare şi terţiare la infrastructura TEN-T prin adoptarea unei abordări bazate pe Dunăr</w:t>
            </w:r>
            <w:r w:rsidR="00DD00F0">
              <w:rPr>
                <w:lang w:val="fr-FR"/>
              </w:rPr>
              <w:t xml:space="preserve">e care va fi făcută </w:t>
            </w:r>
            <w:r w:rsidR="00DD00F0" w:rsidRPr="00610053">
              <w:rPr>
                <w:lang w:val="fr-FR"/>
              </w:rPr>
              <w:t>operaţional</w:t>
            </w:r>
            <w:r w:rsidRPr="00A71DBE">
              <w:rPr>
                <w:lang w:val="fr-FR"/>
              </w:rPr>
              <w:t xml:space="preserve"> prin cooperare transfrontalieră în domeniul conectivităţii transportului la acest coridor TEN-T. Această abordare este complementară strategiilor naţionale din România şi Bulgaria pentru următoarea perioadă de programare care sprijină conectarea mai bună a centrelor urbane medii şi mari în regiunea transfrontalieră între ele şi cu centrele naţionale (precum Bucureşti şi Sofia) şi sunt mai puţin concentrate pe conectivitatea la Dunăre. </w:t>
            </w:r>
          </w:p>
          <w:p w:rsidR="00A71DBE" w:rsidRPr="00A71DBE" w:rsidRDefault="00A71DBE" w:rsidP="00A71DBE">
            <w:pPr>
              <w:spacing w:before="0" w:after="80"/>
              <w:rPr>
                <w:lang w:val="fr-FR"/>
              </w:rPr>
            </w:pPr>
            <w:r w:rsidRPr="00A71DBE">
              <w:rPr>
                <w:lang w:val="fr-FR"/>
              </w:rPr>
              <w:t xml:space="preserve">În termeni de conectivitate </w:t>
            </w:r>
            <w:proofErr w:type="gramStart"/>
            <w:r w:rsidRPr="00A71DBE">
              <w:rPr>
                <w:lang w:val="fr-FR"/>
              </w:rPr>
              <w:t>a</w:t>
            </w:r>
            <w:proofErr w:type="gramEnd"/>
            <w:r w:rsidRPr="00A71DBE">
              <w:rPr>
                <w:lang w:val="fr-FR"/>
              </w:rPr>
              <w:t xml:space="preserve"> zonei transfrontaliere, o îmbunătăţire durabilă poate fi obţinută mai uşor dacă sistemele de transport ale ţării/districtului fac parte dintr-un sistem transfrontalier şi nu sunt doar simple zone „în punct mort”, total dependente de reţeaua de transport naţională. Reconectarea regiunii, ca o zonă integrată transfrontalieră, va reprezenta un adevărat stimulent pentru dezvoltarea socio-economică locală şi nu doar o simplă facilitate sporită care va fi în principal în avantajul centrelor economice mai puternice (Bucureşti, Sofia, Varna) situate în vecinătatea teritoriului transfrontalier. </w:t>
            </w:r>
          </w:p>
          <w:p w:rsidR="00A71DBE" w:rsidRPr="00A71DBE" w:rsidRDefault="00A71DBE" w:rsidP="00A71DBE">
            <w:pPr>
              <w:spacing w:before="0" w:after="80"/>
              <w:rPr>
                <w:lang w:val="fr-FR"/>
              </w:rPr>
            </w:pPr>
            <w:r w:rsidRPr="00A71DBE">
              <w:rPr>
                <w:lang w:val="fr-FR"/>
              </w:rPr>
              <w:t xml:space="preserve">De aceea, prin includerea acestei Priorităţi de Investiţie, Programul îşi propune să contribuie </w:t>
            </w:r>
            <w:proofErr w:type="gramStart"/>
            <w:r w:rsidRPr="00A71DBE">
              <w:rPr>
                <w:lang w:val="fr-FR"/>
              </w:rPr>
              <w:t>la obţinerea</w:t>
            </w:r>
            <w:proofErr w:type="gramEnd"/>
            <w:r w:rsidRPr="00A71DBE">
              <w:rPr>
                <w:lang w:val="fr-FR"/>
              </w:rPr>
              <w:t xml:space="preserve"> următoarelor rezultate: </w:t>
            </w:r>
          </w:p>
          <w:p w:rsidR="00A71DBE" w:rsidRPr="006F7519" w:rsidRDefault="00A71DBE" w:rsidP="00EC1DA9">
            <w:pPr>
              <w:pStyle w:val="ListParagraph"/>
              <w:numPr>
                <w:ilvl w:val="0"/>
                <w:numId w:val="38"/>
              </w:numPr>
              <w:spacing w:before="0" w:after="80"/>
              <w:rPr>
                <w:lang w:val="it-IT"/>
              </w:rPr>
            </w:pPr>
            <w:r w:rsidRPr="006F7519">
              <w:rPr>
                <w:lang w:val="it-IT"/>
              </w:rPr>
              <w:t xml:space="preserve">Reducerea discrepanţei dintre regiunile periferice, greu accesibile şi centrele urbane bine conectate; </w:t>
            </w:r>
          </w:p>
          <w:p w:rsidR="00A71DBE" w:rsidRPr="00A71DBE" w:rsidRDefault="00A71DBE" w:rsidP="00EC1DA9">
            <w:pPr>
              <w:pStyle w:val="ListParagraph"/>
              <w:numPr>
                <w:ilvl w:val="0"/>
                <w:numId w:val="38"/>
              </w:numPr>
              <w:spacing w:before="0" w:after="80"/>
              <w:rPr>
                <w:lang w:val="fr-FR"/>
              </w:rPr>
            </w:pPr>
            <w:r w:rsidRPr="00A71DBE">
              <w:rPr>
                <w:lang w:val="fr-FR"/>
              </w:rPr>
              <w:t xml:space="preserve">Dezvoltarea în continuare a transportului multi-modal şi ecologic de mărfuri şi pasageri din zona fluviului Dunărea;  </w:t>
            </w:r>
          </w:p>
          <w:p w:rsidR="00A71DBE" w:rsidRPr="00A71DBE" w:rsidRDefault="00A71DBE" w:rsidP="00EC1DA9">
            <w:pPr>
              <w:pStyle w:val="ListParagraph"/>
              <w:numPr>
                <w:ilvl w:val="0"/>
                <w:numId w:val="38"/>
              </w:numPr>
              <w:spacing w:before="0" w:after="80"/>
              <w:rPr>
                <w:lang w:val="fr-FR"/>
              </w:rPr>
            </w:pPr>
            <w:r w:rsidRPr="00A71DBE">
              <w:rPr>
                <w:lang w:val="fr-FR"/>
              </w:rPr>
              <w:t xml:space="preserve">Îmbunătăţirea conectivităţii dintre România şi Bulgaria: elaborarea de studii de fezabilitate, proiecte şi evaluări de mediu privind noile poduri; conectări rutiere şi feroviare; terminale intermodale; </w:t>
            </w:r>
          </w:p>
          <w:p w:rsidR="00A71DBE" w:rsidRPr="00A71DBE" w:rsidRDefault="00A71DBE" w:rsidP="00EC1DA9">
            <w:pPr>
              <w:pStyle w:val="ListParagraph"/>
              <w:numPr>
                <w:ilvl w:val="0"/>
                <w:numId w:val="38"/>
              </w:numPr>
              <w:spacing w:before="0" w:after="80"/>
              <w:rPr>
                <w:lang w:val="fr-FR"/>
              </w:rPr>
            </w:pPr>
            <w:r w:rsidRPr="00A71DBE">
              <w:rPr>
                <w:lang w:val="fr-FR"/>
              </w:rPr>
              <w:t xml:space="preserve">Conectare eficientă </w:t>
            </w:r>
            <w:proofErr w:type="gramStart"/>
            <w:r w:rsidRPr="00A71DBE">
              <w:rPr>
                <w:lang w:val="fr-FR"/>
              </w:rPr>
              <w:t>a</w:t>
            </w:r>
            <w:proofErr w:type="gramEnd"/>
            <w:r w:rsidRPr="00A71DBE">
              <w:rPr>
                <w:lang w:val="fr-FR"/>
              </w:rPr>
              <w:t xml:space="preserve"> nodurilor secundare la reţeaua principală TEN-T pentru a reduce timpul alocat transportului şi a optimiza logistica prin dezvoltarea de strategii; </w:t>
            </w:r>
          </w:p>
          <w:p w:rsidR="00A71DBE" w:rsidRPr="00A71DBE" w:rsidRDefault="00A71DBE" w:rsidP="00EC1DA9">
            <w:pPr>
              <w:pStyle w:val="ListParagraph"/>
              <w:numPr>
                <w:ilvl w:val="0"/>
                <w:numId w:val="38"/>
              </w:numPr>
              <w:spacing w:before="0" w:after="80"/>
              <w:rPr>
                <w:lang w:val="en-US"/>
              </w:rPr>
            </w:pPr>
            <w:r w:rsidRPr="00A71DBE">
              <w:rPr>
                <w:lang w:val="en-US"/>
              </w:rPr>
              <w:t xml:space="preserve">Management de trafic îmbunătăţit inclusiv îndrumare privind ruta, detectarea incidentelor/urgenţelor şi gestionarea acestora; </w:t>
            </w:r>
          </w:p>
          <w:p w:rsidR="00010086" w:rsidRPr="006F7519" w:rsidRDefault="00A71DBE" w:rsidP="00EC1DA9">
            <w:pPr>
              <w:pStyle w:val="ListParagraph"/>
              <w:numPr>
                <w:ilvl w:val="0"/>
                <w:numId w:val="38"/>
              </w:numPr>
              <w:spacing w:before="0" w:after="80"/>
              <w:rPr>
                <w:lang w:val="it-IT"/>
              </w:rPr>
            </w:pPr>
            <w:r w:rsidRPr="006F7519">
              <w:rPr>
                <w:lang w:val="it-IT"/>
              </w:rPr>
              <w:t>Îmbunătăţirea siguranţei, securităţii şi performanţei ecologice.</w:t>
            </w:r>
          </w:p>
        </w:tc>
      </w:tr>
    </w:tbl>
    <w:p w:rsidR="00003FEA" w:rsidRPr="006F7519" w:rsidRDefault="00003FEA">
      <w:pPr>
        <w:rPr>
          <w:lang w:val="it-IT"/>
        </w:rPr>
        <w:sectPr w:rsidR="00003FEA" w:rsidRPr="006F7519">
          <w:pgSz w:w="11906" w:h="16838"/>
          <w:pgMar w:top="1021" w:right="1418" w:bottom="1021" w:left="1418" w:header="601" w:footer="1077" w:gutter="0"/>
          <w:cols w:space="720"/>
        </w:sectPr>
      </w:pPr>
    </w:p>
    <w:p w:rsidR="002564E4" w:rsidRPr="00137853" w:rsidRDefault="00137853" w:rsidP="00137853">
      <w:pPr>
        <w:rPr>
          <w:lang w:val="fr-FR"/>
        </w:rPr>
      </w:pPr>
      <w:bookmarkStart w:id="28" w:name="_Toc394837760"/>
      <w:r w:rsidRPr="00A77C97">
        <w:rPr>
          <w:rStyle w:val="Heading2Char"/>
          <w:rFonts w:eastAsia="Calibri"/>
          <w:lang w:val="fr-FR"/>
        </w:rPr>
        <w:lastRenderedPageBreak/>
        <w:t>Tabelul</w:t>
      </w:r>
      <w:r w:rsidR="002564E4" w:rsidRPr="00A77C97">
        <w:rPr>
          <w:rStyle w:val="Heading2Char"/>
          <w:rFonts w:eastAsia="Calibri"/>
          <w:lang w:val="fr-FR"/>
        </w:rPr>
        <w:t xml:space="preserve"> 3: </w:t>
      </w:r>
      <w:r w:rsidRPr="00A77C97">
        <w:rPr>
          <w:rStyle w:val="Heading2Char"/>
          <w:rFonts w:eastAsia="Calibri"/>
          <w:lang w:val="fr-FR"/>
        </w:rPr>
        <w:t>Indicatori de rezultat specifici programului</w:t>
      </w:r>
      <w:bookmarkEnd w:id="28"/>
      <w:r w:rsidRPr="00137853">
        <w:rPr>
          <w:lang w:val="fr-FR"/>
        </w:rPr>
        <w:t xml:space="preserve"> (pe obiectiv specific)</w:t>
      </w:r>
    </w:p>
    <w:p w:rsidR="002564E4" w:rsidRPr="00137853" w:rsidRDefault="002564E4" w:rsidP="002564E4">
      <w:pPr>
        <w:tabs>
          <w:tab w:val="left" w:pos="720"/>
        </w:tabs>
        <w:spacing w:line="276" w:lineRule="auto"/>
        <w:rPr>
          <w:rFonts w:eastAsia="Times New Roman"/>
          <w:i/>
          <w:lang w:val="fr-FR"/>
        </w:rPr>
      </w:pPr>
    </w:p>
    <w:tbl>
      <w:tblPr>
        <w:tblW w:w="45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
        <w:gridCol w:w="2280"/>
        <w:gridCol w:w="1905"/>
        <w:gridCol w:w="1670"/>
        <w:gridCol w:w="1393"/>
        <w:gridCol w:w="2117"/>
        <w:gridCol w:w="1694"/>
        <w:gridCol w:w="1273"/>
      </w:tblGrid>
      <w:tr w:rsidR="002564E4" w:rsidRPr="00137853" w:rsidTr="005221A8">
        <w:trPr>
          <w:trHeight w:val="531"/>
          <w:jc w:val="center"/>
        </w:trPr>
        <w:tc>
          <w:tcPr>
            <w:tcW w:w="486" w:type="pct"/>
            <w:tcBorders>
              <w:top w:val="single" w:sz="4" w:space="0" w:color="auto"/>
              <w:left w:val="single" w:sz="4" w:space="0" w:color="auto"/>
              <w:bottom w:val="single" w:sz="4" w:space="0" w:color="auto"/>
              <w:right w:val="single" w:sz="4" w:space="0" w:color="auto"/>
            </w:tcBorders>
            <w:hideMark/>
          </w:tcPr>
          <w:p w:rsidR="002564E4" w:rsidRPr="00137853" w:rsidRDefault="002564E4" w:rsidP="00137853">
            <w:pPr>
              <w:tabs>
                <w:tab w:val="left" w:pos="720"/>
              </w:tabs>
              <w:spacing w:line="276" w:lineRule="auto"/>
              <w:jc w:val="left"/>
              <w:rPr>
                <w:rFonts w:eastAsia="Times New Roman"/>
                <w:b/>
                <w:sz w:val="18"/>
                <w:szCs w:val="18"/>
                <w:lang w:val="en-US"/>
              </w:rPr>
            </w:pPr>
            <w:r w:rsidRPr="00137853">
              <w:rPr>
                <w:rFonts w:eastAsia="Times New Roman"/>
                <w:b/>
                <w:sz w:val="18"/>
                <w:szCs w:val="18"/>
                <w:lang w:val="en-US"/>
              </w:rPr>
              <w:t>ID</w:t>
            </w:r>
          </w:p>
        </w:tc>
        <w:tc>
          <w:tcPr>
            <w:tcW w:w="834" w:type="pct"/>
            <w:tcBorders>
              <w:top w:val="single" w:sz="4" w:space="0" w:color="auto"/>
              <w:left w:val="single" w:sz="4" w:space="0" w:color="auto"/>
              <w:bottom w:val="single" w:sz="4" w:space="0" w:color="auto"/>
              <w:right w:val="single" w:sz="4" w:space="0" w:color="auto"/>
            </w:tcBorders>
            <w:hideMark/>
          </w:tcPr>
          <w:p w:rsidR="002564E4" w:rsidRPr="00137853" w:rsidRDefault="002564E4" w:rsidP="00137853">
            <w:pPr>
              <w:tabs>
                <w:tab w:val="left" w:pos="720"/>
              </w:tabs>
              <w:spacing w:line="276" w:lineRule="auto"/>
              <w:jc w:val="left"/>
              <w:rPr>
                <w:rFonts w:eastAsia="Times New Roman"/>
                <w:b/>
                <w:sz w:val="18"/>
                <w:szCs w:val="18"/>
                <w:lang w:val="en-US"/>
              </w:rPr>
            </w:pPr>
            <w:r w:rsidRPr="00137853">
              <w:rPr>
                <w:rFonts w:eastAsia="Times New Roman"/>
                <w:b/>
                <w:sz w:val="18"/>
                <w:szCs w:val="18"/>
                <w:lang w:val="en-US"/>
              </w:rPr>
              <w:t xml:space="preserve">Indicator </w:t>
            </w:r>
          </w:p>
        </w:tc>
        <w:tc>
          <w:tcPr>
            <w:tcW w:w="697" w:type="pct"/>
            <w:tcBorders>
              <w:top w:val="single" w:sz="4" w:space="0" w:color="auto"/>
              <w:left w:val="single" w:sz="4" w:space="0" w:color="auto"/>
              <w:bottom w:val="single" w:sz="4" w:space="0" w:color="auto"/>
              <w:right w:val="single" w:sz="4" w:space="0" w:color="auto"/>
            </w:tcBorders>
            <w:hideMark/>
          </w:tcPr>
          <w:p w:rsidR="002564E4" w:rsidRPr="00137853" w:rsidRDefault="00137853" w:rsidP="00137853">
            <w:pPr>
              <w:snapToGrid w:val="0"/>
              <w:spacing w:line="276" w:lineRule="auto"/>
              <w:jc w:val="left"/>
              <w:rPr>
                <w:rFonts w:eastAsia="Times New Roman"/>
                <w:b/>
                <w:sz w:val="18"/>
                <w:szCs w:val="18"/>
                <w:lang w:val="en-US"/>
              </w:rPr>
            </w:pPr>
            <w:r w:rsidRPr="00137853">
              <w:rPr>
                <w:rFonts w:eastAsia="Times New Roman"/>
                <w:b/>
                <w:sz w:val="18"/>
                <w:szCs w:val="18"/>
                <w:lang w:val="en-US"/>
              </w:rPr>
              <w:t>Unitate de măsură</w:t>
            </w:r>
          </w:p>
        </w:tc>
        <w:tc>
          <w:tcPr>
            <w:tcW w:w="611" w:type="pct"/>
            <w:tcBorders>
              <w:top w:val="single" w:sz="4" w:space="0" w:color="auto"/>
              <w:left w:val="single" w:sz="4" w:space="0" w:color="auto"/>
              <w:bottom w:val="single" w:sz="4" w:space="0" w:color="auto"/>
              <w:right w:val="single" w:sz="4" w:space="0" w:color="auto"/>
            </w:tcBorders>
            <w:hideMark/>
          </w:tcPr>
          <w:p w:rsidR="002564E4" w:rsidRPr="00137853" w:rsidRDefault="00137853" w:rsidP="00137853">
            <w:pPr>
              <w:tabs>
                <w:tab w:val="left" w:pos="720"/>
              </w:tabs>
              <w:spacing w:line="276" w:lineRule="auto"/>
              <w:jc w:val="left"/>
              <w:rPr>
                <w:rFonts w:eastAsia="Times New Roman"/>
                <w:b/>
                <w:sz w:val="18"/>
                <w:szCs w:val="18"/>
                <w:lang w:val="en-US"/>
              </w:rPr>
            </w:pPr>
            <w:r w:rsidRPr="00137853">
              <w:rPr>
                <w:rFonts w:eastAsia="Times New Roman"/>
                <w:b/>
                <w:sz w:val="18"/>
                <w:szCs w:val="18"/>
                <w:lang w:val="en-US"/>
              </w:rPr>
              <w:t>Valoarea de referință</w:t>
            </w:r>
          </w:p>
        </w:tc>
        <w:tc>
          <w:tcPr>
            <w:tcW w:w="510" w:type="pct"/>
            <w:tcBorders>
              <w:top w:val="single" w:sz="4" w:space="0" w:color="auto"/>
              <w:left w:val="single" w:sz="4" w:space="0" w:color="auto"/>
              <w:bottom w:val="single" w:sz="4" w:space="0" w:color="auto"/>
              <w:right w:val="single" w:sz="4" w:space="0" w:color="auto"/>
            </w:tcBorders>
            <w:hideMark/>
          </w:tcPr>
          <w:p w:rsidR="002564E4" w:rsidRPr="00137853" w:rsidRDefault="00137853" w:rsidP="00137853">
            <w:pPr>
              <w:snapToGrid w:val="0"/>
              <w:spacing w:line="276" w:lineRule="auto"/>
              <w:jc w:val="left"/>
              <w:rPr>
                <w:rFonts w:eastAsia="Times New Roman"/>
                <w:b/>
                <w:sz w:val="18"/>
                <w:szCs w:val="18"/>
                <w:lang w:val="en-US"/>
              </w:rPr>
            </w:pPr>
            <w:r w:rsidRPr="00137853">
              <w:rPr>
                <w:rFonts w:eastAsia="Times New Roman"/>
                <w:b/>
                <w:sz w:val="18"/>
                <w:szCs w:val="18"/>
                <w:lang w:val="en-US"/>
              </w:rPr>
              <w:t>Anul de referință</w:t>
            </w:r>
          </w:p>
        </w:tc>
        <w:tc>
          <w:tcPr>
            <w:tcW w:w="775" w:type="pct"/>
            <w:tcBorders>
              <w:top w:val="single" w:sz="4" w:space="0" w:color="auto"/>
              <w:left w:val="single" w:sz="4" w:space="0" w:color="auto"/>
              <w:bottom w:val="single" w:sz="4" w:space="0" w:color="auto"/>
              <w:right w:val="single" w:sz="4" w:space="0" w:color="auto"/>
            </w:tcBorders>
            <w:hideMark/>
          </w:tcPr>
          <w:p w:rsidR="002564E4" w:rsidRPr="00137853" w:rsidRDefault="00137853" w:rsidP="00137853">
            <w:pPr>
              <w:tabs>
                <w:tab w:val="left" w:pos="720"/>
              </w:tabs>
              <w:spacing w:line="276" w:lineRule="auto"/>
              <w:jc w:val="left"/>
              <w:rPr>
                <w:rFonts w:eastAsia="Times New Roman"/>
                <w:b/>
                <w:sz w:val="18"/>
                <w:szCs w:val="18"/>
                <w:lang w:val="en-US"/>
              </w:rPr>
            </w:pPr>
            <w:r w:rsidRPr="00137853">
              <w:rPr>
                <w:rFonts w:eastAsia="Times New Roman"/>
                <w:b/>
                <w:sz w:val="18"/>
                <w:szCs w:val="18"/>
                <w:lang w:val="en-US"/>
              </w:rPr>
              <w:t>Valoarea-țintă</w:t>
            </w:r>
            <w:r w:rsidR="002564E4" w:rsidRPr="00137853">
              <w:rPr>
                <w:rFonts w:eastAsia="Times New Roman"/>
                <w:b/>
                <w:sz w:val="18"/>
                <w:szCs w:val="18"/>
                <w:lang w:val="en-US"/>
              </w:rPr>
              <w:t xml:space="preserve"> (2023)</w:t>
            </w:r>
            <w:r w:rsidR="002564E4" w:rsidRPr="00137853">
              <w:rPr>
                <w:rFonts w:eastAsia="Times New Roman"/>
                <w:b/>
                <w:sz w:val="18"/>
                <w:szCs w:val="18"/>
                <w:vertAlign w:val="superscript"/>
                <w:lang w:val="en-US"/>
              </w:rPr>
              <w:footnoteReference w:id="7"/>
            </w:r>
          </w:p>
        </w:tc>
        <w:tc>
          <w:tcPr>
            <w:tcW w:w="620" w:type="pct"/>
            <w:tcBorders>
              <w:top w:val="single" w:sz="4" w:space="0" w:color="auto"/>
              <w:left w:val="single" w:sz="4" w:space="0" w:color="auto"/>
              <w:bottom w:val="single" w:sz="4" w:space="0" w:color="auto"/>
              <w:right w:val="single" w:sz="4" w:space="0" w:color="auto"/>
            </w:tcBorders>
            <w:hideMark/>
          </w:tcPr>
          <w:p w:rsidR="002564E4" w:rsidRPr="00137853" w:rsidRDefault="006A0C19" w:rsidP="006A0C19">
            <w:pPr>
              <w:tabs>
                <w:tab w:val="left" w:pos="720"/>
              </w:tabs>
              <w:spacing w:line="276" w:lineRule="auto"/>
              <w:jc w:val="left"/>
              <w:rPr>
                <w:rFonts w:eastAsia="Times New Roman"/>
                <w:b/>
                <w:sz w:val="18"/>
                <w:szCs w:val="18"/>
                <w:lang w:val="en-US"/>
              </w:rPr>
            </w:pPr>
            <w:r>
              <w:rPr>
                <w:rFonts w:eastAsia="Times New Roman"/>
                <w:b/>
                <w:sz w:val="18"/>
                <w:szCs w:val="18"/>
                <w:lang w:val="en-US"/>
              </w:rPr>
              <w:t>Sursa</w:t>
            </w:r>
            <w:r w:rsidR="00C12B77" w:rsidRPr="00137853">
              <w:rPr>
                <w:rFonts w:eastAsia="Times New Roman"/>
                <w:b/>
                <w:sz w:val="18"/>
                <w:szCs w:val="18"/>
                <w:lang w:val="en-US"/>
              </w:rPr>
              <w:t xml:space="preserve"> dat</w:t>
            </w:r>
            <w:r>
              <w:rPr>
                <w:rFonts w:eastAsia="Times New Roman"/>
                <w:b/>
                <w:sz w:val="18"/>
                <w:szCs w:val="18"/>
                <w:lang w:val="en-US"/>
              </w:rPr>
              <w:t>elor</w:t>
            </w:r>
          </w:p>
        </w:tc>
        <w:tc>
          <w:tcPr>
            <w:tcW w:w="466" w:type="pct"/>
            <w:tcBorders>
              <w:top w:val="single" w:sz="4" w:space="0" w:color="auto"/>
              <w:left w:val="single" w:sz="4" w:space="0" w:color="auto"/>
              <w:bottom w:val="single" w:sz="4" w:space="0" w:color="auto"/>
              <w:right w:val="single" w:sz="4" w:space="0" w:color="auto"/>
            </w:tcBorders>
            <w:hideMark/>
          </w:tcPr>
          <w:p w:rsidR="002564E4" w:rsidRPr="00137853" w:rsidRDefault="006A0C19" w:rsidP="00137853">
            <w:pPr>
              <w:tabs>
                <w:tab w:val="left" w:pos="720"/>
              </w:tabs>
              <w:spacing w:line="276" w:lineRule="auto"/>
              <w:jc w:val="left"/>
              <w:rPr>
                <w:rFonts w:eastAsia="Times New Roman"/>
                <w:b/>
                <w:sz w:val="18"/>
                <w:szCs w:val="18"/>
                <w:lang w:val="en-US"/>
              </w:rPr>
            </w:pPr>
            <w:r w:rsidRPr="006A0C19">
              <w:rPr>
                <w:rFonts w:eastAsia="Times New Roman"/>
                <w:b/>
                <w:sz w:val="18"/>
                <w:szCs w:val="18"/>
                <w:lang w:val="en-US"/>
              </w:rPr>
              <w:t>Frecvența raportării</w:t>
            </w:r>
          </w:p>
        </w:tc>
      </w:tr>
      <w:tr w:rsidR="002564E4" w:rsidRPr="006A0C19" w:rsidTr="005221A8">
        <w:trPr>
          <w:trHeight w:val="870"/>
          <w:jc w:val="center"/>
        </w:trPr>
        <w:tc>
          <w:tcPr>
            <w:tcW w:w="486" w:type="pct"/>
            <w:tcBorders>
              <w:top w:val="single" w:sz="4" w:space="0" w:color="auto"/>
              <w:left w:val="single" w:sz="4" w:space="0" w:color="auto"/>
              <w:bottom w:val="single" w:sz="4" w:space="0" w:color="auto"/>
              <w:right w:val="single" w:sz="4" w:space="0" w:color="auto"/>
            </w:tcBorders>
            <w:hideMark/>
          </w:tcPr>
          <w:p w:rsidR="002564E4" w:rsidRPr="006A0C19" w:rsidRDefault="00176887" w:rsidP="00137853">
            <w:pPr>
              <w:tabs>
                <w:tab w:val="left" w:pos="720"/>
              </w:tabs>
              <w:spacing w:line="276" w:lineRule="auto"/>
              <w:jc w:val="left"/>
              <w:rPr>
                <w:rFonts w:eastAsia="Times New Roman"/>
                <w:b/>
                <w:szCs w:val="24"/>
                <w:lang w:val="en-US"/>
              </w:rPr>
            </w:pPr>
            <w:r>
              <w:rPr>
                <w:szCs w:val="24"/>
                <w:lang w:val="en-US"/>
              </w:rPr>
              <w:t>R.</w:t>
            </w:r>
            <w:r w:rsidR="00246CEC" w:rsidRPr="006A0C19">
              <w:rPr>
                <w:szCs w:val="24"/>
                <w:lang w:val="en-US"/>
              </w:rPr>
              <w:t>1</w:t>
            </w:r>
            <w:r w:rsidR="002564E4" w:rsidRPr="006A0C19">
              <w:rPr>
                <w:szCs w:val="24"/>
                <w:lang w:val="en-US"/>
              </w:rPr>
              <w:t>.1.</w:t>
            </w:r>
          </w:p>
        </w:tc>
        <w:tc>
          <w:tcPr>
            <w:tcW w:w="834" w:type="pct"/>
            <w:tcBorders>
              <w:top w:val="single" w:sz="4" w:space="0" w:color="auto"/>
              <w:left w:val="single" w:sz="4" w:space="0" w:color="auto"/>
              <w:bottom w:val="single" w:sz="4" w:space="0" w:color="auto"/>
              <w:right w:val="single" w:sz="4" w:space="0" w:color="auto"/>
            </w:tcBorders>
            <w:hideMark/>
          </w:tcPr>
          <w:p w:rsidR="002564E4" w:rsidRPr="006A0C19" w:rsidRDefault="00137853" w:rsidP="00137853">
            <w:pPr>
              <w:tabs>
                <w:tab w:val="left" w:pos="720"/>
              </w:tabs>
              <w:spacing w:line="276" w:lineRule="auto"/>
              <w:jc w:val="left"/>
              <w:rPr>
                <w:rFonts w:eastAsia="Times New Roman"/>
                <w:szCs w:val="24"/>
                <w:lang w:val="fr-FR"/>
              </w:rPr>
            </w:pPr>
            <w:r w:rsidRPr="006A0C19">
              <w:rPr>
                <w:rFonts w:eastAsia="Times New Roman"/>
                <w:szCs w:val="24"/>
                <w:lang w:val="fr-FR"/>
              </w:rPr>
              <w:t xml:space="preserve">Populația transfrontalieră care este deservită </w:t>
            </w:r>
            <w:proofErr w:type="gramStart"/>
            <w:r w:rsidR="00B77BA5">
              <w:rPr>
                <w:rFonts w:eastAsia="Times New Roman"/>
                <w:szCs w:val="24"/>
                <w:lang w:val="fr-FR"/>
              </w:rPr>
              <w:t>de infrastructura</w:t>
            </w:r>
            <w:proofErr w:type="gramEnd"/>
            <w:r w:rsidR="00B77BA5">
              <w:rPr>
                <w:rFonts w:eastAsia="Times New Roman"/>
                <w:szCs w:val="24"/>
                <w:lang w:val="fr-FR"/>
              </w:rPr>
              <w:t xml:space="preserve"> modernizată că</w:t>
            </w:r>
            <w:r w:rsidRPr="006A0C19">
              <w:rPr>
                <w:rFonts w:eastAsia="Times New Roman"/>
                <w:szCs w:val="24"/>
                <w:lang w:val="fr-FR"/>
              </w:rPr>
              <w:t>tre rețeaua TEN-T</w:t>
            </w:r>
          </w:p>
        </w:tc>
        <w:tc>
          <w:tcPr>
            <w:tcW w:w="697" w:type="pct"/>
            <w:tcBorders>
              <w:top w:val="single" w:sz="4" w:space="0" w:color="auto"/>
              <w:left w:val="single" w:sz="4" w:space="0" w:color="auto"/>
              <w:bottom w:val="single" w:sz="4" w:space="0" w:color="auto"/>
              <w:right w:val="single" w:sz="4" w:space="0" w:color="auto"/>
            </w:tcBorders>
            <w:hideMark/>
          </w:tcPr>
          <w:p w:rsidR="002564E4" w:rsidRPr="006A0C19" w:rsidRDefault="00B77BA5" w:rsidP="00137853">
            <w:pPr>
              <w:tabs>
                <w:tab w:val="left" w:pos="720"/>
              </w:tabs>
              <w:spacing w:line="276" w:lineRule="auto"/>
              <w:jc w:val="left"/>
              <w:rPr>
                <w:rFonts w:eastAsia="Times New Roman"/>
                <w:b/>
                <w:szCs w:val="24"/>
                <w:lang w:val="en-US"/>
              </w:rPr>
            </w:pPr>
            <w:r>
              <w:rPr>
                <w:szCs w:val="24"/>
                <w:lang w:val="en-US"/>
              </w:rPr>
              <w:t>Numă</w:t>
            </w:r>
            <w:r w:rsidR="00137853" w:rsidRPr="006A0C19">
              <w:rPr>
                <w:szCs w:val="24"/>
                <w:lang w:val="en-US"/>
              </w:rPr>
              <w:t>r</w:t>
            </w:r>
          </w:p>
        </w:tc>
        <w:tc>
          <w:tcPr>
            <w:tcW w:w="611" w:type="pct"/>
            <w:tcBorders>
              <w:top w:val="single" w:sz="4" w:space="0" w:color="auto"/>
              <w:left w:val="single" w:sz="4" w:space="0" w:color="auto"/>
              <w:bottom w:val="single" w:sz="4" w:space="0" w:color="auto"/>
              <w:right w:val="single" w:sz="4" w:space="0" w:color="auto"/>
            </w:tcBorders>
          </w:tcPr>
          <w:p w:rsidR="002564E4" w:rsidRPr="006A0C19" w:rsidRDefault="00AF55F2" w:rsidP="00137853">
            <w:pPr>
              <w:tabs>
                <w:tab w:val="left" w:pos="720"/>
              </w:tabs>
              <w:spacing w:line="276" w:lineRule="auto"/>
              <w:jc w:val="left"/>
              <w:rPr>
                <w:rFonts w:eastAsia="Times New Roman"/>
                <w:szCs w:val="24"/>
                <w:lang w:val="en-US"/>
              </w:rPr>
            </w:pPr>
            <w:r w:rsidRPr="006A0C19">
              <w:rPr>
                <w:rFonts w:eastAsia="Times New Roman"/>
                <w:szCs w:val="24"/>
                <w:lang w:val="en-US"/>
              </w:rPr>
              <w:t>626.140</w:t>
            </w:r>
          </w:p>
        </w:tc>
        <w:tc>
          <w:tcPr>
            <w:tcW w:w="510" w:type="pct"/>
            <w:tcBorders>
              <w:top w:val="single" w:sz="4" w:space="0" w:color="auto"/>
              <w:left w:val="single" w:sz="4" w:space="0" w:color="auto"/>
              <w:bottom w:val="single" w:sz="4" w:space="0" w:color="auto"/>
              <w:right w:val="single" w:sz="4" w:space="0" w:color="auto"/>
            </w:tcBorders>
            <w:hideMark/>
          </w:tcPr>
          <w:p w:rsidR="002564E4" w:rsidRPr="006A0C19" w:rsidRDefault="007A4B4F" w:rsidP="00137853">
            <w:pPr>
              <w:tabs>
                <w:tab w:val="left" w:pos="720"/>
              </w:tabs>
              <w:spacing w:line="276" w:lineRule="auto"/>
              <w:jc w:val="left"/>
              <w:rPr>
                <w:szCs w:val="24"/>
                <w:lang w:val="en-US"/>
              </w:rPr>
            </w:pPr>
            <w:r w:rsidRPr="006A0C19">
              <w:rPr>
                <w:szCs w:val="24"/>
                <w:lang w:val="en-US"/>
              </w:rPr>
              <w:t>201</w:t>
            </w:r>
            <w:r w:rsidR="00E01296" w:rsidRPr="006A0C19">
              <w:rPr>
                <w:szCs w:val="24"/>
                <w:lang w:val="en-US"/>
              </w:rPr>
              <w:t>4</w:t>
            </w:r>
          </w:p>
        </w:tc>
        <w:tc>
          <w:tcPr>
            <w:tcW w:w="775" w:type="pct"/>
            <w:tcBorders>
              <w:top w:val="single" w:sz="4" w:space="0" w:color="auto"/>
              <w:left w:val="single" w:sz="4" w:space="0" w:color="auto"/>
              <w:bottom w:val="single" w:sz="4" w:space="0" w:color="auto"/>
              <w:right w:val="single" w:sz="4" w:space="0" w:color="auto"/>
            </w:tcBorders>
            <w:hideMark/>
          </w:tcPr>
          <w:p w:rsidR="002564E4" w:rsidRPr="006A0C19" w:rsidRDefault="00AF55F2" w:rsidP="00137853">
            <w:pPr>
              <w:tabs>
                <w:tab w:val="left" w:pos="720"/>
              </w:tabs>
              <w:spacing w:line="276" w:lineRule="auto"/>
              <w:jc w:val="left"/>
              <w:rPr>
                <w:szCs w:val="24"/>
                <w:lang w:val="en-US"/>
              </w:rPr>
            </w:pPr>
            <w:r w:rsidRPr="006A0C19">
              <w:rPr>
                <w:szCs w:val="24"/>
                <w:lang w:val="en-US"/>
              </w:rPr>
              <w:t>1.250.000</w:t>
            </w:r>
          </w:p>
        </w:tc>
        <w:tc>
          <w:tcPr>
            <w:tcW w:w="620" w:type="pct"/>
            <w:tcBorders>
              <w:top w:val="single" w:sz="4" w:space="0" w:color="auto"/>
              <w:left w:val="single" w:sz="4" w:space="0" w:color="auto"/>
              <w:bottom w:val="single" w:sz="4" w:space="0" w:color="auto"/>
              <w:right w:val="single" w:sz="4" w:space="0" w:color="auto"/>
            </w:tcBorders>
            <w:hideMark/>
          </w:tcPr>
          <w:p w:rsidR="006D29F8" w:rsidRPr="00B77BA5" w:rsidRDefault="00B77BA5" w:rsidP="00B77BA5">
            <w:pPr>
              <w:spacing w:before="0" w:after="0"/>
              <w:jc w:val="left"/>
              <w:rPr>
                <w:b/>
                <w:bCs/>
                <w:szCs w:val="26"/>
                <w:lang w:val="fr-FR"/>
              </w:rPr>
            </w:pPr>
            <w:r w:rsidRPr="00461E3D">
              <w:rPr>
                <w:color w:val="000000"/>
                <w:szCs w:val="24"/>
              </w:rPr>
              <w:t>Rapoarte demonitorizare</w:t>
            </w:r>
          </w:p>
        </w:tc>
        <w:tc>
          <w:tcPr>
            <w:tcW w:w="466" w:type="pct"/>
            <w:tcBorders>
              <w:top w:val="single" w:sz="4" w:space="0" w:color="auto"/>
              <w:left w:val="single" w:sz="4" w:space="0" w:color="auto"/>
              <w:bottom w:val="single" w:sz="4" w:space="0" w:color="auto"/>
              <w:right w:val="single" w:sz="4" w:space="0" w:color="auto"/>
            </w:tcBorders>
            <w:hideMark/>
          </w:tcPr>
          <w:p w:rsidR="002564E4" w:rsidRPr="006A0C19" w:rsidRDefault="002564E4" w:rsidP="00B77BA5">
            <w:pPr>
              <w:tabs>
                <w:tab w:val="left" w:pos="720"/>
              </w:tabs>
              <w:spacing w:after="240" w:line="276" w:lineRule="auto"/>
              <w:jc w:val="left"/>
              <w:rPr>
                <w:szCs w:val="24"/>
                <w:lang w:val="en-US"/>
              </w:rPr>
            </w:pPr>
            <w:r w:rsidRPr="006A0C19">
              <w:rPr>
                <w:szCs w:val="24"/>
                <w:lang w:val="en-US"/>
              </w:rPr>
              <w:t xml:space="preserve">2018 </w:t>
            </w:r>
            <w:r w:rsidR="00B77BA5">
              <w:rPr>
                <w:szCs w:val="24"/>
                <w:lang w:val="en-US"/>
              </w:rPr>
              <w:t>și</w:t>
            </w:r>
            <w:r w:rsidRPr="006A0C19">
              <w:rPr>
                <w:szCs w:val="24"/>
                <w:lang w:val="en-US"/>
              </w:rPr>
              <w:t xml:space="preserve"> 2023</w:t>
            </w:r>
          </w:p>
        </w:tc>
      </w:tr>
    </w:tbl>
    <w:p w:rsidR="002564E4" w:rsidRPr="0070649D" w:rsidRDefault="002564E4" w:rsidP="002564E4">
      <w:pPr>
        <w:spacing w:before="0" w:after="0" w:line="276" w:lineRule="auto"/>
        <w:jc w:val="left"/>
        <w:rPr>
          <w:rFonts w:eastAsia="Times New Roman"/>
          <w:b/>
          <w:lang w:val="en-US"/>
        </w:rPr>
        <w:sectPr w:rsidR="002564E4" w:rsidRPr="0070649D">
          <w:pgSz w:w="16838" w:h="11906" w:orient="landscape"/>
          <w:pgMar w:top="1418" w:right="1021" w:bottom="1418" w:left="1021" w:header="601" w:footer="1077" w:gutter="0"/>
          <w:cols w:space="720"/>
        </w:sectPr>
      </w:pPr>
    </w:p>
    <w:p w:rsidR="002564E4" w:rsidRPr="00B71C50" w:rsidRDefault="002564E4" w:rsidP="00B71C50">
      <w:pPr>
        <w:rPr>
          <w:lang w:val="fr-FR"/>
        </w:rPr>
      </w:pPr>
      <w:bookmarkStart w:id="29" w:name="_Toc394837761"/>
      <w:proofErr w:type="gramStart"/>
      <w:r w:rsidRPr="00B71C50">
        <w:rPr>
          <w:rStyle w:val="Heading2Char"/>
          <w:rFonts w:eastAsia="Calibri"/>
          <w:lang w:val="fr-FR"/>
        </w:rPr>
        <w:lastRenderedPageBreak/>
        <w:t>2.A.6</w:t>
      </w:r>
      <w:proofErr w:type="gramEnd"/>
      <w:r w:rsidRPr="00B71C50">
        <w:rPr>
          <w:rStyle w:val="Heading2Char"/>
          <w:rFonts w:eastAsia="Calibri"/>
          <w:lang w:val="fr-FR"/>
        </w:rPr>
        <w:t xml:space="preserve">. </w:t>
      </w:r>
      <w:r w:rsidR="006A0C19" w:rsidRPr="00B71C50">
        <w:rPr>
          <w:rStyle w:val="Heading2Char"/>
          <w:rFonts w:eastAsia="Calibri"/>
          <w:lang w:val="fr-FR"/>
        </w:rPr>
        <w:t>Acțiunile care urmează să fie sprijinite în cadrul priorității de investiții</w:t>
      </w:r>
      <w:bookmarkEnd w:id="29"/>
      <w:r w:rsidR="00B71C50" w:rsidRPr="00B71C50">
        <w:rPr>
          <w:lang w:val="fr-FR"/>
        </w:rPr>
        <w:t xml:space="preserve"> (pe prioritate de investiții)</w:t>
      </w:r>
    </w:p>
    <w:p w:rsidR="002564E4" w:rsidRPr="00396473" w:rsidRDefault="008F7321" w:rsidP="002E1C90">
      <w:pPr>
        <w:pStyle w:val="Heading2"/>
        <w:rPr>
          <w:lang w:val="fr-FR"/>
        </w:rPr>
      </w:pPr>
      <w:bookmarkStart w:id="30" w:name="_Toc389657962"/>
      <w:bookmarkStart w:id="31" w:name="_Toc394837762"/>
      <w:proofErr w:type="gramStart"/>
      <w:r w:rsidRPr="00396473">
        <w:rPr>
          <w:lang w:val="fr-FR"/>
        </w:rPr>
        <w:t>2.A.6.1.</w:t>
      </w:r>
      <w:bookmarkEnd w:id="30"/>
      <w:r w:rsidR="006A0C19" w:rsidRPr="00396473">
        <w:rPr>
          <w:lang w:val="fr-FR"/>
        </w:rPr>
        <w:t>Descrierea</w:t>
      </w:r>
      <w:proofErr w:type="gramEnd"/>
      <w:r w:rsidR="006A0C19" w:rsidRPr="00396473">
        <w:rPr>
          <w:lang w:val="fr-FR"/>
        </w:rPr>
        <w:t xml:space="preserve"> tipului și exemple</w:t>
      </w:r>
      <w:r w:rsidR="00BF7707">
        <w:rPr>
          <w:lang w:val="fr-FR"/>
        </w:rPr>
        <w:t>lor</w:t>
      </w:r>
      <w:r w:rsidR="006A0C19" w:rsidRPr="00396473">
        <w:rPr>
          <w:lang w:val="fr-FR"/>
        </w:rPr>
        <w:t xml:space="preserve"> de acțiuni care urmează să fie sprijinite și contribuțiile preconizate la obiectivele specifice, inclusiv, după caz, identificarea principalelor grupuri țintă, a teritoriilor specifice vizate și a tipurilor de beneficiari</w:t>
      </w:r>
      <w:bookmarkEnd w:id="31"/>
    </w:p>
    <w:p w:rsidR="004D2B0C" w:rsidRDefault="007173F3" w:rsidP="0013426E">
      <w:pPr>
        <w:rPr>
          <w:b/>
          <w:szCs w:val="24"/>
          <w:lang w:val="fr-FR" w:eastAsia="ar-SA"/>
        </w:rPr>
      </w:pPr>
      <w:r>
        <w:rPr>
          <w:rFonts w:eastAsia="Times New Roman"/>
          <w:b/>
          <w:lang w:val="fr-FR" w:eastAsia="en-US"/>
        </w:rPr>
        <w:t>Acțiuni pentru î</w:t>
      </w:r>
      <w:r w:rsidR="004D2B0C">
        <w:rPr>
          <w:rFonts w:eastAsia="Times New Roman"/>
          <w:b/>
          <w:lang w:val="fr-FR" w:eastAsia="en-US"/>
        </w:rPr>
        <w:t>mbună</w:t>
      </w:r>
      <w:r w:rsidR="004D2B0C" w:rsidRPr="00137853">
        <w:rPr>
          <w:rFonts w:eastAsia="Times New Roman"/>
          <w:b/>
          <w:lang w:val="fr-FR" w:eastAsia="en-US"/>
        </w:rPr>
        <w:t>t</w:t>
      </w:r>
      <w:r w:rsidR="004D2B0C">
        <w:rPr>
          <w:rFonts w:eastAsia="Times New Roman"/>
          <w:b/>
          <w:lang w:val="fr-FR" w:eastAsia="en-US"/>
        </w:rPr>
        <w:t>ăț</w:t>
      </w:r>
      <w:r w:rsidR="004D2B0C" w:rsidRPr="00137853">
        <w:rPr>
          <w:rFonts w:eastAsia="Times New Roman"/>
          <w:b/>
          <w:lang w:val="fr-FR" w:eastAsia="en-US"/>
        </w:rPr>
        <w:t xml:space="preserve">irea procesului de planificare, dezvoltare </w:t>
      </w:r>
      <w:r w:rsidR="004D2B0C">
        <w:rPr>
          <w:rFonts w:eastAsia="Times New Roman"/>
          <w:b/>
          <w:lang w:val="fr-FR" w:eastAsia="en-US"/>
        </w:rPr>
        <w:t>ș</w:t>
      </w:r>
      <w:r w:rsidR="004D2B0C" w:rsidRPr="00137853">
        <w:rPr>
          <w:rFonts w:eastAsia="Times New Roman"/>
          <w:b/>
          <w:lang w:val="fr-FR" w:eastAsia="en-US"/>
        </w:rPr>
        <w:t xml:space="preserve">i coordonare a sistemelor de transport transfrontaliere </w:t>
      </w:r>
      <w:r w:rsidR="004D2B0C">
        <w:rPr>
          <w:rFonts w:eastAsia="Times New Roman"/>
          <w:b/>
          <w:lang w:val="fr-FR" w:eastAsia="en-US"/>
        </w:rPr>
        <w:t>î</w:t>
      </w:r>
      <w:r w:rsidR="004D2B0C" w:rsidRPr="00137853">
        <w:rPr>
          <w:rFonts w:eastAsia="Times New Roman"/>
          <w:b/>
          <w:lang w:val="fr-FR" w:eastAsia="en-US"/>
        </w:rPr>
        <w:t>n vederea asigur</w:t>
      </w:r>
      <w:r w:rsidR="004D2B0C">
        <w:rPr>
          <w:rFonts w:eastAsia="Times New Roman"/>
          <w:b/>
          <w:lang w:val="fr-FR" w:eastAsia="en-US"/>
        </w:rPr>
        <w:t>ă</w:t>
      </w:r>
      <w:r w:rsidR="004D2B0C" w:rsidRPr="00137853">
        <w:rPr>
          <w:rFonts w:eastAsia="Times New Roman"/>
          <w:b/>
          <w:lang w:val="fr-FR" w:eastAsia="en-US"/>
        </w:rPr>
        <w:t>rii unor mai bune conexiuni la re</w:t>
      </w:r>
      <w:r w:rsidR="004D2B0C">
        <w:rPr>
          <w:rFonts w:eastAsia="Times New Roman"/>
          <w:b/>
          <w:lang w:val="fr-FR" w:eastAsia="en-US"/>
        </w:rPr>
        <w:t>ț</w:t>
      </w:r>
      <w:r w:rsidR="004D2B0C" w:rsidRPr="00137853">
        <w:rPr>
          <w:rFonts w:eastAsia="Times New Roman"/>
          <w:b/>
          <w:lang w:val="fr-FR" w:eastAsia="en-US"/>
        </w:rPr>
        <w:t>elele de transport TEN-T</w:t>
      </w:r>
      <w:r w:rsidR="004D2B0C">
        <w:rPr>
          <w:rFonts w:eastAsia="Times New Roman"/>
          <w:b/>
          <w:lang w:val="fr-FR" w:eastAsia="en-US"/>
        </w:rPr>
        <w:t>.</w:t>
      </w:r>
    </w:p>
    <w:p w:rsidR="0013426E" w:rsidRPr="004D2B0C" w:rsidRDefault="0013426E" w:rsidP="0013426E">
      <w:pPr>
        <w:rPr>
          <w:lang w:val="ro-RO"/>
        </w:rPr>
      </w:pPr>
      <w:r w:rsidRPr="004D2B0C">
        <w:rPr>
          <w:lang w:val="ro-RO"/>
        </w:rPr>
        <w:t>Susținerea acordată prin acest obiectiv specific contribuie la dezvoltarea sistemulu</w:t>
      </w:r>
      <w:r w:rsidR="007C0385">
        <w:rPr>
          <w:lang w:val="ro-RO"/>
        </w:rPr>
        <w:t>i de transport transfrontalier,</w:t>
      </w:r>
      <w:r w:rsidR="00610053">
        <w:rPr>
          <w:lang w:val="ro-RO"/>
        </w:rPr>
        <w:t xml:space="preserve"> la implementarea soluţiilor comune ş</w:t>
      </w:r>
      <w:r w:rsidR="008A6AC5">
        <w:rPr>
          <w:lang w:val="ro-RO"/>
        </w:rPr>
        <w:t>i la îmbunătăţirea</w:t>
      </w:r>
      <w:r w:rsidR="00610053">
        <w:rPr>
          <w:lang w:val="ro-RO"/>
        </w:rPr>
        <w:t xml:space="preserve"> cadrului instituţ</w:t>
      </w:r>
      <w:r w:rsidR="007C0385">
        <w:rPr>
          <w:lang w:val="ro-RO"/>
        </w:rPr>
        <w:t>ional şi legal, acestea fiind necesare</w:t>
      </w:r>
      <w:r w:rsidR="00610053">
        <w:rPr>
          <w:lang w:val="ro-RO"/>
        </w:rPr>
        <w:t xml:space="preserve"> pentru apariţia ş</w:t>
      </w:r>
      <w:r w:rsidRPr="004D2B0C">
        <w:rPr>
          <w:lang w:val="ro-RO"/>
        </w:rPr>
        <w:t>i dezvoltarea unei zone transfrontaliere integrate din punctul de vedere al transpor</w:t>
      </w:r>
      <w:r w:rsidR="00610053">
        <w:rPr>
          <w:lang w:val="ro-RO"/>
        </w:rPr>
        <w:t>tului  și/sau „prietenoasă î</w:t>
      </w:r>
      <w:r w:rsidRPr="004D2B0C">
        <w:rPr>
          <w:lang w:val="ro-RO"/>
        </w:rPr>
        <w:t xml:space="preserve">n termeni de mobilitate”. </w:t>
      </w:r>
    </w:p>
    <w:p w:rsidR="0013426E" w:rsidRPr="004D2B0C" w:rsidRDefault="00610053" w:rsidP="0013426E">
      <w:pPr>
        <w:rPr>
          <w:lang w:val="ro-RO"/>
        </w:rPr>
      </w:pPr>
      <w:r>
        <w:rPr>
          <w:lang w:val="ro-RO"/>
        </w:rPr>
        <w:t>Mă</w:t>
      </w:r>
      <w:r w:rsidR="002419FC">
        <w:rPr>
          <w:lang w:val="ro-RO"/>
        </w:rPr>
        <w:t>suri nestructurale („soft”) şi mă</w:t>
      </w:r>
      <w:r w:rsidR="0013426E" w:rsidRPr="004D2B0C">
        <w:rPr>
          <w:lang w:val="ro-RO"/>
        </w:rPr>
        <w:t>suri</w:t>
      </w:r>
      <w:r w:rsidR="002419FC">
        <w:rPr>
          <w:lang w:val="ro-RO"/>
        </w:rPr>
        <w:t xml:space="preserve"> structurale („hard”)/ construcţii/ activităţi de construcţii sunt eligibile î</w:t>
      </w:r>
      <w:r w:rsidR="0013426E" w:rsidRPr="004D2B0C">
        <w:rPr>
          <w:lang w:val="ro-RO"/>
        </w:rPr>
        <w:t>n limita bugetului aloca</w:t>
      </w:r>
      <w:r w:rsidR="002419FC">
        <w:rPr>
          <w:lang w:val="ro-RO"/>
        </w:rPr>
        <w:t>t acestui Obiectiv Specific dacă răspund amandouă necesităţ</w:t>
      </w:r>
      <w:r w:rsidR="0013426E" w:rsidRPr="004D2B0C">
        <w:rPr>
          <w:lang w:val="ro-RO"/>
        </w:rPr>
        <w:t>i</w:t>
      </w:r>
      <w:r w:rsidR="002419FC">
        <w:rPr>
          <w:lang w:val="ro-RO"/>
        </w:rPr>
        <w:t>i de a îmbunătăţi accesul la reţ</w:t>
      </w:r>
      <w:r w:rsidR="0013426E" w:rsidRPr="004D2B0C">
        <w:rPr>
          <w:lang w:val="ro-RO"/>
        </w:rPr>
        <w:t>eaua de</w:t>
      </w:r>
      <w:r w:rsidR="002419FC">
        <w:rPr>
          <w:lang w:val="ro-RO"/>
        </w:rPr>
        <w:t xml:space="preserve"> transport TEN-T. Toate activităţile nestructurale finanţate î</w:t>
      </w:r>
      <w:r w:rsidR="0013426E" w:rsidRPr="004D2B0C">
        <w:rPr>
          <w:lang w:val="ro-RO"/>
        </w:rPr>
        <w:t>n cadrul acestui</w:t>
      </w:r>
      <w:r w:rsidR="002419FC">
        <w:rPr>
          <w:lang w:val="ro-RO"/>
        </w:rPr>
        <w:t xml:space="preserve"> Obiectiv Specific (dezvoltare ş</w:t>
      </w:r>
      <w:r w:rsidR="0013426E" w:rsidRPr="004D2B0C">
        <w:rPr>
          <w:lang w:val="ro-RO"/>
        </w:rPr>
        <w:t xml:space="preserve">i implementare </w:t>
      </w:r>
      <w:r w:rsidR="002419FC">
        <w:rPr>
          <w:lang w:val="ro-RO"/>
        </w:rPr>
        <w:t>de strategii, schimburi de cunoştinţe, instrumente şi aplicaţii pilot pentru îmbunătăţ</w:t>
      </w:r>
      <w:r w:rsidR="0013426E" w:rsidRPr="004D2B0C">
        <w:rPr>
          <w:lang w:val="ro-RO"/>
        </w:rPr>
        <w:t>irea m</w:t>
      </w:r>
      <w:r w:rsidR="002419FC">
        <w:rPr>
          <w:lang w:val="ro-RO"/>
        </w:rPr>
        <w:t>obilităţii şi accesibilităţ</w:t>
      </w:r>
      <w:r w:rsidR="0013426E" w:rsidRPr="004D2B0C">
        <w:rPr>
          <w:lang w:val="ro-RO"/>
        </w:rPr>
        <w:t>ii tranfrontaliere</w:t>
      </w:r>
      <w:r w:rsidR="002419FC">
        <w:rPr>
          <w:lang w:val="ro-RO"/>
        </w:rPr>
        <w:t>, etc) sunt preconizate a fi paşi clari către investiţ</w:t>
      </w:r>
      <w:r w:rsidR="0013426E" w:rsidRPr="004D2B0C">
        <w:rPr>
          <w:lang w:val="ro-RO"/>
        </w:rPr>
        <w:t>ii directe in accesibil</w:t>
      </w:r>
      <w:r w:rsidR="007C0385">
        <w:rPr>
          <w:lang w:val="ro-RO"/>
        </w:rPr>
        <w:t>itatea zonei transfrontaliere, în coerenţă</w:t>
      </w:r>
      <w:r w:rsidR="0013426E" w:rsidRPr="004D2B0C">
        <w:rPr>
          <w:lang w:val="ro-RO"/>
        </w:rPr>
        <w:t xml:space="preserve"> cu ambe</w:t>
      </w:r>
      <w:r w:rsidR="007C0385">
        <w:rPr>
          <w:lang w:val="ro-RO"/>
        </w:rPr>
        <w:t>le strategii/ master-planuri naţionale de investiţii în transport şi cu provocă</w:t>
      </w:r>
      <w:r w:rsidR="0013426E" w:rsidRPr="004D2B0C">
        <w:rPr>
          <w:lang w:val="ro-RO"/>
        </w:rPr>
        <w:t xml:space="preserve">rile </w:t>
      </w:r>
      <w:r w:rsidR="007C0385">
        <w:rPr>
          <w:lang w:val="ro-RO"/>
        </w:rPr>
        <w:t>şi necesităţile accesibilităţ</w:t>
      </w:r>
      <w:r w:rsidR="0013426E" w:rsidRPr="004D2B0C">
        <w:rPr>
          <w:lang w:val="ro-RO"/>
        </w:rPr>
        <w:t xml:space="preserve">ii transfrontaliere. </w:t>
      </w:r>
    </w:p>
    <w:p w:rsidR="0013426E" w:rsidRPr="004D2B0C" w:rsidRDefault="0013426E" w:rsidP="0013426E">
      <w:pPr>
        <w:rPr>
          <w:lang w:val="ro-RO"/>
        </w:rPr>
      </w:pPr>
      <w:r w:rsidRPr="004D2B0C">
        <w:rPr>
          <w:lang w:val="ro-RO"/>
        </w:rPr>
        <w:t>Luând în considerare situația socio-economică a zonei transfrontaliere ca și nevoile de asigurare a unei mobilități cres</w:t>
      </w:r>
      <w:r w:rsidR="007C0385">
        <w:rPr>
          <w:lang w:val="ro-RO"/>
        </w:rPr>
        <w:t>cute a forței de muncă (urmarită</w:t>
      </w:r>
      <w:r w:rsidRPr="004D2B0C">
        <w:rPr>
          <w:lang w:val="ro-RO"/>
        </w:rPr>
        <w:t xml:space="preserve"> ca obi</w:t>
      </w:r>
      <w:r w:rsidR="007C0385">
        <w:rPr>
          <w:lang w:val="ro-RO"/>
        </w:rPr>
        <w:t>ectiv distinct de axa prioritară</w:t>
      </w:r>
      <w:r w:rsidRPr="004D2B0C">
        <w:rPr>
          <w:lang w:val="ro-RO"/>
        </w:rPr>
        <w:t xml:space="preserve"> 4), accesibilitatea transfront</w:t>
      </w:r>
      <w:r w:rsidR="007C0385">
        <w:rPr>
          <w:lang w:val="ro-RO"/>
        </w:rPr>
        <w:t>aliera va fi înţeleasă ca „serviciu public”. Creş</w:t>
      </w:r>
      <w:r w:rsidRPr="004D2B0C">
        <w:rPr>
          <w:lang w:val="ro-RO"/>
        </w:rPr>
        <w:t>terea transportului public transfrontalier va bene</w:t>
      </w:r>
      <w:r w:rsidR="007C0385">
        <w:rPr>
          <w:lang w:val="ro-RO"/>
        </w:rPr>
        <w:t>ficia astfel de atenție specială</w:t>
      </w:r>
      <w:r w:rsidRPr="004D2B0C">
        <w:rPr>
          <w:lang w:val="ro-RO"/>
        </w:rPr>
        <w:t xml:space="preserve"> în orice activitate finanțată în cadrul acestui obiectiv specific.</w:t>
      </w:r>
    </w:p>
    <w:p w:rsidR="0013426E" w:rsidRPr="004D2B0C" w:rsidRDefault="007C0385" w:rsidP="002564E4">
      <w:pPr>
        <w:rPr>
          <w:lang w:val="ro-RO"/>
        </w:rPr>
      </w:pPr>
      <w:r>
        <w:rPr>
          <w:lang w:val="ro-RO"/>
        </w:rPr>
        <w:t>Măsurile indicative ce vor fi susţinute î</w:t>
      </w:r>
      <w:r w:rsidR="0013426E" w:rsidRPr="004D2B0C">
        <w:rPr>
          <w:lang w:val="ro-RO"/>
        </w:rPr>
        <w:t>n cadrul acestui obiectiv specific:</w:t>
      </w:r>
    </w:p>
    <w:p w:rsidR="00DC14C5" w:rsidRPr="004D2B0C" w:rsidRDefault="00DC14C5" w:rsidP="00DC14C5">
      <w:pPr>
        <w:rPr>
          <w:b/>
          <w:u w:val="single"/>
          <w:lang w:val="ro-RO"/>
        </w:rPr>
      </w:pPr>
      <w:r w:rsidRPr="004D2B0C">
        <w:rPr>
          <w:b/>
          <w:u w:val="single"/>
          <w:lang w:val="ro-RO"/>
        </w:rPr>
        <w:t>Măsuri nestructurale:</w:t>
      </w:r>
    </w:p>
    <w:p w:rsidR="00DC14C5" w:rsidRPr="004D2B0C" w:rsidRDefault="00DC14C5" w:rsidP="00190976">
      <w:pPr>
        <w:numPr>
          <w:ilvl w:val="0"/>
          <w:numId w:val="6"/>
        </w:numPr>
        <w:rPr>
          <w:lang w:val="ro-RO"/>
        </w:rPr>
      </w:pPr>
      <w:r w:rsidRPr="004D2B0C">
        <w:rPr>
          <w:lang w:val="ro-RO"/>
        </w:rPr>
        <w:t>Dezvoltarea în comun de soluții bazate pe acțiune, planuri de management, strategii, studii de fezabilitate, evaluări ale impactului asupra mediului etc., legat de proiecte de lucrări de infrastructură publică (căi navigabile, drumuri etc.) în vederea racordării nodurilor secundare și terțiare la infrastructura TEN-T și reducerea duratei transportului și optimizarea logisticii;</w:t>
      </w:r>
    </w:p>
    <w:p w:rsidR="00DC14C5" w:rsidRPr="004D2B0C" w:rsidRDefault="00DC14C5" w:rsidP="00190976">
      <w:pPr>
        <w:numPr>
          <w:ilvl w:val="0"/>
          <w:numId w:val="6"/>
        </w:numPr>
        <w:rPr>
          <w:lang w:val="ro-RO"/>
        </w:rPr>
      </w:pPr>
      <w:r w:rsidRPr="004D2B0C">
        <w:rPr>
          <w:lang w:val="ro-RO"/>
        </w:rPr>
        <w:t xml:space="preserve">Dezvoltarea de concepte, standarde și instrumente coordonate la nivel transfrontalier pentru îmbunătățirea serviciilor de mobilitate în interes public (ex. pentru grupurile dezavantajate, pentru regiunile în regres demografic, etc.). </w:t>
      </w:r>
    </w:p>
    <w:p w:rsidR="00DC14C5" w:rsidRPr="004D2B0C" w:rsidRDefault="00DC14C5" w:rsidP="00190976">
      <w:pPr>
        <w:numPr>
          <w:ilvl w:val="0"/>
          <w:numId w:val="6"/>
        </w:numPr>
        <w:rPr>
          <w:lang w:val="ro-RO"/>
        </w:rPr>
      </w:pPr>
      <w:r w:rsidRPr="004D2B0C">
        <w:rPr>
          <w:lang w:val="ro-RO"/>
        </w:rPr>
        <w:t>Facilitarea cooperării active dintre furnizorii de trafic și de informații  de călătorie și serviciile cu valoare adăugată în vederea îmbunătățirii transportului public local în zona transfrontalieră și a legăturii dintre orașele înfrățite (ex. armonizarea orarelor, furnizarea de informații bilingve despre orarele de transport transfrontalier, operarea serviciilor de transport public transfrontalier, în special între orașele înfrățite);</w:t>
      </w:r>
    </w:p>
    <w:p w:rsidR="00DC14C5" w:rsidRPr="004D2B0C" w:rsidRDefault="00DC14C5" w:rsidP="00190976">
      <w:pPr>
        <w:numPr>
          <w:ilvl w:val="0"/>
          <w:numId w:val="6"/>
        </w:numPr>
        <w:rPr>
          <w:lang w:val="ro-RO"/>
        </w:rPr>
      </w:pPr>
      <w:r w:rsidRPr="004D2B0C">
        <w:rPr>
          <w:lang w:val="ro-RO"/>
        </w:rPr>
        <w:t xml:space="preserve">Schimburi de experiență și cunoștințe, inclusiv conștientizarea (instruiri, seminare și ateliere) în domeniul măsurilor de siguranță a circulației în zona eligibilă (ex. </w:t>
      </w:r>
      <w:r w:rsidRPr="004D2B0C">
        <w:rPr>
          <w:lang w:val="ro-RO"/>
        </w:rPr>
        <w:lastRenderedPageBreak/>
        <w:t>îmbunătățirea configurației rețelei de trafic, introducerea de măsuri de calmare a circulației, utilizarea sensurilor giratorii, radare, bariere de siguranță și denivelări pentru reducerea vitezei, îmbunătățirea suprafeței degradate a drumurilor pentru a evita de ex. accidentele pe vreme umedă, materiale de marcare retro-reflectante).</w:t>
      </w:r>
    </w:p>
    <w:p w:rsidR="00DC14C5" w:rsidRPr="004D2B0C" w:rsidRDefault="00DC14C5" w:rsidP="00DC14C5">
      <w:pPr>
        <w:rPr>
          <w:b/>
          <w:u w:val="single"/>
          <w:lang w:val="ro-RO"/>
        </w:rPr>
      </w:pPr>
      <w:r w:rsidRPr="004D2B0C">
        <w:rPr>
          <w:b/>
          <w:u w:val="single"/>
          <w:lang w:val="ro-RO"/>
        </w:rPr>
        <w:t>Masuri structurale:</w:t>
      </w:r>
    </w:p>
    <w:p w:rsidR="00DC14C5" w:rsidRPr="004D2B0C" w:rsidRDefault="00DC14C5" w:rsidP="00190976">
      <w:pPr>
        <w:numPr>
          <w:ilvl w:val="0"/>
          <w:numId w:val="6"/>
        </w:numPr>
        <w:rPr>
          <w:lang w:val="ro-RO"/>
        </w:rPr>
      </w:pPr>
      <w:r w:rsidRPr="004D2B0C">
        <w:rPr>
          <w:lang w:val="ro-RO"/>
        </w:rPr>
        <w:t>Îmbunătățirea conexiunilor la infrastructura TEN-T a nodurilor transfrontaliere secundare si tertiare  (ex. îmbunătățirea calității drumurilor, îmbunătățirea/ construcția de trasee pentru biciclete, construcția de adăposturi pentru biciclete, reabilitarea, modernizarea și extinderea infrastructurii rutiere);</w:t>
      </w:r>
    </w:p>
    <w:p w:rsidR="00DC14C5" w:rsidRPr="004D2B0C" w:rsidRDefault="00DC14C5" w:rsidP="00DC14C5">
      <w:pPr>
        <w:rPr>
          <w:b/>
          <w:u w:val="single"/>
          <w:lang w:val="ro-RO"/>
        </w:rPr>
      </w:pPr>
      <w:r w:rsidRPr="004D2B0C">
        <w:rPr>
          <w:b/>
          <w:u w:val="single"/>
          <w:lang w:val="ro-RO"/>
        </w:rPr>
        <w:t>Masuri integrate:</w:t>
      </w:r>
    </w:p>
    <w:p w:rsidR="00DC14C5" w:rsidRPr="004D2B0C" w:rsidRDefault="00DC14C5" w:rsidP="00190976">
      <w:pPr>
        <w:numPr>
          <w:ilvl w:val="0"/>
          <w:numId w:val="6"/>
        </w:numPr>
        <w:rPr>
          <w:lang w:val="ro-RO"/>
        </w:rPr>
      </w:pPr>
      <w:r w:rsidRPr="004D2B0C">
        <w:rPr>
          <w:lang w:val="ro-RO"/>
        </w:rPr>
        <w:t>Adoptarea de masuri demanagement comun al circulației pentru mobilitatea inteligentă în zona transfrontalieră (ex. îndrumare de traseu, detectarea și managementul  incid</w:t>
      </w:r>
      <w:r w:rsidR="00765FD9">
        <w:rPr>
          <w:lang w:val="ro-RO"/>
        </w:rPr>
        <w:t>entelor/ urgențelor, studii ale</w:t>
      </w:r>
      <w:r w:rsidRPr="004D2B0C">
        <w:rPr>
          <w:lang w:val="ro-RO"/>
        </w:rPr>
        <w:t xml:space="preserve"> fluxurilor  circulației, măsuri </w:t>
      </w:r>
      <w:r w:rsidR="00765FD9">
        <w:rPr>
          <w:lang w:val="ro-RO"/>
        </w:rPr>
        <w:t xml:space="preserve">de siguranță în trafic, hărți </w:t>
      </w:r>
      <w:r w:rsidR="00A344FC" w:rsidRPr="00A344FC">
        <w:rPr>
          <w:lang w:val="ro-RO"/>
        </w:rPr>
        <w:t>cu</w:t>
      </w:r>
      <w:r w:rsidRPr="00A344FC">
        <w:rPr>
          <w:lang w:val="ro-RO"/>
        </w:rPr>
        <w:t xml:space="preserve"> puncte negre</w:t>
      </w:r>
      <w:r w:rsidRPr="004D2B0C">
        <w:rPr>
          <w:lang w:val="ro-RO"/>
        </w:rPr>
        <w:t>).</w:t>
      </w:r>
    </w:p>
    <w:p w:rsidR="00B046A9" w:rsidRPr="00FF685E" w:rsidRDefault="00B046A9" w:rsidP="00B046A9">
      <w:pPr>
        <w:spacing w:before="0" w:after="0" w:line="276" w:lineRule="auto"/>
        <w:ind w:left="406"/>
        <w:contextualSpacing/>
        <w:rPr>
          <w:szCs w:val="24"/>
          <w:highlight w:val="green"/>
          <w:lang w:val="ro-RO"/>
        </w:rPr>
      </w:pPr>
    </w:p>
    <w:p w:rsidR="004D2B0C" w:rsidRPr="00F2516F" w:rsidRDefault="004D2B0C" w:rsidP="004D2B0C">
      <w:pPr>
        <w:rPr>
          <w:rFonts w:eastAsia="Times New Roman"/>
          <w:b/>
          <w:szCs w:val="24"/>
          <w:lang w:val="ro-RO" w:eastAsia="fr-BE"/>
        </w:rPr>
      </w:pPr>
      <w:r w:rsidRPr="00F2516F">
        <w:rPr>
          <w:rFonts w:eastAsia="Times New Roman"/>
          <w:b/>
          <w:szCs w:val="24"/>
          <w:lang w:val="ro-RO" w:eastAsia="fr-BE"/>
        </w:rPr>
        <w:t>Tipuri de r</w:t>
      </w:r>
      <w:r w:rsidR="00CD3CE0">
        <w:rPr>
          <w:rFonts w:eastAsia="Times New Roman"/>
          <w:b/>
          <w:szCs w:val="24"/>
          <w:lang w:val="ro-RO" w:eastAsia="fr-BE"/>
        </w:rPr>
        <w:t>ealizări</w:t>
      </w:r>
    </w:p>
    <w:p w:rsidR="004D2B0C" w:rsidRPr="00F2516F" w:rsidRDefault="004D2B0C" w:rsidP="004D2B0C">
      <w:pPr>
        <w:rPr>
          <w:rFonts w:eastAsia="Times New Roman"/>
          <w:szCs w:val="24"/>
          <w:lang w:val="ro-RO" w:eastAsia="fr-BE"/>
        </w:rPr>
      </w:pPr>
      <w:r w:rsidRPr="00F2516F">
        <w:rPr>
          <w:rFonts w:eastAsia="Times New Roman"/>
          <w:szCs w:val="24"/>
          <w:lang w:val="ro-RO" w:eastAsia="fr-BE"/>
        </w:rPr>
        <w:t>În cadrul acțiunilor sprijinite pot fi obțin</w:t>
      </w:r>
      <w:r>
        <w:rPr>
          <w:rFonts w:eastAsia="Times New Roman"/>
          <w:szCs w:val="24"/>
          <w:lang w:val="ro-RO" w:eastAsia="fr-BE"/>
        </w:rPr>
        <w:t>ute tipuri diferite de realizări imediate</w:t>
      </w:r>
      <w:r w:rsidRPr="00F2516F">
        <w:rPr>
          <w:rFonts w:eastAsia="Times New Roman"/>
          <w:szCs w:val="24"/>
          <w:lang w:val="ro-RO" w:eastAsia="fr-BE"/>
        </w:rPr>
        <w:t>. Primul tip este reprezentat de strategiile comune și cooperarea la nivel transfrontalier pentru elaborarea documentației necesare investițiilor în infrastructura și instrumentele de mobi</w:t>
      </w:r>
      <w:r>
        <w:rPr>
          <w:rFonts w:eastAsia="Times New Roman"/>
          <w:szCs w:val="24"/>
          <w:lang w:val="ro-RO" w:eastAsia="fr-BE"/>
        </w:rPr>
        <w:t>litate transfrontalieră. Aceasta</w:t>
      </w:r>
      <w:r w:rsidRPr="00F2516F">
        <w:rPr>
          <w:rFonts w:eastAsia="Times New Roman"/>
          <w:szCs w:val="24"/>
          <w:lang w:val="ro-RO" w:eastAsia="fr-BE"/>
        </w:rPr>
        <w:t xml:space="preserve"> po</w:t>
      </w:r>
      <w:r>
        <w:rPr>
          <w:rFonts w:eastAsia="Times New Roman"/>
          <w:szCs w:val="24"/>
          <w:lang w:val="ro-RO" w:eastAsia="fr-BE"/>
        </w:rPr>
        <w:t>a</w:t>
      </w:r>
      <w:r w:rsidRPr="00F2516F">
        <w:rPr>
          <w:rFonts w:eastAsia="Times New Roman"/>
          <w:szCs w:val="24"/>
          <w:lang w:val="ro-RO" w:eastAsia="fr-BE"/>
        </w:rPr>
        <w:t>t</w:t>
      </w:r>
      <w:r>
        <w:rPr>
          <w:rFonts w:eastAsia="Times New Roman"/>
          <w:szCs w:val="24"/>
          <w:lang w:val="ro-RO" w:eastAsia="fr-BE"/>
        </w:rPr>
        <w:t>e</w:t>
      </w:r>
      <w:r w:rsidRPr="00F2516F">
        <w:rPr>
          <w:rFonts w:eastAsia="Times New Roman"/>
          <w:szCs w:val="24"/>
          <w:lang w:val="ro-RO" w:eastAsia="fr-BE"/>
        </w:rPr>
        <w:t xml:space="preserve"> include elaborarea de concepte, planuri, studii de fezabilitate, dezvoltarea de instrumente, alte elemente pregătitoare pentru investiții, implementarea investițiilor pilot și creșterea conștientizării privind mobilitatea sustenabilă. </w:t>
      </w:r>
      <w:r>
        <w:rPr>
          <w:rFonts w:eastAsia="Times New Roman"/>
          <w:szCs w:val="24"/>
          <w:lang w:val="ro-RO" w:eastAsia="fr-BE"/>
        </w:rPr>
        <w:t xml:space="preserve">Al doilea tip este cel al realizărilor </w:t>
      </w:r>
      <w:r w:rsidR="00AA7DAC">
        <w:rPr>
          <w:rFonts w:eastAsia="Times New Roman"/>
          <w:szCs w:val="24"/>
          <w:lang w:val="ro-RO" w:eastAsia="fr-BE"/>
        </w:rPr>
        <w:t xml:space="preserve">structurale </w:t>
      </w:r>
      <w:r>
        <w:rPr>
          <w:rFonts w:eastAsia="Times New Roman"/>
          <w:szCs w:val="24"/>
          <w:lang w:val="ro-RO" w:eastAsia="fr-BE"/>
        </w:rPr>
        <w:t>,cum ar fi</w:t>
      </w:r>
      <w:r w:rsidRPr="00F2516F">
        <w:rPr>
          <w:rFonts w:eastAsia="Times New Roman"/>
          <w:szCs w:val="24"/>
          <w:lang w:val="ro-RO" w:eastAsia="fr-BE"/>
        </w:rPr>
        <w:t xml:space="preserve"> repararea căilor de acces și rețelele de transport extinse. Aceste </w:t>
      </w:r>
      <w:r>
        <w:rPr>
          <w:rFonts w:eastAsia="Times New Roman"/>
          <w:szCs w:val="24"/>
          <w:lang w:val="ro-RO" w:eastAsia="fr-BE"/>
        </w:rPr>
        <w:t>realizări</w:t>
      </w:r>
      <w:r w:rsidRPr="00F2516F">
        <w:rPr>
          <w:rFonts w:eastAsia="Times New Roman"/>
          <w:szCs w:val="24"/>
          <w:lang w:val="ro-RO" w:eastAsia="fr-BE"/>
        </w:rPr>
        <w:t xml:space="preserve"> grele sunt limitate de bugetul Programului de Cooperare Transfrontalieră România Bulgaria. Al treilea tip de </w:t>
      </w:r>
      <w:r>
        <w:rPr>
          <w:rFonts w:eastAsia="Times New Roman"/>
          <w:szCs w:val="24"/>
          <w:lang w:val="ro-RO" w:eastAsia="fr-BE"/>
        </w:rPr>
        <w:t xml:space="preserve">realizări </w:t>
      </w:r>
      <w:r w:rsidRPr="00F2516F">
        <w:rPr>
          <w:rFonts w:eastAsia="Times New Roman"/>
          <w:szCs w:val="24"/>
          <w:lang w:val="ro-RO" w:eastAsia="fr-BE"/>
        </w:rPr>
        <w:t>este reprezentat de măsurile integrate care vor îmbunătăți mobilitatea și securitatea acesteia prin studii și investiții la scară mică.</w:t>
      </w:r>
    </w:p>
    <w:p w:rsidR="004D2B0C" w:rsidRPr="00F2516F" w:rsidRDefault="004D2B0C" w:rsidP="004D2B0C">
      <w:pPr>
        <w:rPr>
          <w:rFonts w:eastAsia="Times New Roman"/>
          <w:szCs w:val="24"/>
          <w:lang w:val="ro-RO" w:eastAsia="fr-BE"/>
        </w:rPr>
      </w:pPr>
      <w:r w:rsidRPr="00F2516F">
        <w:rPr>
          <w:rFonts w:eastAsia="Times New Roman"/>
          <w:szCs w:val="24"/>
          <w:lang w:val="ro-RO" w:eastAsia="fr-BE"/>
        </w:rPr>
        <w:t>Tipurile de re</w:t>
      </w:r>
      <w:r>
        <w:rPr>
          <w:rFonts w:eastAsia="Times New Roman"/>
          <w:szCs w:val="24"/>
          <w:lang w:val="ro-RO" w:eastAsia="fr-BE"/>
        </w:rPr>
        <w:t>alizări</w:t>
      </w:r>
      <w:r w:rsidRPr="00F2516F">
        <w:rPr>
          <w:rFonts w:eastAsia="Times New Roman"/>
          <w:szCs w:val="24"/>
          <w:lang w:val="ro-RO" w:eastAsia="fr-BE"/>
        </w:rPr>
        <w:t xml:space="preserve"> (fără a fi limitate de această listă) pot fi:</w:t>
      </w:r>
    </w:p>
    <w:p w:rsidR="004D2B0C" w:rsidRPr="00F2516F" w:rsidRDefault="004D2B0C" w:rsidP="00EC1DA9">
      <w:pPr>
        <w:pStyle w:val="ListParagraph"/>
        <w:numPr>
          <w:ilvl w:val="0"/>
          <w:numId w:val="19"/>
        </w:numPr>
        <w:rPr>
          <w:szCs w:val="24"/>
          <w:lang w:val="ro-RO" w:eastAsia="fr-BE"/>
        </w:rPr>
      </w:pPr>
      <w:r w:rsidRPr="00F2516F">
        <w:rPr>
          <w:szCs w:val="24"/>
          <w:lang w:val="ro-RO" w:eastAsia="fr-BE"/>
        </w:rPr>
        <w:t>Soluții și strategii comune pentru conectarea nodurilor secundare și terțiare la rețeaua TEN-T și pentru reducerea timpului de transport și îmbunătățirea serviciilor de mobilitate publică,</w:t>
      </w:r>
    </w:p>
    <w:p w:rsidR="004D2B0C" w:rsidRPr="00F2516F" w:rsidRDefault="004D2B0C" w:rsidP="00EC1DA9">
      <w:pPr>
        <w:pStyle w:val="ListParagraph"/>
        <w:numPr>
          <w:ilvl w:val="0"/>
          <w:numId w:val="19"/>
        </w:numPr>
        <w:rPr>
          <w:szCs w:val="24"/>
          <w:lang w:val="ro-RO" w:eastAsia="fr-BE"/>
        </w:rPr>
      </w:pPr>
      <w:r w:rsidRPr="00F2516F">
        <w:rPr>
          <w:szCs w:val="24"/>
          <w:lang w:val="ro-RO" w:eastAsia="fr-BE"/>
        </w:rPr>
        <w:t>Investiții în construcția/modernizarea infrastructurii rutiere, (incluzând) îmbunătățirea conexiunilor nodurilor transfrontaliere secundare și terțiare cu rețeaua TEN-T,</w:t>
      </w:r>
    </w:p>
    <w:p w:rsidR="004D2B0C" w:rsidRPr="00F2516F" w:rsidRDefault="004D2B0C" w:rsidP="00EC1DA9">
      <w:pPr>
        <w:pStyle w:val="ListParagraph"/>
        <w:numPr>
          <w:ilvl w:val="0"/>
          <w:numId w:val="19"/>
        </w:numPr>
        <w:rPr>
          <w:szCs w:val="24"/>
          <w:lang w:val="ro-RO" w:eastAsia="fr-BE"/>
        </w:rPr>
      </w:pPr>
      <w:r w:rsidRPr="00F2516F">
        <w:rPr>
          <w:szCs w:val="24"/>
          <w:lang w:val="ro-RO" w:eastAsia="fr-BE"/>
        </w:rPr>
        <w:t>Schimbul de cunoștințe pentru îmbunătățirea transportului public local și securității traficului.</w:t>
      </w:r>
    </w:p>
    <w:p w:rsidR="004D2B0C" w:rsidRPr="00F2516F" w:rsidRDefault="004D2B0C" w:rsidP="004D2B0C">
      <w:pPr>
        <w:rPr>
          <w:b/>
          <w:szCs w:val="24"/>
          <w:lang w:val="ro-RO" w:eastAsia="fr-BE"/>
        </w:rPr>
      </w:pPr>
      <w:r w:rsidRPr="00F2516F">
        <w:rPr>
          <w:b/>
          <w:szCs w:val="24"/>
          <w:lang w:val="ro-RO" w:eastAsia="fr-BE"/>
        </w:rPr>
        <w:t>Principalele grupuri țintă și tipurile de beneficiari</w:t>
      </w:r>
    </w:p>
    <w:p w:rsidR="004D2B0C" w:rsidRPr="00F2516F" w:rsidRDefault="004D2B0C" w:rsidP="004D2B0C">
      <w:pPr>
        <w:rPr>
          <w:lang w:val="ro-RO"/>
        </w:rPr>
      </w:pPr>
      <w:r w:rsidRPr="00F2516F">
        <w:rPr>
          <w:lang w:val="ro-RO"/>
        </w:rPr>
        <w:t xml:space="preserve">Principalele </w:t>
      </w:r>
      <w:r w:rsidRPr="00620311">
        <w:rPr>
          <w:b/>
          <w:lang w:val="ro-RO"/>
        </w:rPr>
        <w:t>grupuri țintă</w:t>
      </w:r>
      <w:r w:rsidRPr="00F2516F">
        <w:rPr>
          <w:lang w:val="ro-RO"/>
        </w:rPr>
        <w:t xml:space="preserve"> sunt diverse și corespund tuturor factorilor interesați de transport și mobilitate din </w:t>
      </w:r>
      <w:r>
        <w:rPr>
          <w:lang w:val="ro-RO"/>
        </w:rPr>
        <w:t>zona</w:t>
      </w:r>
      <w:r w:rsidRPr="00F2516F">
        <w:rPr>
          <w:lang w:val="ro-RO"/>
        </w:rPr>
        <w:t xml:space="preserve"> transfrontalieră și care ar putea beneficia de conexiunile îmbunătățite cu rețelele naționale sau TEN-T: de la diferite grupuri de populație (navetiști locali, turiști de afaceri și agrement, oameni de afaceri, etc.) la administrațiile naționale sau la nivel de județ sau district care se ocupă de planificarea infrastructurii, operatorii de transport public și companiile private ale căror activități depind de accesul la teritoriul transfrontalier. De </w:t>
      </w:r>
      <w:r w:rsidRPr="00F2516F">
        <w:rPr>
          <w:lang w:val="ro-RO"/>
        </w:rPr>
        <w:lastRenderedPageBreak/>
        <w:t xml:space="preserve">asemenea, întreaga populație a zonei eligibile va beneficia în urma acestor investiții, din moment ce </w:t>
      </w:r>
      <w:r>
        <w:rPr>
          <w:lang w:val="ro-RO"/>
        </w:rPr>
        <w:t>accesibilitatea îmbunătățităeste o condiție</w:t>
      </w:r>
      <w:r w:rsidRPr="00F2516F">
        <w:rPr>
          <w:lang w:val="ro-RO"/>
        </w:rPr>
        <w:t xml:space="preserve"> obligatori</w:t>
      </w:r>
      <w:r>
        <w:rPr>
          <w:lang w:val="ro-RO"/>
        </w:rPr>
        <w:t>e</w:t>
      </w:r>
      <w:r w:rsidRPr="00F2516F">
        <w:rPr>
          <w:lang w:val="ro-RO"/>
        </w:rPr>
        <w:t xml:space="preserve"> pentru dezvoltare. </w:t>
      </w:r>
    </w:p>
    <w:p w:rsidR="004D2B0C" w:rsidRPr="00F2516F" w:rsidRDefault="004D2B0C" w:rsidP="004D2B0C">
      <w:pPr>
        <w:rPr>
          <w:lang w:val="ro-RO"/>
        </w:rPr>
      </w:pPr>
      <w:r w:rsidRPr="00F2516F">
        <w:rPr>
          <w:lang w:val="ro-RO"/>
        </w:rPr>
        <w:t xml:space="preserve">În principal, </w:t>
      </w:r>
      <w:r w:rsidRPr="00620311">
        <w:rPr>
          <w:b/>
          <w:lang w:val="ro-RO"/>
        </w:rPr>
        <w:t>beneficiarii</w:t>
      </w:r>
      <w:r w:rsidRPr="00F2516F">
        <w:rPr>
          <w:lang w:val="ro-RO"/>
        </w:rPr>
        <w:t xml:space="preserve"> vor fi organizațiile care sunt capabile să ofere informații cu privire la planificarea, dezvoltarea și coordonarea unor sisteme de transport transfrontalier care vor fi mai bine conectate la coridoarele europene de transport (TEN-T): autoritățile publice naționale sau la nivel de județ sau district, furnizorii și administratorii infrastructurii publice, asociațiile naționale de transportatori sau la nivel de județ sau district, organizațiile ce activează în domeniul cercetării și inovației, universități, etc. </w:t>
      </w:r>
    </w:p>
    <w:p w:rsidR="004D2B0C" w:rsidRPr="00F2516F" w:rsidRDefault="004D2B0C" w:rsidP="004D2B0C">
      <w:pPr>
        <w:tabs>
          <w:tab w:val="center" w:pos="4535"/>
        </w:tabs>
        <w:rPr>
          <w:b/>
          <w:lang w:val="ro-RO"/>
        </w:rPr>
      </w:pPr>
      <w:r w:rsidRPr="00F2516F">
        <w:rPr>
          <w:b/>
          <w:lang w:val="ro-RO"/>
        </w:rPr>
        <w:t>Regiunile specifice vizate</w:t>
      </w:r>
      <w:r>
        <w:rPr>
          <w:b/>
          <w:lang w:val="ro-RO"/>
        </w:rPr>
        <w:tab/>
      </w:r>
    </w:p>
    <w:p w:rsidR="004D2B0C" w:rsidRPr="00F2516F" w:rsidRDefault="004D2B0C" w:rsidP="004D2B0C">
      <w:pPr>
        <w:rPr>
          <w:lang w:val="ro-RO"/>
        </w:rPr>
      </w:pPr>
      <w:r>
        <w:rPr>
          <w:lang w:val="ro-RO"/>
        </w:rPr>
        <w:t>Întreaga zonă</w:t>
      </w:r>
      <w:r w:rsidRPr="00F2516F">
        <w:rPr>
          <w:lang w:val="ro-RO"/>
        </w:rPr>
        <w:t xml:space="preserve"> transfrontalieră este vizată sub acest obiectiv specific. Totuși, va fi acordată importanță conectivității zonei transfrontaliere cu coridorul dunărean TEN-T și intermodalității necesare pentru asigurarea conectării și traversării ușoare.</w:t>
      </w:r>
    </w:p>
    <w:p w:rsidR="002564E4" w:rsidRPr="006F7519" w:rsidRDefault="002564E4" w:rsidP="002E1C90">
      <w:pPr>
        <w:pStyle w:val="Heading2"/>
        <w:rPr>
          <w:lang w:val="it-IT"/>
        </w:rPr>
      </w:pPr>
      <w:bookmarkStart w:id="32" w:name="_Toc389657963"/>
      <w:bookmarkStart w:id="33" w:name="_Toc394837763"/>
      <w:r w:rsidRPr="006F7519">
        <w:rPr>
          <w:lang w:val="it-IT"/>
        </w:rPr>
        <w:t xml:space="preserve">2.A.6.2. </w:t>
      </w:r>
      <w:r w:rsidR="004D2B0C" w:rsidRPr="006F7519">
        <w:rPr>
          <w:lang w:val="it-IT"/>
        </w:rPr>
        <w:t>Principiile directoare pentru selectarea operațiunilor</w:t>
      </w:r>
      <w:bookmarkEnd w:id="32"/>
      <w:bookmarkEnd w:id="33"/>
    </w:p>
    <w:p w:rsidR="002564E4" w:rsidRPr="006F7519" w:rsidRDefault="004D2B0C" w:rsidP="002564E4">
      <w:pPr>
        <w:rPr>
          <w:i/>
          <w:lang w:val="it-IT"/>
        </w:rPr>
      </w:pPr>
      <w:r w:rsidRPr="006F7519">
        <w:rPr>
          <w:i/>
          <w:lang w:val="it-IT"/>
        </w:rPr>
        <w:t>Prioritate de investiții</w:t>
      </w:r>
      <w:r w:rsidR="002564E4" w:rsidRPr="006F7519">
        <w:rPr>
          <w:i/>
          <w:lang w:val="it-IT"/>
        </w:rPr>
        <w:t xml:space="preserve"> 7.b.</w:t>
      </w:r>
    </w:p>
    <w:p w:rsidR="004D2B0C" w:rsidRPr="00F2516F" w:rsidRDefault="004D2B0C" w:rsidP="004D2B0C">
      <w:pPr>
        <w:rPr>
          <w:lang w:val="ro-RO"/>
        </w:rPr>
      </w:pPr>
      <w:r w:rsidRPr="00F2516F">
        <w:rPr>
          <w:lang w:val="ro-RO"/>
        </w:rPr>
        <w:t>Selectarea operațiunilor va fi realizată într-o manieră similară pentru toate axele prioritare. O atenție specială va fi acordată asigurării că investițiile sprijinite sub acest obiectiv specific nu se vor suprapune cu orice alte activități/</w:t>
      </w:r>
      <w:r>
        <w:rPr>
          <w:lang w:val="ro-RO"/>
        </w:rPr>
        <w:t>realizări</w:t>
      </w:r>
      <w:r w:rsidRPr="00F2516F">
        <w:rPr>
          <w:lang w:val="ro-RO"/>
        </w:rPr>
        <w:t xml:space="preserve"> finanțate prin alte instrumente de intervenție. </w:t>
      </w:r>
    </w:p>
    <w:p w:rsidR="004D2B0C" w:rsidRPr="00F2516F" w:rsidRDefault="004D2B0C" w:rsidP="004D2B0C">
      <w:pPr>
        <w:rPr>
          <w:lang w:val="ro-RO"/>
        </w:rPr>
      </w:pPr>
      <w:r w:rsidRPr="00F2516F">
        <w:rPr>
          <w:lang w:val="ro-RO"/>
        </w:rPr>
        <w:t xml:space="preserve">Evaluarea va avea două faze. O fază va privi criteriile administrative și de eligibilitate, realizată într-un mod strict de către Secretariatul Comun (SC). A doua fază va privi evaluarea tehnică, realizată, dacă este necesar, cu ajutorul experților externi contractați. </w:t>
      </w:r>
    </w:p>
    <w:p w:rsidR="004D2B0C" w:rsidRPr="00F2516F" w:rsidRDefault="004D2B0C" w:rsidP="004D2B0C">
      <w:pPr>
        <w:rPr>
          <w:lang w:val="ro-RO"/>
        </w:rPr>
      </w:pPr>
      <w:r w:rsidRPr="00F2516F">
        <w:rPr>
          <w:lang w:val="ro-RO"/>
        </w:rPr>
        <w:t xml:space="preserve">Criteriile de eligibilitate vor verifica atât eligibilitatea operațiunilor, cât și a beneficiarilor și a cheltuielilor. </w:t>
      </w:r>
    </w:p>
    <w:p w:rsidR="004D2B0C" w:rsidRPr="00F2516F" w:rsidRDefault="004D2B0C" w:rsidP="004D2B0C">
      <w:pPr>
        <w:rPr>
          <w:rFonts w:eastAsia="Times New Roman"/>
          <w:lang w:val="ro-RO" w:eastAsia="fr-BE"/>
        </w:rPr>
      </w:pPr>
      <w:r w:rsidRPr="00F2516F">
        <w:rPr>
          <w:rFonts w:eastAsia="Times New Roman"/>
          <w:lang w:val="ro-RO" w:eastAsia="fr-BE"/>
        </w:rPr>
        <w:t xml:space="preserve">Operațiunile sunt eligibile dacă sunt cuprinse în obiectivele specifice ale Programului și dacă ele contribuie la măcar unul din rezultatele programului. </w:t>
      </w:r>
    </w:p>
    <w:p w:rsidR="004D2B0C" w:rsidRPr="00F2516F" w:rsidRDefault="004D2B0C" w:rsidP="004D2B0C">
      <w:pPr>
        <w:rPr>
          <w:rFonts w:eastAsia="Times New Roman"/>
          <w:lang w:val="ro-RO" w:eastAsia="fr-BE"/>
        </w:rPr>
      </w:pPr>
      <w:r w:rsidRPr="00F2516F">
        <w:rPr>
          <w:rFonts w:eastAsia="Times New Roman"/>
          <w:lang w:val="ro-RO" w:eastAsia="fr-BE"/>
        </w:rPr>
        <w:t xml:space="preserve">În cazul în care o operațiune nu contribuie la obiectivul specific și la unul din rezultatele programului, ea va fi respinsă în prima fază (evaluarea administrativă și de eligibilitate). Gradul în care o operațiune contribuie la obiectivele specifice și </w:t>
      </w:r>
      <w:r>
        <w:rPr>
          <w:rFonts w:eastAsia="Times New Roman"/>
          <w:lang w:val="ro-RO" w:eastAsia="fr-BE"/>
        </w:rPr>
        <w:t xml:space="preserve">la </w:t>
      </w:r>
      <w:r w:rsidRPr="00F2516F">
        <w:rPr>
          <w:rFonts w:eastAsia="Times New Roman"/>
          <w:lang w:val="ro-RO" w:eastAsia="fr-BE"/>
        </w:rPr>
        <w:t xml:space="preserve">rezultate va fi punctată în cadrul evaluării tehnice. </w:t>
      </w:r>
    </w:p>
    <w:p w:rsidR="004D2B0C" w:rsidRPr="00F2516F" w:rsidRDefault="004D2B0C" w:rsidP="004D2B0C">
      <w:pPr>
        <w:rPr>
          <w:rFonts w:eastAsia="Times New Roman"/>
          <w:lang w:val="ro-RO" w:eastAsia="fr-BE"/>
        </w:rPr>
      </w:pPr>
      <w:r w:rsidRPr="00F2516F">
        <w:rPr>
          <w:rFonts w:eastAsia="Times New Roman"/>
          <w:lang w:val="ro-RO" w:eastAsia="fr-BE"/>
        </w:rPr>
        <w:t>Beneficiarii eligibil</w:t>
      </w:r>
      <w:r>
        <w:rPr>
          <w:rFonts w:eastAsia="Times New Roman"/>
          <w:lang w:val="ro-RO" w:eastAsia="fr-BE"/>
        </w:rPr>
        <w:t>i</w:t>
      </w:r>
      <w:r w:rsidRPr="00F2516F">
        <w:rPr>
          <w:rFonts w:eastAsia="Times New Roman"/>
          <w:lang w:val="ro-RO" w:eastAsia="fr-BE"/>
        </w:rPr>
        <w:t xml:space="preserve"> sunt instituțiile publice și private responsabile pentru inițierea sau inițierea și implementarea operațiunilor ce respectă condițiile specifice din cererile de propuneri. </w:t>
      </w:r>
    </w:p>
    <w:p w:rsidR="004D2B0C" w:rsidRPr="00F2516F" w:rsidRDefault="004D2B0C" w:rsidP="004D2B0C">
      <w:pPr>
        <w:rPr>
          <w:rFonts w:eastAsia="Times New Roman"/>
          <w:lang w:val="ro-RO" w:eastAsia="fr-BE"/>
        </w:rPr>
      </w:pPr>
      <w:r w:rsidRPr="00F2516F">
        <w:rPr>
          <w:rFonts w:eastAsia="Times New Roman"/>
          <w:lang w:val="ro-RO" w:eastAsia="fr-BE"/>
        </w:rPr>
        <w:t xml:space="preserve">În ceea ce privește cheltuielile eligibile, lista va fi aprobată de către Comitetul de Monitorizare. </w:t>
      </w:r>
      <w:r w:rsidRPr="00AB6AD7">
        <w:rPr>
          <w:rFonts w:eastAsia="Times New Roman"/>
          <w:lang w:val="ro-RO" w:eastAsia="fr-BE"/>
        </w:rPr>
        <w:t>Niciun alt act legal național nu este necesar</w:t>
      </w:r>
      <w:r w:rsidRPr="00F2516F">
        <w:rPr>
          <w:rFonts w:eastAsia="Times New Roman"/>
          <w:color w:val="FF0000"/>
          <w:lang w:val="ro-RO" w:eastAsia="fr-BE"/>
        </w:rPr>
        <w:t xml:space="preserve">. </w:t>
      </w:r>
      <w:r w:rsidRPr="00F2516F">
        <w:rPr>
          <w:rFonts w:eastAsia="Times New Roman"/>
          <w:lang w:val="ro-RO" w:eastAsia="fr-BE"/>
        </w:rPr>
        <w:t>În cadrul fazei administrative va fi verificată doar conformitatea tipurilor de cheltuieli.</w:t>
      </w:r>
    </w:p>
    <w:p w:rsidR="004D2B0C" w:rsidRPr="00F2516F" w:rsidRDefault="004D2B0C" w:rsidP="004D2B0C">
      <w:pPr>
        <w:rPr>
          <w:rFonts w:eastAsia="Times New Roman"/>
          <w:lang w:val="ro-RO" w:eastAsia="fr-BE"/>
        </w:rPr>
      </w:pPr>
      <w:r w:rsidRPr="00F2516F">
        <w:rPr>
          <w:rFonts w:eastAsia="Times New Roman"/>
          <w:lang w:val="ro-RO" w:eastAsia="fr-BE"/>
        </w:rPr>
        <w:t xml:space="preserve">După ce SC </w:t>
      </w:r>
      <w:r>
        <w:rPr>
          <w:rFonts w:eastAsia="Times New Roman"/>
          <w:lang w:val="ro-RO" w:eastAsia="fr-BE"/>
        </w:rPr>
        <w:t>evaluează</w:t>
      </w:r>
      <w:r w:rsidRPr="00F2516F">
        <w:rPr>
          <w:rFonts w:eastAsia="Times New Roman"/>
          <w:lang w:val="ro-RO" w:eastAsia="fr-BE"/>
        </w:rPr>
        <w:t xml:space="preserve"> proiectele, lista va fi înaintată Comitetului de Monitorizare pentru decizia privind selectarea.</w:t>
      </w:r>
    </w:p>
    <w:p w:rsidR="002564E4" w:rsidRPr="004D2B0C" w:rsidRDefault="002564E4" w:rsidP="004D2B0C">
      <w:pPr>
        <w:rPr>
          <w:highlight w:val="red"/>
          <w:lang w:val="ro-RO"/>
        </w:rPr>
      </w:pPr>
      <w:bookmarkStart w:id="34" w:name="_Toc394837764"/>
      <w:r w:rsidRPr="004D2B0C">
        <w:rPr>
          <w:rStyle w:val="Heading2Char"/>
          <w:rFonts w:eastAsia="Calibri"/>
          <w:lang w:val="ro-RO"/>
        </w:rPr>
        <w:t xml:space="preserve">2.A.6.3. </w:t>
      </w:r>
      <w:r w:rsidR="004D2B0C" w:rsidRPr="004D2B0C">
        <w:rPr>
          <w:rStyle w:val="Heading2Char"/>
          <w:rFonts w:eastAsia="Calibri"/>
          <w:lang w:val="ro-RO"/>
        </w:rPr>
        <w:t>Utilizarea planificată a instrumentelor financiare</w:t>
      </w:r>
      <w:bookmarkEnd w:id="34"/>
      <w:r w:rsidR="004D2B0C" w:rsidRPr="004D2B0C">
        <w:rPr>
          <w:lang w:val="ro-RO"/>
        </w:rPr>
        <w:t xml:space="preserve"> (după caz)</w:t>
      </w:r>
    </w:p>
    <w:p w:rsidR="002564E4" w:rsidRPr="004D2B0C" w:rsidRDefault="002564E4" w:rsidP="002564E4">
      <w:pPr>
        <w:keepNext/>
        <w:spacing w:after="240" w:line="276" w:lineRule="auto"/>
        <w:outlineLvl w:val="2"/>
        <w:rPr>
          <w:rFonts w:eastAsia="Times New Roman"/>
          <w:b/>
          <w:i/>
          <w:lang w:val="ro-RO"/>
        </w:rPr>
      </w:pPr>
      <w:bookmarkStart w:id="35" w:name="_Toc389657964"/>
      <w:r w:rsidRPr="004D2B0C">
        <w:rPr>
          <w:lang w:val="ro-RO"/>
        </w:rPr>
        <w:t>N</w:t>
      </w:r>
      <w:bookmarkEnd w:id="35"/>
      <w:r w:rsidR="004D2B0C" w:rsidRPr="004D2B0C">
        <w:rPr>
          <w:lang w:val="ro-RO"/>
        </w:rPr>
        <w:t>u se aplică</w:t>
      </w:r>
    </w:p>
    <w:p w:rsidR="004D2B0C" w:rsidRDefault="002564E4" w:rsidP="004D2B0C">
      <w:pPr>
        <w:rPr>
          <w:lang w:val="ro-RO"/>
        </w:rPr>
      </w:pPr>
      <w:bookmarkStart w:id="36" w:name="_Toc394837765"/>
      <w:r w:rsidRPr="00A77C97">
        <w:rPr>
          <w:rStyle w:val="Heading2Char"/>
          <w:rFonts w:eastAsia="Calibri"/>
          <w:lang w:val="ro-RO"/>
        </w:rPr>
        <w:t xml:space="preserve">2.A.6.4. </w:t>
      </w:r>
      <w:r w:rsidR="004D2B0C" w:rsidRPr="00A77C97">
        <w:rPr>
          <w:rStyle w:val="Heading2Char"/>
          <w:rFonts w:eastAsia="Calibri"/>
          <w:lang w:val="ro-RO"/>
        </w:rPr>
        <w:t>Utilizarea planificată a proiectelor majore</w:t>
      </w:r>
      <w:bookmarkEnd w:id="36"/>
      <w:r w:rsidR="004D2B0C" w:rsidRPr="004D2B0C">
        <w:rPr>
          <w:lang w:val="ro-RO"/>
        </w:rPr>
        <w:t xml:space="preserve"> (după caz)</w:t>
      </w:r>
      <w:bookmarkStart w:id="37" w:name="_Toc389657965"/>
    </w:p>
    <w:p w:rsidR="00A71DBE" w:rsidRDefault="004D2B0C" w:rsidP="00A71DBE">
      <w:pPr>
        <w:rPr>
          <w:lang w:val="ro-RO"/>
        </w:rPr>
      </w:pPr>
      <w:r w:rsidRPr="004D2B0C">
        <w:rPr>
          <w:lang w:val="ro-RO"/>
        </w:rPr>
        <w:t>Nu se aplică</w:t>
      </w:r>
    </w:p>
    <w:p w:rsidR="002564E4" w:rsidRPr="004D2B0C" w:rsidRDefault="002564E4" w:rsidP="00A71DBE">
      <w:pPr>
        <w:pStyle w:val="Heading2"/>
        <w:rPr>
          <w:lang w:val="fr-FR"/>
        </w:rPr>
      </w:pPr>
      <w:bookmarkStart w:id="38" w:name="_Toc394837766"/>
      <w:proofErr w:type="gramStart"/>
      <w:r w:rsidRPr="004D2B0C">
        <w:rPr>
          <w:lang w:val="fr-FR"/>
        </w:rPr>
        <w:lastRenderedPageBreak/>
        <w:t>2.A.6.5</w:t>
      </w:r>
      <w:proofErr w:type="gramEnd"/>
      <w:r w:rsidRPr="004D2B0C">
        <w:rPr>
          <w:lang w:val="fr-FR"/>
        </w:rPr>
        <w:t xml:space="preserve">. </w:t>
      </w:r>
      <w:bookmarkEnd w:id="37"/>
      <w:r w:rsidR="004D2B0C" w:rsidRPr="004D2B0C">
        <w:rPr>
          <w:lang w:val="fr-FR"/>
        </w:rPr>
        <w:t>Indicatori de realizare</w:t>
      </w:r>
      <w:bookmarkEnd w:id="38"/>
    </w:p>
    <w:p w:rsidR="002564E4" w:rsidRPr="004D2B0C" w:rsidRDefault="004D2B0C" w:rsidP="002E1C90">
      <w:pPr>
        <w:pStyle w:val="Heading2"/>
        <w:rPr>
          <w:lang w:val="fr-FR"/>
        </w:rPr>
      </w:pPr>
      <w:bookmarkStart w:id="39" w:name="_Toc394837767"/>
      <w:r w:rsidRPr="004D2B0C">
        <w:rPr>
          <w:lang w:val="fr-FR"/>
        </w:rPr>
        <w:t>Tabelul</w:t>
      </w:r>
      <w:r w:rsidR="002564E4" w:rsidRPr="004D2B0C">
        <w:rPr>
          <w:lang w:val="fr-FR"/>
        </w:rPr>
        <w:t xml:space="preserve"> 4: </w:t>
      </w:r>
      <w:r w:rsidRPr="004D2B0C">
        <w:rPr>
          <w:lang w:val="fr-FR"/>
        </w:rPr>
        <w:t>Indicatori de realizare comuni și specifici programulu</w:t>
      </w:r>
      <w:r>
        <w:rPr>
          <w:lang w:val="fr-FR"/>
        </w:rPr>
        <w:t>i</w:t>
      </w:r>
      <w:bookmarkEnd w:id="39"/>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2312"/>
        <w:gridCol w:w="1911"/>
        <w:gridCol w:w="1087"/>
        <w:gridCol w:w="1669"/>
        <w:gridCol w:w="1439"/>
      </w:tblGrid>
      <w:tr w:rsidR="002564E4" w:rsidRPr="000B7282" w:rsidTr="00620625">
        <w:trPr>
          <w:trHeight w:val="706"/>
          <w:jc w:val="center"/>
        </w:trPr>
        <w:tc>
          <w:tcPr>
            <w:tcW w:w="488" w:type="pct"/>
            <w:tcBorders>
              <w:top w:val="single" w:sz="4" w:space="0" w:color="000000"/>
              <w:left w:val="single" w:sz="4" w:space="0" w:color="000000"/>
              <w:bottom w:val="single" w:sz="4" w:space="0" w:color="000000"/>
              <w:right w:val="single" w:sz="4" w:space="0" w:color="000000"/>
            </w:tcBorders>
            <w:hideMark/>
          </w:tcPr>
          <w:p w:rsidR="002564E4" w:rsidRPr="00755688" w:rsidRDefault="002564E4" w:rsidP="005221A8">
            <w:pPr>
              <w:spacing w:after="240" w:line="276" w:lineRule="auto"/>
              <w:ind w:left="283" w:hanging="283"/>
              <w:jc w:val="center"/>
              <w:rPr>
                <w:rFonts w:eastAsia="Times New Roman"/>
                <w:b/>
                <w:sz w:val="20"/>
                <w:lang w:val="en-US"/>
              </w:rPr>
            </w:pPr>
            <w:r w:rsidRPr="00755688">
              <w:rPr>
                <w:rFonts w:eastAsia="Times New Roman"/>
                <w:b/>
                <w:sz w:val="20"/>
                <w:lang w:val="en-US"/>
              </w:rPr>
              <w:t>ID</w:t>
            </w:r>
          </w:p>
        </w:tc>
        <w:tc>
          <w:tcPr>
            <w:tcW w:w="1265" w:type="pct"/>
            <w:tcBorders>
              <w:top w:val="single" w:sz="4" w:space="0" w:color="000000"/>
              <w:left w:val="single" w:sz="4" w:space="0" w:color="000000"/>
              <w:bottom w:val="single" w:sz="4" w:space="0" w:color="000000"/>
              <w:right w:val="single" w:sz="4" w:space="0" w:color="000000"/>
            </w:tcBorders>
            <w:hideMark/>
          </w:tcPr>
          <w:p w:rsidR="002564E4" w:rsidRPr="00755688" w:rsidRDefault="004D2B0C" w:rsidP="005221A8">
            <w:pPr>
              <w:spacing w:after="240" w:line="276" w:lineRule="auto"/>
              <w:ind w:left="283" w:hanging="283"/>
              <w:jc w:val="center"/>
              <w:rPr>
                <w:rFonts w:eastAsia="Times New Roman"/>
                <w:b/>
                <w:sz w:val="20"/>
                <w:lang w:val="en-US"/>
              </w:rPr>
            </w:pPr>
            <w:r w:rsidRPr="00755688">
              <w:rPr>
                <w:rFonts w:eastAsia="Times New Roman"/>
                <w:b/>
                <w:sz w:val="20"/>
                <w:lang w:val="en-US"/>
              </w:rPr>
              <w:t>Indicator (denumirea indicatorului)</w:t>
            </w:r>
          </w:p>
        </w:tc>
        <w:tc>
          <w:tcPr>
            <w:tcW w:w="1049" w:type="pct"/>
            <w:tcBorders>
              <w:top w:val="single" w:sz="4" w:space="0" w:color="000000"/>
              <w:left w:val="single" w:sz="4" w:space="0" w:color="000000"/>
              <w:bottom w:val="single" w:sz="4" w:space="0" w:color="000000"/>
              <w:right w:val="single" w:sz="4" w:space="0" w:color="000000"/>
            </w:tcBorders>
            <w:hideMark/>
          </w:tcPr>
          <w:p w:rsidR="002564E4" w:rsidRPr="00755688" w:rsidRDefault="00755688" w:rsidP="005221A8">
            <w:pPr>
              <w:spacing w:after="240" w:line="276" w:lineRule="auto"/>
              <w:jc w:val="center"/>
              <w:rPr>
                <w:rFonts w:eastAsia="Times New Roman"/>
                <w:b/>
                <w:sz w:val="20"/>
                <w:lang w:val="en-US"/>
              </w:rPr>
            </w:pPr>
            <w:r w:rsidRPr="00755688">
              <w:rPr>
                <w:rFonts w:eastAsia="Times New Roman"/>
                <w:b/>
                <w:sz w:val="20"/>
                <w:lang w:val="en-US"/>
              </w:rPr>
              <w:t>Unitate de măsură</w:t>
            </w:r>
          </w:p>
        </w:tc>
        <w:tc>
          <w:tcPr>
            <w:tcW w:w="605" w:type="pct"/>
            <w:tcBorders>
              <w:top w:val="single" w:sz="4" w:space="0" w:color="000000"/>
              <w:left w:val="single" w:sz="4" w:space="0" w:color="000000"/>
              <w:bottom w:val="single" w:sz="4" w:space="0" w:color="000000"/>
              <w:right w:val="single" w:sz="4" w:space="0" w:color="000000"/>
            </w:tcBorders>
            <w:hideMark/>
          </w:tcPr>
          <w:p w:rsidR="002564E4" w:rsidRPr="00755688" w:rsidRDefault="00755688" w:rsidP="005221A8">
            <w:pPr>
              <w:spacing w:after="240" w:line="276" w:lineRule="auto"/>
              <w:jc w:val="center"/>
              <w:rPr>
                <w:rFonts w:eastAsia="Times New Roman"/>
                <w:b/>
                <w:sz w:val="20"/>
                <w:lang w:val="en-US"/>
              </w:rPr>
            </w:pPr>
            <w:r w:rsidRPr="00755688">
              <w:rPr>
                <w:rFonts w:eastAsia="Times New Roman"/>
                <w:b/>
                <w:sz w:val="20"/>
                <w:lang w:val="en-US"/>
              </w:rPr>
              <w:t>Valoarea-țintă</w:t>
            </w:r>
            <w:r w:rsidR="002564E4" w:rsidRPr="00755688">
              <w:rPr>
                <w:rFonts w:eastAsia="Times New Roman"/>
                <w:b/>
                <w:sz w:val="20"/>
                <w:lang w:val="en-US"/>
              </w:rPr>
              <w:t xml:space="preserve"> (2023)</w:t>
            </w:r>
          </w:p>
        </w:tc>
        <w:tc>
          <w:tcPr>
            <w:tcW w:w="797" w:type="pct"/>
            <w:tcBorders>
              <w:top w:val="single" w:sz="4" w:space="0" w:color="000000"/>
              <w:left w:val="single" w:sz="4" w:space="0" w:color="000000"/>
              <w:bottom w:val="single" w:sz="4" w:space="0" w:color="000000"/>
              <w:right w:val="single" w:sz="4" w:space="0" w:color="000000"/>
            </w:tcBorders>
            <w:hideMark/>
          </w:tcPr>
          <w:p w:rsidR="002564E4" w:rsidRPr="00755688" w:rsidRDefault="00755688" w:rsidP="00755688">
            <w:pPr>
              <w:spacing w:after="240" w:line="276" w:lineRule="auto"/>
              <w:jc w:val="center"/>
              <w:rPr>
                <w:rFonts w:eastAsia="Times New Roman"/>
                <w:b/>
                <w:sz w:val="20"/>
                <w:lang w:val="en-US"/>
              </w:rPr>
            </w:pPr>
            <w:r>
              <w:rPr>
                <w:rFonts w:eastAsia="Times New Roman"/>
                <w:b/>
                <w:sz w:val="20"/>
                <w:lang w:val="en-US"/>
              </w:rPr>
              <w:t>Sursa</w:t>
            </w:r>
            <w:r w:rsidR="002564E4" w:rsidRPr="00755688">
              <w:rPr>
                <w:rFonts w:eastAsia="Times New Roman"/>
                <w:b/>
                <w:sz w:val="20"/>
                <w:lang w:val="en-US"/>
              </w:rPr>
              <w:t xml:space="preserve"> dat</w:t>
            </w:r>
            <w:r>
              <w:rPr>
                <w:rFonts w:eastAsia="Times New Roman"/>
                <w:b/>
                <w:sz w:val="20"/>
                <w:lang w:val="en-US"/>
              </w:rPr>
              <w:t>elor</w:t>
            </w:r>
          </w:p>
        </w:tc>
        <w:tc>
          <w:tcPr>
            <w:tcW w:w="795" w:type="pct"/>
            <w:tcBorders>
              <w:top w:val="single" w:sz="4" w:space="0" w:color="000000"/>
              <w:left w:val="single" w:sz="4" w:space="0" w:color="000000"/>
              <w:bottom w:val="single" w:sz="4" w:space="0" w:color="000000"/>
              <w:right w:val="single" w:sz="4" w:space="0" w:color="000000"/>
            </w:tcBorders>
            <w:hideMark/>
          </w:tcPr>
          <w:p w:rsidR="002564E4" w:rsidRPr="00755688" w:rsidRDefault="00755688" w:rsidP="005221A8">
            <w:pPr>
              <w:spacing w:after="240" w:line="276" w:lineRule="auto"/>
              <w:jc w:val="center"/>
              <w:rPr>
                <w:rFonts w:eastAsia="Times New Roman"/>
                <w:b/>
                <w:sz w:val="20"/>
                <w:lang w:val="en-US"/>
              </w:rPr>
            </w:pPr>
            <w:r w:rsidRPr="00755688">
              <w:rPr>
                <w:rFonts w:eastAsia="Times New Roman"/>
                <w:b/>
                <w:sz w:val="20"/>
                <w:lang w:val="en-US"/>
              </w:rPr>
              <w:t>Frecvența raportării</w:t>
            </w:r>
          </w:p>
        </w:tc>
      </w:tr>
      <w:tr w:rsidR="002564E4" w:rsidRPr="000B7282" w:rsidTr="00620625">
        <w:trPr>
          <w:trHeight w:val="706"/>
          <w:jc w:val="center"/>
        </w:trPr>
        <w:tc>
          <w:tcPr>
            <w:tcW w:w="488" w:type="pct"/>
            <w:tcBorders>
              <w:top w:val="single" w:sz="4" w:space="0" w:color="000000"/>
              <w:left w:val="single" w:sz="4" w:space="0" w:color="000000"/>
              <w:bottom w:val="single" w:sz="4" w:space="0" w:color="000000"/>
              <w:right w:val="single" w:sz="4" w:space="0" w:color="000000"/>
            </w:tcBorders>
            <w:hideMark/>
          </w:tcPr>
          <w:p w:rsidR="002564E4" w:rsidRPr="00C002F6" w:rsidRDefault="00176887" w:rsidP="005221A8">
            <w:pPr>
              <w:spacing w:after="240" w:line="276" w:lineRule="auto"/>
              <w:jc w:val="center"/>
              <w:rPr>
                <w:rFonts w:eastAsia="Times New Roman"/>
                <w:b/>
                <w:sz w:val="20"/>
                <w:lang w:val="en-US"/>
              </w:rPr>
            </w:pPr>
            <w:r>
              <w:rPr>
                <w:szCs w:val="24"/>
                <w:lang w:val="en-US" w:eastAsia="en-US"/>
              </w:rPr>
              <w:t>CO14</w:t>
            </w:r>
            <w:r w:rsidR="002564E4" w:rsidRPr="00C002F6">
              <w:rPr>
                <w:szCs w:val="24"/>
                <w:lang w:val="en-US" w:eastAsia="en-US"/>
              </w:rPr>
              <w:t xml:space="preserve"> 1</w:t>
            </w:r>
          </w:p>
        </w:tc>
        <w:tc>
          <w:tcPr>
            <w:tcW w:w="1265" w:type="pct"/>
            <w:tcBorders>
              <w:top w:val="single" w:sz="4" w:space="0" w:color="000000"/>
              <w:left w:val="single" w:sz="4" w:space="0" w:color="000000"/>
              <w:bottom w:val="single" w:sz="4" w:space="0" w:color="000000"/>
              <w:right w:val="single" w:sz="4" w:space="0" w:color="000000"/>
            </w:tcBorders>
          </w:tcPr>
          <w:p w:rsidR="002564E4" w:rsidRPr="00A71DBE" w:rsidRDefault="00343B35" w:rsidP="00A71DBE">
            <w:pPr>
              <w:jc w:val="left"/>
              <w:rPr>
                <w:lang w:val="ro-RO"/>
              </w:rPr>
            </w:pPr>
            <w:r w:rsidRPr="00755688">
              <w:rPr>
                <w:lang w:val="ro-RO"/>
              </w:rPr>
              <w:t>Lungimea totală</w:t>
            </w:r>
            <w:r w:rsidR="00755688" w:rsidRPr="00755688">
              <w:rPr>
                <w:lang w:val="ro-RO"/>
              </w:rPr>
              <w:t xml:space="preserve"> a drumurilor reconstruite sau î</w:t>
            </w:r>
            <w:r w:rsidRPr="00755688">
              <w:rPr>
                <w:lang w:val="ro-RO"/>
              </w:rPr>
              <w:t>mbun</w:t>
            </w:r>
            <w:r w:rsidR="00755688" w:rsidRPr="00755688">
              <w:rPr>
                <w:lang w:val="ro-RO"/>
              </w:rPr>
              <w:t>ă</w:t>
            </w:r>
            <w:r w:rsidR="00755688">
              <w:rPr>
                <w:lang w:val="ro-RO"/>
              </w:rPr>
              <w:t>t</w:t>
            </w:r>
            <w:r w:rsidR="00755688" w:rsidRPr="00755688">
              <w:rPr>
                <w:lang w:val="ro-RO"/>
              </w:rPr>
              <w:t>ăț</w:t>
            </w:r>
            <w:r w:rsidR="00A71DBE">
              <w:rPr>
                <w:lang w:val="ro-RO"/>
              </w:rPr>
              <w:t>ite</w:t>
            </w:r>
          </w:p>
        </w:tc>
        <w:tc>
          <w:tcPr>
            <w:tcW w:w="1049" w:type="pct"/>
            <w:tcBorders>
              <w:top w:val="single" w:sz="4" w:space="0" w:color="000000"/>
              <w:left w:val="single" w:sz="4" w:space="0" w:color="000000"/>
              <w:bottom w:val="single" w:sz="4" w:space="0" w:color="000000"/>
              <w:right w:val="single" w:sz="4" w:space="0" w:color="000000"/>
            </w:tcBorders>
            <w:hideMark/>
          </w:tcPr>
          <w:p w:rsidR="002564E4" w:rsidRPr="00755688" w:rsidRDefault="00B27A21" w:rsidP="00755688">
            <w:pPr>
              <w:spacing w:after="240" w:line="276" w:lineRule="auto"/>
              <w:jc w:val="left"/>
              <w:rPr>
                <w:szCs w:val="24"/>
                <w:lang w:val="fr-FR"/>
              </w:rPr>
            </w:pPr>
            <w:r w:rsidRPr="00755688">
              <w:rPr>
                <w:szCs w:val="24"/>
                <w:lang w:val="fr-FR"/>
              </w:rPr>
              <w:t>K</w:t>
            </w:r>
            <w:r w:rsidR="002564E4" w:rsidRPr="00755688">
              <w:rPr>
                <w:szCs w:val="24"/>
                <w:lang w:val="fr-FR"/>
              </w:rPr>
              <w:t>m</w:t>
            </w:r>
            <w:r w:rsidR="00755688">
              <w:rPr>
                <w:szCs w:val="24"/>
                <w:lang w:val="fr-FR"/>
              </w:rPr>
              <w:t xml:space="preserve">de </w:t>
            </w:r>
            <w:r w:rsidR="00062FB5" w:rsidRPr="00755688">
              <w:rPr>
                <w:lang w:val="ro-RO"/>
              </w:rPr>
              <w:t>drumuri</w:t>
            </w:r>
            <w:r w:rsidR="00755688" w:rsidRPr="00755688">
              <w:rPr>
                <w:lang w:val="ro-RO"/>
              </w:rPr>
              <w:t xml:space="preserve"> reconstruite sau îmbună</w:t>
            </w:r>
            <w:r w:rsidR="00755688">
              <w:rPr>
                <w:lang w:val="ro-RO"/>
              </w:rPr>
              <w:t>t</w:t>
            </w:r>
            <w:r w:rsidR="00755688" w:rsidRPr="00755688">
              <w:rPr>
                <w:lang w:val="ro-RO"/>
              </w:rPr>
              <w:t>ățite</w:t>
            </w:r>
          </w:p>
        </w:tc>
        <w:tc>
          <w:tcPr>
            <w:tcW w:w="605" w:type="pct"/>
            <w:tcBorders>
              <w:top w:val="single" w:sz="4" w:space="0" w:color="000000"/>
              <w:left w:val="single" w:sz="4" w:space="0" w:color="000000"/>
              <w:bottom w:val="single" w:sz="4" w:space="0" w:color="000000"/>
              <w:right w:val="single" w:sz="4" w:space="0" w:color="000000"/>
            </w:tcBorders>
          </w:tcPr>
          <w:p w:rsidR="002564E4" w:rsidRPr="00C002F6" w:rsidRDefault="00356CBE" w:rsidP="005221A8">
            <w:pPr>
              <w:spacing w:after="240" w:line="276" w:lineRule="auto"/>
              <w:rPr>
                <w:rFonts w:eastAsia="Times New Roman"/>
                <w:sz w:val="20"/>
                <w:lang w:val="en-US"/>
              </w:rPr>
            </w:pPr>
            <w:r w:rsidRPr="00C002F6">
              <w:rPr>
                <w:rFonts w:eastAsia="Times New Roman"/>
                <w:lang w:val="en-US"/>
              </w:rPr>
              <w:t>120 KM</w:t>
            </w:r>
          </w:p>
        </w:tc>
        <w:tc>
          <w:tcPr>
            <w:tcW w:w="797" w:type="pct"/>
            <w:tcBorders>
              <w:top w:val="single" w:sz="4" w:space="0" w:color="000000"/>
              <w:left w:val="single" w:sz="4" w:space="0" w:color="000000"/>
              <w:bottom w:val="single" w:sz="4" w:space="0" w:color="000000"/>
              <w:right w:val="single" w:sz="4" w:space="0" w:color="000000"/>
            </w:tcBorders>
            <w:hideMark/>
          </w:tcPr>
          <w:p w:rsidR="002564E4" w:rsidRPr="007173F3" w:rsidRDefault="007173F3" w:rsidP="007173F3">
            <w:pPr>
              <w:spacing w:before="0" w:after="0"/>
              <w:jc w:val="left"/>
              <w:rPr>
                <w:b/>
                <w:bCs/>
                <w:szCs w:val="26"/>
                <w:lang w:val="fr-FR"/>
              </w:rPr>
            </w:pPr>
            <w:r w:rsidRPr="00461E3D">
              <w:rPr>
                <w:color w:val="000000"/>
                <w:szCs w:val="24"/>
              </w:rPr>
              <w:t>Rapoarte demonitorizare</w:t>
            </w:r>
          </w:p>
        </w:tc>
        <w:tc>
          <w:tcPr>
            <w:tcW w:w="795" w:type="pct"/>
            <w:tcBorders>
              <w:top w:val="single" w:sz="4" w:space="0" w:color="000000"/>
              <w:left w:val="single" w:sz="4" w:space="0" w:color="000000"/>
              <w:bottom w:val="single" w:sz="4" w:space="0" w:color="000000"/>
              <w:right w:val="single" w:sz="4" w:space="0" w:color="000000"/>
            </w:tcBorders>
            <w:hideMark/>
          </w:tcPr>
          <w:p w:rsidR="002564E4" w:rsidRPr="00755688" w:rsidRDefault="00755688" w:rsidP="005221A8">
            <w:pPr>
              <w:spacing w:after="240" w:line="276" w:lineRule="auto"/>
              <w:rPr>
                <w:rFonts w:eastAsia="Times New Roman"/>
                <w:szCs w:val="24"/>
                <w:lang w:val="en-US"/>
              </w:rPr>
            </w:pPr>
            <w:r w:rsidRPr="00755688">
              <w:rPr>
                <w:rFonts w:eastAsia="Times New Roman"/>
                <w:szCs w:val="24"/>
                <w:lang w:val="en-US"/>
              </w:rPr>
              <w:t>A</w:t>
            </w:r>
            <w:r w:rsidR="002564E4" w:rsidRPr="00755688">
              <w:rPr>
                <w:rFonts w:eastAsia="Times New Roman"/>
                <w:szCs w:val="24"/>
                <w:lang w:val="en-US"/>
              </w:rPr>
              <w:t>nual</w:t>
            </w:r>
          </w:p>
        </w:tc>
      </w:tr>
      <w:tr w:rsidR="002564E4" w:rsidRPr="000B7282" w:rsidTr="00C7379D">
        <w:trPr>
          <w:trHeight w:val="79"/>
          <w:jc w:val="center"/>
        </w:trPr>
        <w:tc>
          <w:tcPr>
            <w:tcW w:w="488" w:type="pct"/>
            <w:tcBorders>
              <w:top w:val="single" w:sz="4" w:space="0" w:color="000000"/>
              <w:left w:val="single" w:sz="4" w:space="0" w:color="000000"/>
              <w:bottom w:val="single" w:sz="4" w:space="0" w:color="000000"/>
              <w:right w:val="single" w:sz="4" w:space="0" w:color="000000"/>
            </w:tcBorders>
            <w:hideMark/>
          </w:tcPr>
          <w:p w:rsidR="002564E4" w:rsidRPr="00C002F6" w:rsidRDefault="002564E4" w:rsidP="00176887">
            <w:pPr>
              <w:spacing w:after="240" w:line="276" w:lineRule="auto"/>
              <w:jc w:val="center"/>
              <w:rPr>
                <w:szCs w:val="24"/>
                <w:lang w:val="en-US" w:eastAsia="en-US"/>
              </w:rPr>
            </w:pPr>
            <w:r w:rsidRPr="00C002F6">
              <w:rPr>
                <w:szCs w:val="24"/>
                <w:lang w:val="en-US" w:eastAsia="en-US"/>
              </w:rPr>
              <w:t>7b.</w:t>
            </w:r>
            <w:r w:rsidR="00176887">
              <w:rPr>
                <w:szCs w:val="24"/>
                <w:lang w:val="en-US" w:eastAsia="en-US"/>
              </w:rPr>
              <w:t>1</w:t>
            </w:r>
          </w:p>
        </w:tc>
        <w:tc>
          <w:tcPr>
            <w:tcW w:w="1265" w:type="pct"/>
            <w:tcBorders>
              <w:top w:val="single" w:sz="4" w:space="0" w:color="000000"/>
              <w:left w:val="single" w:sz="4" w:space="0" w:color="000000"/>
              <w:bottom w:val="single" w:sz="4" w:space="0" w:color="000000"/>
              <w:right w:val="single" w:sz="4" w:space="0" w:color="000000"/>
            </w:tcBorders>
          </w:tcPr>
          <w:p w:rsidR="002564E4" w:rsidRPr="00A71DBE" w:rsidRDefault="00062FB5" w:rsidP="00A71DBE">
            <w:pPr>
              <w:jc w:val="left"/>
              <w:rPr>
                <w:lang w:val="ro-RO"/>
              </w:rPr>
            </w:pPr>
            <w:r w:rsidRPr="00755688">
              <w:rPr>
                <w:lang w:val="ro-RO"/>
              </w:rPr>
              <w:t xml:space="preserve">Numărul de mecanisme comune (ex. îndrumare de traseu, detectarea și managementul  incidentelor/ urgențelor, studii de fluență a circulației, studii de fezabilitate pentru aspecte de transport tranfrontalier, măsuri de siguranță în trafic, </w:t>
            </w:r>
            <w:r w:rsidR="0079666E" w:rsidRPr="0079666E">
              <w:rPr>
                <w:lang w:val="ro-RO"/>
              </w:rPr>
              <w:t>hărți cu</w:t>
            </w:r>
            <w:r w:rsidRPr="0079666E">
              <w:rPr>
                <w:lang w:val="ro-RO"/>
              </w:rPr>
              <w:t xml:space="preserve"> puncte negre</w:t>
            </w:r>
            <w:r w:rsidR="00E8711B">
              <w:rPr>
                <w:lang w:val="ro-RO"/>
              </w:rPr>
              <w:t>, activităţi de creştere a conştientiză</w:t>
            </w:r>
            <w:r w:rsidRPr="00755688">
              <w:rPr>
                <w:lang w:val="ro-RO"/>
              </w:rPr>
              <w:t>rii) de facilitare a conectării nodurilor secundare/te</w:t>
            </w:r>
            <w:r w:rsidR="00A71DBE">
              <w:rPr>
                <w:lang w:val="ro-RO"/>
              </w:rPr>
              <w:t xml:space="preserve">rțiare la infrastructura TEN-T </w:t>
            </w:r>
          </w:p>
        </w:tc>
        <w:tc>
          <w:tcPr>
            <w:tcW w:w="1049" w:type="pct"/>
            <w:tcBorders>
              <w:top w:val="single" w:sz="4" w:space="0" w:color="000000"/>
              <w:left w:val="single" w:sz="4" w:space="0" w:color="000000"/>
              <w:bottom w:val="single" w:sz="4" w:space="0" w:color="000000"/>
              <w:right w:val="single" w:sz="4" w:space="0" w:color="000000"/>
            </w:tcBorders>
            <w:hideMark/>
          </w:tcPr>
          <w:p w:rsidR="002564E4" w:rsidRPr="00755688" w:rsidRDefault="00062FB5" w:rsidP="00176887">
            <w:pPr>
              <w:spacing w:after="240" w:line="276" w:lineRule="auto"/>
              <w:jc w:val="left"/>
              <w:rPr>
                <w:szCs w:val="24"/>
                <w:lang w:val="fr-FR"/>
              </w:rPr>
            </w:pPr>
            <w:r w:rsidRPr="00755688">
              <w:rPr>
                <w:lang w:val="ro-RO"/>
              </w:rPr>
              <w:t>Numărul de mecanisme de facilitare a conectării</w:t>
            </w:r>
          </w:p>
        </w:tc>
        <w:tc>
          <w:tcPr>
            <w:tcW w:w="605" w:type="pct"/>
            <w:tcBorders>
              <w:top w:val="single" w:sz="4" w:space="0" w:color="000000"/>
              <w:left w:val="single" w:sz="4" w:space="0" w:color="000000"/>
              <w:bottom w:val="single" w:sz="4" w:space="0" w:color="000000"/>
              <w:right w:val="single" w:sz="4" w:space="0" w:color="000000"/>
            </w:tcBorders>
            <w:vAlign w:val="center"/>
          </w:tcPr>
          <w:p w:rsidR="002564E4" w:rsidRPr="00B749E7" w:rsidRDefault="00C22C01" w:rsidP="00C7379D">
            <w:pPr>
              <w:spacing w:after="240" w:line="276" w:lineRule="auto"/>
              <w:jc w:val="center"/>
              <w:rPr>
                <w:rFonts w:eastAsia="Times New Roman"/>
                <w:szCs w:val="24"/>
                <w:lang w:val="en-US"/>
              </w:rPr>
            </w:pPr>
            <w:r w:rsidRPr="00B749E7">
              <w:rPr>
                <w:rFonts w:eastAsia="Times New Roman"/>
                <w:szCs w:val="24"/>
                <w:lang w:val="en-US"/>
              </w:rPr>
              <w:t>30</w:t>
            </w:r>
          </w:p>
        </w:tc>
        <w:tc>
          <w:tcPr>
            <w:tcW w:w="797" w:type="pct"/>
            <w:tcBorders>
              <w:top w:val="single" w:sz="4" w:space="0" w:color="000000"/>
              <w:left w:val="single" w:sz="4" w:space="0" w:color="000000"/>
              <w:bottom w:val="single" w:sz="4" w:space="0" w:color="000000"/>
              <w:right w:val="single" w:sz="4" w:space="0" w:color="000000"/>
            </w:tcBorders>
            <w:hideMark/>
          </w:tcPr>
          <w:p w:rsidR="002564E4" w:rsidRPr="007173F3" w:rsidRDefault="007173F3" w:rsidP="007173F3">
            <w:pPr>
              <w:spacing w:before="0" w:after="0"/>
              <w:jc w:val="left"/>
              <w:rPr>
                <w:b/>
                <w:bCs/>
                <w:szCs w:val="26"/>
                <w:lang w:val="fr-FR"/>
              </w:rPr>
            </w:pPr>
            <w:r w:rsidRPr="00461E3D">
              <w:rPr>
                <w:color w:val="000000"/>
                <w:szCs w:val="24"/>
              </w:rPr>
              <w:t>Rapoarte demonitorizare</w:t>
            </w:r>
          </w:p>
        </w:tc>
        <w:tc>
          <w:tcPr>
            <w:tcW w:w="795" w:type="pct"/>
            <w:tcBorders>
              <w:top w:val="single" w:sz="4" w:space="0" w:color="000000"/>
              <w:left w:val="single" w:sz="4" w:space="0" w:color="000000"/>
              <w:bottom w:val="single" w:sz="4" w:space="0" w:color="000000"/>
              <w:right w:val="single" w:sz="4" w:space="0" w:color="000000"/>
            </w:tcBorders>
            <w:hideMark/>
          </w:tcPr>
          <w:p w:rsidR="002564E4" w:rsidRPr="00755688" w:rsidRDefault="00755688" w:rsidP="005221A8">
            <w:pPr>
              <w:spacing w:after="240" w:line="276" w:lineRule="auto"/>
              <w:rPr>
                <w:rFonts w:eastAsia="Times New Roman"/>
                <w:szCs w:val="24"/>
                <w:lang w:val="en-US"/>
              </w:rPr>
            </w:pPr>
            <w:r w:rsidRPr="00755688">
              <w:rPr>
                <w:rFonts w:eastAsia="Times New Roman"/>
                <w:szCs w:val="24"/>
                <w:lang w:val="en-US"/>
              </w:rPr>
              <w:t>A</w:t>
            </w:r>
            <w:r w:rsidR="002564E4" w:rsidRPr="00755688">
              <w:rPr>
                <w:rFonts w:eastAsia="Times New Roman"/>
                <w:szCs w:val="24"/>
                <w:lang w:val="en-US"/>
              </w:rPr>
              <w:t>nual</w:t>
            </w:r>
          </w:p>
        </w:tc>
      </w:tr>
    </w:tbl>
    <w:p w:rsidR="002564E4" w:rsidRPr="00C002F6" w:rsidRDefault="002564E4" w:rsidP="002564E4">
      <w:pPr>
        <w:spacing w:line="276" w:lineRule="auto"/>
        <w:rPr>
          <w:b/>
          <w:lang w:val="en-US"/>
        </w:rPr>
      </w:pPr>
    </w:p>
    <w:p w:rsidR="002564E4" w:rsidRPr="00755688" w:rsidRDefault="002564E4" w:rsidP="002E1C90">
      <w:pPr>
        <w:pStyle w:val="Heading2"/>
        <w:rPr>
          <w:lang w:val="en-US"/>
        </w:rPr>
      </w:pPr>
      <w:bookmarkStart w:id="40" w:name="_Toc394837768"/>
      <w:proofErr w:type="gramStart"/>
      <w:r w:rsidRPr="00755688">
        <w:rPr>
          <w:lang w:val="en-US"/>
        </w:rPr>
        <w:t>2.A.4</w:t>
      </w:r>
      <w:proofErr w:type="gramEnd"/>
      <w:r w:rsidRPr="00755688">
        <w:rPr>
          <w:lang w:val="en-US"/>
        </w:rPr>
        <w:t xml:space="preserve">. </w:t>
      </w:r>
      <w:r w:rsidR="00755688" w:rsidRPr="00755688">
        <w:rPr>
          <w:lang w:val="en-US"/>
        </w:rPr>
        <w:t>Prioritatea de investiții</w:t>
      </w:r>
      <w:bookmarkEnd w:id="40"/>
    </w:p>
    <w:p w:rsidR="002564E4" w:rsidRPr="00755688" w:rsidRDefault="00755688" w:rsidP="00311248">
      <w:pPr>
        <w:pStyle w:val="Heading4"/>
        <w:rPr>
          <w:lang w:val="en-US"/>
        </w:rPr>
      </w:pPr>
      <w:bookmarkStart w:id="41" w:name="_Toc394837769"/>
      <w:r>
        <w:rPr>
          <w:color w:val="365F91"/>
          <w:lang w:val="en-US"/>
        </w:rPr>
        <w:t xml:space="preserve">Prioritatea de investiții </w:t>
      </w:r>
      <w:r w:rsidR="002564E4" w:rsidRPr="00755688">
        <w:rPr>
          <w:color w:val="365F91"/>
          <w:lang w:val="en-US"/>
        </w:rPr>
        <w:t xml:space="preserve">7c: </w:t>
      </w:r>
      <w:r w:rsidR="00CD3CE0" w:rsidRPr="00CD3CE0">
        <w:rPr>
          <w:color w:val="365F91"/>
          <w:lang w:val="en-US"/>
        </w:rPr>
        <w:t>dezvoltarea și îmbunătățirea unor sisteme de transport care respectă mediul, inclusiv a celor cu zgomot redus, și care au emisii reduse de carbon, inclusiv a căilor navigabile interioare și a sistemelor de transport maritim, a porturilor, a legăturilor multimodale și infrastructurilor aeroportuare, cu scopul de a promova mobilitatea dura</w:t>
      </w:r>
      <w:r w:rsidR="00CD3CE0">
        <w:rPr>
          <w:color w:val="365F91"/>
          <w:lang w:val="en-US"/>
        </w:rPr>
        <w:t>bilă la nivel regional și local</w:t>
      </w:r>
      <w:bookmarkEnd w:id="41"/>
    </w:p>
    <w:p w:rsidR="00A71DBE" w:rsidRDefault="00A71DBE" w:rsidP="002E1C90">
      <w:pPr>
        <w:pStyle w:val="Heading2"/>
        <w:rPr>
          <w:lang w:val="en-US"/>
        </w:rPr>
        <w:sectPr w:rsidR="00A71DBE">
          <w:pgSz w:w="11906" w:h="16838"/>
          <w:pgMar w:top="1021" w:right="1418" w:bottom="1021" w:left="1418" w:header="601" w:footer="1077" w:gutter="0"/>
          <w:cols w:space="720"/>
        </w:sectPr>
      </w:pPr>
    </w:p>
    <w:p w:rsidR="002564E4" w:rsidRPr="006F7519" w:rsidRDefault="002564E4" w:rsidP="002E1C90">
      <w:pPr>
        <w:pStyle w:val="Heading2"/>
        <w:rPr>
          <w:lang w:val="it-IT"/>
        </w:rPr>
      </w:pPr>
      <w:bookmarkStart w:id="42" w:name="_Toc394837770"/>
      <w:r w:rsidRPr="006F7519">
        <w:rPr>
          <w:lang w:val="it-IT"/>
        </w:rPr>
        <w:lastRenderedPageBreak/>
        <w:t xml:space="preserve">2.A.5. </w:t>
      </w:r>
      <w:r w:rsidR="00CD3CE0" w:rsidRPr="006F7519">
        <w:rPr>
          <w:lang w:val="it-IT"/>
        </w:rPr>
        <w:t>Obiective specifice corespunzătoare priorității de investiții și rezultate preconizate</w:t>
      </w:r>
      <w:bookmarkEnd w:id="42"/>
    </w:p>
    <w:tbl>
      <w:tblPr>
        <w:tblStyle w:val="TableGrid2"/>
        <w:tblW w:w="10944" w:type="dxa"/>
        <w:jc w:val="center"/>
        <w:tblLook w:val="04A0" w:firstRow="1" w:lastRow="0" w:firstColumn="1" w:lastColumn="0" w:noHBand="0" w:noVBand="1"/>
      </w:tblPr>
      <w:tblGrid>
        <w:gridCol w:w="2736"/>
        <w:gridCol w:w="8208"/>
      </w:tblGrid>
      <w:tr w:rsidR="00736205" w:rsidRPr="00A71DBE" w:rsidTr="00BC5673">
        <w:trPr>
          <w:jc w:val="center"/>
        </w:trPr>
        <w:tc>
          <w:tcPr>
            <w:tcW w:w="2736" w:type="dxa"/>
          </w:tcPr>
          <w:p w:rsidR="00736205" w:rsidRPr="00A71DBE" w:rsidRDefault="00736205" w:rsidP="00BC5673">
            <w:pPr>
              <w:spacing w:before="60" w:after="0"/>
              <w:rPr>
                <w:rFonts w:eastAsia="Times New Roman"/>
                <w:b/>
                <w:i/>
                <w:sz w:val="22"/>
                <w:szCs w:val="22"/>
                <w:lang w:val="en-US" w:eastAsia="en-US"/>
              </w:rPr>
            </w:pPr>
            <w:r w:rsidRPr="00A71DBE">
              <w:rPr>
                <w:rFonts w:eastAsia="Times New Roman"/>
                <w:b/>
                <w:i/>
                <w:sz w:val="22"/>
                <w:szCs w:val="22"/>
                <w:lang w:val="en-US" w:eastAsia="en-US"/>
              </w:rPr>
              <w:t>ID</w:t>
            </w:r>
          </w:p>
        </w:tc>
        <w:tc>
          <w:tcPr>
            <w:tcW w:w="8208" w:type="dxa"/>
          </w:tcPr>
          <w:p w:rsidR="00736205" w:rsidRPr="00A71DBE" w:rsidRDefault="00736205" w:rsidP="00BC5673">
            <w:pPr>
              <w:spacing w:before="60" w:after="0"/>
              <w:rPr>
                <w:rFonts w:eastAsia="Times New Roman"/>
                <w:b/>
                <w:sz w:val="22"/>
                <w:szCs w:val="22"/>
                <w:lang w:val="en-US" w:eastAsia="en-US"/>
              </w:rPr>
            </w:pPr>
          </w:p>
        </w:tc>
      </w:tr>
      <w:tr w:rsidR="00736205" w:rsidRPr="00A158A9" w:rsidTr="00BC5673">
        <w:trPr>
          <w:jc w:val="center"/>
        </w:trPr>
        <w:tc>
          <w:tcPr>
            <w:tcW w:w="2736" w:type="dxa"/>
          </w:tcPr>
          <w:p w:rsidR="00736205" w:rsidRPr="00A71DBE" w:rsidRDefault="00CD3CE0" w:rsidP="00CD3CE0">
            <w:pPr>
              <w:spacing w:before="60" w:after="0"/>
              <w:rPr>
                <w:rFonts w:eastAsia="Times New Roman"/>
                <w:b/>
                <w:i/>
                <w:sz w:val="22"/>
                <w:szCs w:val="22"/>
                <w:lang w:val="en-US" w:eastAsia="en-US"/>
              </w:rPr>
            </w:pPr>
            <w:r w:rsidRPr="00A71DBE">
              <w:rPr>
                <w:rFonts w:eastAsia="Times New Roman"/>
                <w:b/>
                <w:i/>
                <w:sz w:val="22"/>
                <w:szCs w:val="22"/>
                <w:lang w:val="en-US" w:eastAsia="en-US"/>
              </w:rPr>
              <w:t>Obiectiv Specific</w:t>
            </w:r>
            <w:r w:rsidR="00736205" w:rsidRPr="00A71DBE">
              <w:rPr>
                <w:rFonts w:eastAsia="Times New Roman"/>
                <w:b/>
                <w:i/>
                <w:sz w:val="22"/>
                <w:szCs w:val="22"/>
                <w:lang w:val="en-US" w:eastAsia="en-US"/>
              </w:rPr>
              <w:t xml:space="preserve"> 1.2</w:t>
            </w:r>
          </w:p>
        </w:tc>
        <w:tc>
          <w:tcPr>
            <w:tcW w:w="8208" w:type="dxa"/>
          </w:tcPr>
          <w:p w:rsidR="00736205" w:rsidRPr="00A71DBE" w:rsidRDefault="00124CCC" w:rsidP="00CD3CE0">
            <w:pPr>
              <w:spacing w:before="60" w:after="0"/>
              <w:rPr>
                <w:rFonts w:eastAsia="Times New Roman"/>
                <w:b/>
                <w:sz w:val="22"/>
                <w:szCs w:val="22"/>
                <w:lang w:val="fr-FR" w:eastAsia="en-US"/>
              </w:rPr>
            </w:pPr>
            <w:r w:rsidRPr="00A71DBE">
              <w:rPr>
                <w:rFonts w:eastAsia="Times New Roman"/>
                <w:b/>
                <w:sz w:val="22"/>
                <w:szCs w:val="22"/>
                <w:lang w:val="fr-FR" w:eastAsia="en-US"/>
              </w:rPr>
              <w:t>Creșterea siguranței transportului pe căile fluviale sau maritime</w:t>
            </w:r>
          </w:p>
        </w:tc>
      </w:tr>
      <w:tr w:rsidR="00736205" w:rsidRPr="00A158A9" w:rsidTr="00BC5673">
        <w:trPr>
          <w:jc w:val="center"/>
        </w:trPr>
        <w:tc>
          <w:tcPr>
            <w:tcW w:w="2736" w:type="dxa"/>
          </w:tcPr>
          <w:p w:rsidR="00736205" w:rsidRPr="006F7519" w:rsidRDefault="00CD3CE0" w:rsidP="00BC5673">
            <w:pPr>
              <w:spacing w:before="60" w:after="0"/>
              <w:rPr>
                <w:rFonts w:eastAsia="Times New Roman"/>
                <w:b/>
                <w:i/>
                <w:sz w:val="22"/>
                <w:szCs w:val="22"/>
                <w:lang w:val="it-IT" w:eastAsia="en-US"/>
              </w:rPr>
            </w:pPr>
            <w:r w:rsidRPr="006F7519">
              <w:rPr>
                <w:rFonts w:eastAsia="Times New Roman"/>
                <w:b/>
                <w:i/>
                <w:sz w:val="22"/>
                <w:szCs w:val="22"/>
                <w:lang w:val="it-IT" w:eastAsia="en-US"/>
              </w:rPr>
              <w:t>Rezultatele pe care statul membru caută să le obțină prin sprijinul din partea Uniunii</w:t>
            </w:r>
          </w:p>
        </w:tc>
        <w:tc>
          <w:tcPr>
            <w:tcW w:w="8208" w:type="dxa"/>
          </w:tcPr>
          <w:p w:rsidR="00A71DBE" w:rsidRPr="00BA77BE" w:rsidRDefault="00A71DBE" w:rsidP="00A71DBE">
            <w:pPr>
              <w:rPr>
                <w:rFonts w:eastAsia="Times New Roman"/>
                <w:sz w:val="22"/>
                <w:szCs w:val="22"/>
                <w:lang w:val="fr-FR"/>
              </w:rPr>
            </w:pPr>
            <w:r w:rsidRPr="00BA77BE">
              <w:rPr>
                <w:rFonts w:eastAsia="Times New Roman"/>
                <w:sz w:val="22"/>
                <w:szCs w:val="22"/>
                <w:lang w:val="fr-FR"/>
              </w:rPr>
              <w:t xml:space="preserve">Zona transfrontalieră RO-BG trebuie să profite de pe urma faptului că mari linii de transport maritim pot considera sau deja consideră porturile Mării Negre drept porturile lor naturale pentru UE. Prin urmare, există o adevărată oportunitate pentru zona transfrontalieră de a profita de transferul de producţie şi activităţi de asamblare din Europa de Vest şi Asia pentru a deveni poarta asiatică pentru Europa Centrală şi de Est via porturile din Marea Neagră şi unul </w:t>
            </w:r>
            <w:r w:rsidR="00BA77BE" w:rsidRPr="00BA77BE">
              <w:rPr>
                <w:rFonts w:eastAsia="Times New Roman"/>
                <w:sz w:val="22"/>
                <w:szCs w:val="22"/>
                <w:lang w:val="fr-FR"/>
              </w:rPr>
              <w:t xml:space="preserve">din </w:t>
            </w:r>
            <w:r w:rsidRPr="00BA77BE">
              <w:rPr>
                <w:rFonts w:eastAsia="Times New Roman"/>
                <w:sz w:val="22"/>
                <w:szCs w:val="22"/>
                <w:lang w:val="fr-FR"/>
              </w:rPr>
              <w:t xml:space="preserve">centrele de distribuţie UE. Potrivit Băncii Mondiale, Europa Centrală şi </w:t>
            </w:r>
            <w:proofErr w:type="gramStart"/>
            <w:r w:rsidRPr="00BA77BE">
              <w:rPr>
                <w:rFonts w:eastAsia="Times New Roman"/>
                <w:sz w:val="22"/>
                <w:szCs w:val="22"/>
                <w:lang w:val="fr-FR"/>
              </w:rPr>
              <w:t>de Est (CEE), inclusiv Austria, reprezintă astăzi mai mult de 12% din PIB-ul</w:t>
            </w:r>
            <w:proofErr w:type="gramEnd"/>
            <w:r w:rsidRPr="00BA77BE">
              <w:rPr>
                <w:rFonts w:eastAsia="Times New Roman"/>
                <w:sz w:val="22"/>
                <w:szCs w:val="22"/>
                <w:lang w:val="fr-FR"/>
              </w:rPr>
              <w:t xml:space="preserve"> UE, totuşi regiunea atrage mai puţin de 1% din încărcăturile maritime care vin în Europa. Acesta este un dezechilibru uriaş, întrucât mărfurile şi bunurile vrac care vin preponderent din Asia de Est şi Orientul Mijlociu, care ar putea intra în regiune direct, tranzitează în prezent Europa de Nord-Vest. Prin urmare, este nevoie să se promoveze dezvoltarea porturilor de la Marea Neagră şi să se facă în aşa fel încât regiunea transfrontalieră să apară ca poarta de intrare internaţională a UE dinspre est: un nod comercial de întâlnire şi activităţi</w:t>
            </w:r>
            <w:r w:rsidR="0079666E">
              <w:rPr>
                <w:rFonts w:eastAsia="Times New Roman"/>
                <w:sz w:val="22"/>
                <w:szCs w:val="22"/>
                <w:lang w:val="fr-FR"/>
              </w:rPr>
              <w:t xml:space="preserve"> de prelucrare</w:t>
            </w:r>
            <w:r w:rsidRPr="00BA77BE">
              <w:rPr>
                <w:rFonts w:eastAsia="Times New Roman"/>
                <w:sz w:val="22"/>
                <w:szCs w:val="22"/>
                <w:lang w:val="fr-FR"/>
              </w:rPr>
              <w:t xml:space="preserve"> a produselor, care deserveşte pieţelor Europei Centrale şi de Est (CEE) şi Mării Negre. Crearea unei rute atât de directe va atrage beneficii suplimentare, cum ar fi reducerea emisiilor de CO2 şi va crea noi oportunităţi de afaceri pentru zona transfrontalieră (brokeri, companii de depozitare, transport) şi va atrage investiţii noi. Într-adevăr, oportunităţile </w:t>
            </w:r>
            <w:r w:rsidR="00BA77BE">
              <w:rPr>
                <w:rFonts w:eastAsia="Times New Roman"/>
                <w:sz w:val="22"/>
                <w:szCs w:val="22"/>
                <w:lang w:val="fr-FR"/>
              </w:rPr>
              <w:t>de a creşte atragerea investițiilor</w:t>
            </w:r>
            <w:r w:rsidRPr="00BA77BE">
              <w:rPr>
                <w:rFonts w:eastAsia="Times New Roman"/>
                <w:sz w:val="22"/>
                <w:szCs w:val="22"/>
                <w:lang w:val="fr-FR"/>
              </w:rPr>
              <w:t xml:space="preserve"> în zona transfrontalieră sunt strâns legate de dezvoltarea centrelor de distribuţie, îmbunătăţirea iniţiativelor comerciale de tranzit, asigurarea de depozite specializate şi o mai bună infrastructură de transport. Porturile trebuie modernizate şi aliniate la cerinţe multimodale pentru a juca un rol mai însemnat nu doar în termenii accesibilităţii, ci şi ca locuri optime pentru concentrarea afacerilor şi industriei.</w:t>
            </w:r>
          </w:p>
          <w:p w:rsidR="00A71DBE" w:rsidRPr="00BA77BE" w:rsidRDefault="00A71DBE" w:rsidP="00A71DBE">
            <w:pPr>
              <w:rPr>
                <w:rFonts w:eastAsia="Times New Roman"/>
                <w:sz w:val="22"/>
                <w:szCs w:val="22"/>
                <w:lang w:val="fr-FR"/>
              </w:rPr>
            </w:pPr>
            <w:r w:rsidRPr="00BA77BE">
              <w:rPr>
                <w:rFonts w:eastAsia="Times New Roman"/>
                <w:sz w:val="22"/>
                <w:szCs w:val="22"/>
                <w:lang w:val="fr-FR"/>
              </w:rPr>
              <w:t xml:space="preserve">Mai mult, mobilitatea durabilă este un obiectiv clar al Europa 2020, precum şi politica de transport comună europeană. Având în vedere că navigaţia în interiorul continentului are un impact ecologic relativ mai mic (emite de 3,5 ori mai puţin CO2 per tonă-kilometru decât camioanele) este un mijloc de transport important. Conform EUSDR, pentru navigaţia în interiorul continentului, fluviul Dunărea nu este folosit </w:t>
            </w:r>
            <w:proofErr w:type="gramStart"/>
            <w:r w:rsidRPr="00BA77BE">
              <w:rPr>
                <w:rFonts w:eastAsia="Times New Roman"/>
                <w:sz w:val="22"/>
                <w:szCs w:val="22"/>
                <w:lang w:val="fr-FR"/>
              </w:rPr>
              <w:t>la întregul</w:t>
            </w:r>
            <w:proofErr w:type="gramEnd"/>
            <w:r w:rsidRPr="00BA77BE">
              <w:rPr>
                <w:rFonts w:eastAsia="Times New Roman"/>
                <w:sz w:val="22"/>
                <w:szCs w:val="22"/>
                <w:lang w:val="fr-FR"/>
              </w:rPr>
              <w:t xml:space="preserve"> său potenţial. De-a lungul anului, infrastructura căii navigabile, pe unele secţiuni ale reţelei, limitează parţial competitivitatea navigării pe fluviul Dunărea (în special în cazul perioadelor prelungite cu debit mic </w:t>
            </w:r>
            <w:proofErr w:type="gramStart"/>
            <w:r w:rsidRPr="00BA77BE">
              <w:rPr>
                <w:rFonts w:eastAsia="Times New Roman"/>
                <w:sz w:val="22"/>
                <w:szCs w:val="22"/>
                <w:lang w:val="fr-FR"/>
              </w:rPr>
              <w:t>de apă</w:t>
            </w:r>
            <w:proofErr w:type="gramEnd"/>
            <w:r w:rsidRPr="00BA77BE">
              <w:rPr>
                <w:rFonts w:eastAsia="Times New Roman"/>
                <w:sz w:val="22"/>
                <w:szCs w:val="22"/>
                <w:lang w:val="fr-FR"/>
              </w:rPr>
              <w:t>). Pe acest subiect, la 11 octombrie 2012 s-a semnat un Memorandu</w:t>
            </w:r>
            <w:r w:rsidR="00BA77BE">
              <w:rPr>
                <w:rFonts w:eastAsia="Times New Roman"/>
                <w:sz w:val="22"/>
                <w:szCs w:val="22"/>
                <w:lang w:val="fr-FR"/>
              </w:rPr>
              <w:t xml:space="preserve">m de înţelegere între </w:t>
            </w:r>
            <w:r w:rsidRPr="00BA77BE">
              <w:rPr>
                <w:rFonts w:eastAsia="Times New Roman"/>
                <w:sz w:val="22"/>
                <w:szCs w:val="22"/>
                <w:lang w:val="fr-FR"/>
              </w:rPr>
              <w:t xml:space="preserve">Bulgaria şi România. Acesta prevede înfiinţarea unui Comitet inter-ministerial pentru dezvoltarea durabilă </w:t>
            </w:r>
            <w:proofErr w:type="gramStart"/>
            <w:r w:rsidRPr="00BA77BE">
              <w:rPr>
                <w:rFonts w:eastAsia="Times New Roman"/>
                <w:sz w:val="22"/>
                <w:szCs w:val="22"/>
                <w:lang w:val="fr-FR"/>
              </w:rPr>
              <w:t>a</w:t>
            </w:r>
            <w:proofErr w:type="gramEnd"/>
            <w:r w:rsidRPr="00BA77BE">
              <w:rPr>
                <w:rFonts w:eastAsia="Times New Roman"/>
                <w:sz w:val="22"/>
                <w:szCs w:val="22"/>
                <w:lang w:val="fr-FR"/>
              </w:rPr>
              <w:t xml:space="preserve"> transportului pe calea navigabilă din interiorul continentului în secţiunea comună bulgaro-română a fluviului şi îmbunătăţirea conectivităţii regiunii. </w:t>
            </w:r>
          </w:p>
          <w:p w:rsidR="00736205" w:rsidRPr="00BA77BE" w:rsidRDefault="00A71DBE" w:rsidP="00A71DBE">
            <w:pPr>
              <w:rPr>
                <w:rFonts w:eastAsia="Times New Roman"/>
                <w:sz w:val="22"/>
                <w:szCs w:val="22"/>
                <w:lang w:val="fr-FR"/>
              </w:rPr>
            </w:pPr>
            <w:r w:rsidRPr="00BA77BE">
              <w:rPr>
                <w:rFonts w:eastAsia="Times New Roman"/>
                <w:sz w:val="22"/>
                <w:szCs w:val="22"/>
                <w:lang w:val="fr-FR"/>
              </w:rPr>
              <w:t>Principalul rezultat avut în vedere este îmbunătăţirea navigabilităţii Dunării şi Mării Negre (în zona transfrontalieră) prin crearea bazei pentru măsuri şi investiţii comune îndreptate către îmbunătăţirea coridoarelor de transport de pasageri şi mărfuri.</w:t>
            </w:r>
          </w:p>
        </w:tc>
      </w:tr>
    </w:tbl>
    <w:p w:rsidR="00736205" w:rsidRPr="00A4748F" w:rsidRDefault="00736205" w:rsidP="00736205">
      <w:pPr>
        <w:rPr>
          <w:lang w:val="fr-FR"/>
        </w:rPr>
      </w:pPr>
    </w:p>
    <w:p w:rsidR="00736205" w:rsidRPr="00A4748F" w:rsidRDefault="00736205" w:rsidP="00736205">
      <w:pPr>
        <w:rPr>
          <w:lang w:val="fr-FR"/>
        </w:rPr>
      </w:pPr>
    </w:p>
    <w:p w:rsidR="002564E4" w:rsidRPr="00A4748F" w:rsidRDefault="002564E4" w:rsidP="002564E4">
      <w:pPr>
        <w:spacing w:before="0" w:after="0"/>
        <w:jc w:val="left"/>
        <w:rPr>
          <w:rFonts w:eastAsia="Times New Roman"/>
          <w:sz w:val="32"/>
          <w:szCs w:val="24"/>
          <w:lang w:val="fr-FR" w:eastAsia="ar-SA"/>
        </w:rPr>
        <w:sectPr w:rsidR="002564E4" w:rsidRPr="00A4748F">
          <w:pgSz w:w="11906" w:h="16838"/>
          <w:pgMar w:top="1021" w:right="1418" w:bottom="1021" w:left="1418" w:header="601" w:footer="1077" w:gutter="0"/>
          <w:cols w:space="720"/>
        </w:sectPr>
      </w:pPr>
    </w:p>
    <w:p w:rsidR="002564E4" w:rsidRPr="00CD3CE0" w:rsidRDefault="00CD3CE0" w:rsidP="00CD3CE0">
      <w:pPr>
        <w:rPr>
          <w:lang w:val="fr-FR"/>
        </w:rPr>
      </w:pPr>
      <w:bookmarkStart w:id="43" w:name="_Toc394837771"/>
      <w:r w:rsidRPr="00A77C97">
        <w:rPr>
          <w:rStyle w:val="Heading2Char"/>
          <w:rFonts w:eastAsia="Calibri"/>
          <w:lang w:val="fr-FR"/>
        </w:rPr>
        <w:lastRenderedPageBreak/>
        <w:t>Tabelul</w:t>
      </w:r>
      <w:r w:rsidR="002564E4" w:rsidRPr="00A77C97">
        <w:rPr>
          <w:rStyle w:val="Heading2Char"/>
          <w:rFonts w:eastAsia="Calibri"/>
          <w:lang w:val="fr-FR"/>
        </w:rPr>
        <w:t xml:space="preserve"> 3: </w:t>
      </w:r>
      <w:r w:rsidRPr="00A77C97">
        <w:rPr>
          <w:rStyle w:val="Heading2Char"/>
          <w:rFonts w:eastAsia="Calibri"/>
          <w:lang w:val="fr-FR"/>
        </w:rPr>
        <w:t>Indicatori de rezultat specifici programului</w:t>
      </w:r>
      <w:bookmarkEnd w:id="43"/>
      <w:r w:rsidRPr="00CD3CE0">
        <w:rPr>
          <w:lang w:val="fr-FR"/>
        </w:rPr>
        <w:t xml:space="preserve"> (pe obiectiv specific)</w:t>
      </w:r>
    </w:p>
    <w:p w:rsidR="002564E4" w:rsidRPr="00CD3CE0" w:rsidRDefault="002564E4" w:rsidP="002564E4">
      <w:pPr>
        <w:rPr>
          <w:highlight w:val="red"/>
          <w:lang w:val="fr-FR"/>
        </w:rPr>
      </w:pPr>
    </w:p>
    <w:tbl>
      <w:tblPr>
        <w:tblW w:w="45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
        <w:gridCol w:w="2280"/>
        <w:gridCol w:w="1905"/>
        <w:gridCol w:w="1670"/>
        <w:gridCol w:w="1393"/>
        <w:gridCol w:w="2117"/>
        <w:gridCol w:w="1694"/>
        <w:gridCol w:w="1273"/>
      </w:tblGrid>
      <w:tr w:rsidR="00E846D6" w:rsidRPr="00137853" w:rsidTr="003A1605">
        <w:trPr>
          <w:trHeight w:val="531"/>
          <w:jc w:val="center"/>
        </w:trPr>
        <w:tc>
          <w:tcPr>
            <w:tcW w:w="486" w:type="pct"/>
            <w:tcBorders>
              <w:top w:val="single" w:sz="4" w:space="0" w:color="auto"/>
              <w:left w:val="single" w:sz="4" w:space="0" w:color="auto"/>
              <w:bottom w:val="single" w:sz="4" w:space="0" w:color="auto"/>
              <w:right w:val="single" w:sz="4" w:space="0" w:color="auto"/>
            </w:tcBorders>
            <w:hideMark/>
          </w:tcPr>
          <w:p w:rsidR="00E846D6" w:rsidRPr="00137853" w:rsidRDefault="00E846D6" w:rsidP="003A1605">
            <w:pPr>
              <w:tabs>
                <w:tab w:val="left" w:pos="720"/>
              </w:tabs>
              <w:spacing w:line="276" w:lineRule="auto"/>
              <w:jc w:val="left"/>
              <w:rPr>
                <w:rFonts w:eastAsia="Times New Roman"/>
                <w:b/>
                <w:sz w:val="18"/>
                <w:szCs w:val="18"/>
                <w:lang w:val="en-US"/>
              </w:rPr>
            </w:pPr>
            <w:r w:rsidRPr="00137853">
              <w:rPr>
                <w:rFonts w:eastAsia="Times New Roman"/>
                <w:b/>
                <w:sz w:val="18"/>
                <w:szCs w:val="18"/>
                <w:lang w:val="en-US"/>
              </w:rPr>
              <w:t>ID</w:t>
            </w:r>
          </w:p>
        </w:tc>
        <w:tc>
          <w:tcPr>
            <w:tcW w:w="834" w:type="pct"/>
            <w:tcBorders>
              <w:top w:val="single" w:sz="4" w:space="0" w:color="auto"/>
              <w:left w:val="single" w:sz="4" w:space="0" w:color="auto"/>
              <w:bottom w:val="single" w:sz="4" w:space="0" w:color="auto"/>
              <w:right w:val="single" w:sz="4" w:space="0" w:color="auto"/>
            </w:tcBorders>
            <w:hideMark/>
          </w:tcPr>
          <w:p w:rsidR="00E846D6" w:rsidRPr="00137853" w:rsidRDefault="00E846D6" w:rsidP="003A1605">
            <w:pPr>
              <w:tabs>
                <w:tab w:val="left" w:pos="720"/>
              </w:tabs>
              <w:spacing w:line="276" w:lineRule="auto"/>
              <w:jc w:val="left"/>
              <w:rPr>
                <w:rFonts w:eastAsia="Times New Roman"/>
                <w:b/>
                <w:sz w:val="18"/>
                <w:szCs w:val="18"/>
                <w:lang w:val="en-US"/>
              </w:rPr>
            </w:pPr>
            <w:r w:rsidRPr="00137853">
              <w:rPr>
                <w:rFonts w:eastAsia="Times New Roman"/>
                <w:b/>
                <w:sz w:val="18"/>
                <w:szCs w:val="18"/>
                <w:lang w:val="en-US"/>
              </w:rPr>
              <w:t xml:space="preserve">Indicator </w:t>
            </w:r>
          </w:p>
        </w:tc>
        <w:tc>
          <w:tcPr>
            <w:tcW w:w="697" w:type="pct"/>
            <w:tcBorders>
              <w:top w:val="single" w:sz="4" w:space="0" w:color="auto"/>
              <w:left w:val="single" w:sz="4" w:space="0" w:color="auto"/>
              <w:bottom w:val="single" w:sz="4" w:space="0" w:color="auto"/>
              <w:right w:val="single" w:sz="4" w:space="0" w:color="auto"/>
            </w:tcBorders>
            <w:hideMark/>
          </w:tcPr>
          <w:p w:rsidR="00E846D6" w:rsidRPr="00137853" w:rsidRDefault="00E846D6" w:rsidP="003A1605">
            <w:pPr>
              <w:snapToGrid w:val="0"/>
              <w:spacing w:line="276" w:lineRule="auto"/>
              <w:jc w:val="left"/>
              <w:rPr>
                <w:rFonts w:eastAsia="Times New Roman"/>
                <w:b/>
                <w:sz w:val="18"/>
                <w:szCs w:val="18"/>
                <w:lang w:val="en-US"/>
              </w:rPr>
            </w:pPr>
            <w:r w:rsidRPr="00137853">
              <w:rPr>
                <w:rFonts w:eastAsia="Times New Roman"/>
                <w:b/>
                <w:sz w:val="18"/>
                <w:szCs w:val="18"/>
                <w:lang w:val="en-US"/>
              </w:rPr>
              <w:t>Unitate de măsură</w:t>
            </w:r>
          </w:p>
        </w:tc>
        <w:tc>
          <w:tcPr>
            <w:tcW w:w="611" w:type="pct"/>
            <w:tcBorders>
              <w:top w:val="single" w:sz="4" w:space="0" w:color="auto"/>
              <w:left w:val="single" w:sz="4" w:space="0" w:color="auto"/>
              <w:bottom w:val="single" w:sz="4" w:space="0" w:color="auto"/>
              <w:right w:val="single" w:sz="4" w:space="0" w:color="auto"/>
            </w:tcBorders>
            <w:hideMark/>
          </w:tcPr>
          <w:p w:rsidR="00E846D6" w:rsidRPr="00137853" w:rsidRDefault="00E846D6" w:rsidP="003A1605">
            <w:pPr>
              <w:tabs>
                <w:tab w:val="left" w:pos="720"/>
              </w:tabs>
              <w:spacing w:line="276" w:lineRule="auto"/>
              <w:jc w:val="left"/>
              <w:rPr>
                <w:rFonts w:eastAsia="Times New Roman"/>
                <w:b/>
                <w:sz w:val="18"/>
                <w:szCs w:val="18"/>
                <w:lang w:val="en-US"/>
              </w:rPr>
            </w:pPr>
            <w:r w:rsidRPr="00137853">
              <w:rPr>
                <w:rFonts w:eastAsia="Times New Roman"/>
                <w:b/>
                <w:sz w:val="18"/>
                <w:szCs w:val="18"/>
                <w:lang w:val="en-US"/>
              </w:rPr>
              <w:t>Valoarea de referință</w:t>
            </w:r>
          </w:p>
        </w:tc>
        <w:tc>
          <w:tcPr>
            <w:tcW w:w="510" w:type="pct"/>
            <w:tcBorders>
              <w:top w:val="single" w:sz="4" w:space="0" w:color="auto"/>
              <w:left w:val="single" w:sz="4" w:space="0" w:color="auto"/>
              <w:bottom w:val="single" w:sz="4" w:space="0" w:color="auto"/>
              <w:right w:val="single" w:sz="4" w:space="0" w:color="auto"/>
            </w:tcBorders>
            <w:hideMark/>
          </w:tcPr>
          <w:p w:rsidR="00E846D6" w:rsidRPr="00137853" w:rsidRDefault="00E846D6" w:rsidP="003A1605">
            <w:pPr>
              <w:snapToGrid w:val="0"/>
              <w:spacing w:line="276" w:lineRule="auto"/>
              <w:jc w:val="left"/>
              <w:rPr>
                <w:rFonts w:eastAsia="Times New Roman"/>
                <w:b/>
                <w:sz w:val="18"/>
                <w:szCs w:val="18"/>
                <w:lang w:val="en-US"/>
              </w:rPr>
            </w:pPr>
            <w:r w:rsidRPr="00137853">
              <w:rPr>
                <w:rFonts w:eastAsia="Times New Roman"/>
                <w:b/>
                <w:sz w:val="18"/>
                <w:szCs w:val="18"/>
                <w:lang w:val="en-US"/>
              </w:rPr>
              <w:t>Anul de referință</w:t>
            </w:r>
          </w:p>
        </w:tc>
        <w:tc>
          <w:tcPr>
            <w:tcW w:w="775" w:type="pct"/>
            <w:tcBorders>
              <w:top w:val="single" w:sz="4" w:space="0" w:color="auto"/>
              <w:left w:val="single" w:sz="4" w:space="0" w:color="auto"/>
              <w:bottom w:val="single" w:sz="4" w:space="0" w:color="auto"/>
              <w:right w:val="single" w:sz="4" w:space="0" w:color="auto"/>
            </w:tcBorders>
            <w:hideMark/>
          </w:tcPr>
          <w:p w:rsidR="00E846D6" w:rsidRPr="00137853" w:rsidRDefault="00E846D6" w:rsidP="003A1605">
            <w:pPr>
              <w:tabs>
                <w:tab w:val="left" w:pos="720"/>
              </w:tabs>
              <w:spacing w:line="276" w:lineRule="auto"/>
              <w:jc w:val="left"/>
              <w:rPr>
                <w:rFonts w:eastAsia="Times New Roman"/>
                <w:b/>
                <w:sz w:val="18"/>
                <w:szCs w:val="18"/>
                <w:lang w:val="en-US"/>
              </w:rPr>
            </w:pPr>
            <w:r w:rsidRPr="00137853">
              <w:rPr>
                <w:rFonts w:eastAsia="Times New Roman"/>
                <w:b/>
                <w:sz w:val="18"/>
                <w:szCs w:val="18"/>
                <w:lang w:val="en-US"/>
              </w:rPr>
              <w:t>Valoarea-țintă (2023)</w:t>
            </w:r>
            <w:r w:rsidRPr="00137853">
              <w:rPr>
                <w:rFonts w:eastAsia="Times New Roman"/>
                <w:b/>
                <w:sz w:val="18"/>
                <w:szCs w:val="18"/>
                <w:vertAlign w:val="superscript"/>
                <w:lang w:val="en-US"/>
              </w:rPr>
              <w:footnoteReference w:id="8"/>
            </w:r>
          </w:p>
        </w:tc>
        <w:tc>
          <w:tcPr>
            <w:tcW w:w="620" w:type="pct"/>
            <w:tcBorders>
              <w:top w:val="single" w:sz="4" w:space="0" w:color="auto"/>
              <w:left w:val="single" w:sz="4" w:space="0" w:color="auto"/>
              <w:bottom w:val="single" w:sz="4" w:space="0" w:color="auto"/>
              <w:right w:val="single" w:sz="4" w:space="0" w:color="auto"/>
            </w:tcBorders>
            <w:hideMark/>
          </w:tcPr>
          <w:p w:rsidR="00E846D6" w:rsidRPr="00137853" w:rsidRDefault="00E846D6" w:rsidP="003A1605">
            <w:pPr>
              <w:tabs>
                <w:tab w:val="left" w:pos="720"/>
              </w:tabs>
              <w:spacing w:line="276" w:lineRule="auto"/>
              <w:jc w:val="left"/>
              <w:rPr>
                <w:rFonts w:eastAsia="Times New Roman"/>
                <w:b/>
                <w:sz w:val="18"/>
                <w:szCs w:val="18"/>
                <w:lang w:val="en-US"/>
              </w:rPr>
            </w:pPr>
            <w:r>
              <w:rPr>
                <w:rFonts w:eastAsia="Times New Roman"/>
                <w:b/>
                <w:sz w:val="18"/>
                <w:szCs w:val="18"/>
                <w:lang w:val="en-US"/>
              </w:rPr>
              <w:t>Sursa</w:t>
            </w:r>
            <w:r w:rsidRPr="00137853">
              <w:rPr>
                <w:rFonts w:eastAsia="Times New Roman"/>
                <w:b/>
                <w:sz w:val="18"/>
                <w:szCs w:val="18"/>
                <w:lang w:val="en-US"/>
              </w:rPr>
              <w:t xml:space="preserve"> dat</w:t>
            </w:r>
            <w:r>
              <w:rPr>
                <w:rFonts w:eastAsia="Times New Roman"/>
                <w:b/>
                <w:sz w:val="18"/>
                <w:szCs w:val="18"/>
                <w:lang w:val="en-US"/>
              </w:rPr>
              <w:t>elor</w:t>
            </w:r>
          </w:p>
        </w:tc>
        <w:tc>
          <w:tcPr>
            <w:tcW w:w="466" w:type="pct"/>
            <w:tcBorders>
              <w:top w:val="single" w:sz="4" w:space="0" w:color="auto"/>
              <w:left w:val="single" w:sz="4" w:space="0" w:color="auto"/>
              <w:bottom w:val="single" w:sz="4" w:space="0" w:color="auto"/>
              <w:right w:val="single" w:sz="4" w:space="0" w:color="auto"/>
            </w:tcBorders>
            <w:hideMark/>
          </w:tcPr>
          <w:p w:rsidR="00E846D6" w:rsidRPr="00137853" w:rsidRDefault="00E846D6" w:rsidP="003A1605">
            <w:pPr>
              <w:tabs>
                <w:tab w:val="left" w:pos="720"/>
              </w:tabs>
              <w:spacing w:line="276" w:lineRule="auto"/>
              <w:jc w:val="left"/>
              <w:rPr>
                <w:rFonts w:eastAsia="Times New Roman"/>
                <w:b/>
                <w:sz w:val="18"/>
                <w:szCs w:val="18"/>
                <w:lang w:val="en-US"/>
              </w:rPr>
            </w:pPr>
            <w:r w:rsidRPr="006A0C19">
              <w:rPr>
                <w:rFonts w:eastAsia="Times New Roman"/>
                <w:b/>
                <w:sz w:val="18"/>
                <w:szCs w:val="18"/>
                <w:lang w:val="en-US"/>
              </w:rPr>
              <w:t>Frecvența raportării</w:t>
            </w:r>
          </w:p>
        </w:tc>
      </w:tr>
      <w:tr w:rsidR="002564E4" w:rsidRPr="00E846D6" w:rsidTr="00E846D6">
        <w:trPr>
          <w:trHeight w:val="870"/>
          <w:jc w:val="center"/>
        </w:trPr>
        <w:tc>
          <w:tcPr>
            <w:tcW w:w="486" w:type="pct"/>
            <w:tcBorders>
              <w:top w:val="single" w:sz="4" w:space="0" w:color="auto"/>
              <w:left w:val="single" w:sz="4" w:space="0" w:color="auto"/>
              <w:bottom w:val="single" w:sz="4" w:space="0" w:color="auto"/>
              <w:right w:val="single" w:sz="4" w:space="0" w:color="auto"/>
            </w:tcBorders>
            <w:hideMark/>
          </w:tcPr>
          <w:p w:rsidR="002564E4" w:rsidRPr="00E846D6" w:rsidRDefault="00176887" w:rsidP="005221A8">
            <w:pPr>
              <w:tabs>
                <w:tab w:val="left" w:pos="720"/>
              </w:tabs>
              <w:spacing w:line="276" w:lineRule="auto"/>
              <w:rPr>
                <w:rFonts w:eastAsia="Times New Roman"/>
                <w:b/>
                <w:szCs w:val="24"/>
                <w:lang w:val="en-US"/>
              </w:rPr>
            </w:pPr>
            <w:r>
              <w:rPr>
                <w:rFonts w:eastAsia="Times New Roman"/>
                <w:szCs w:val="24"/>
                <w:lang w:val="en-US"/>
              </w:rPr>
              <w:t>R.</w:t>
            </w:r>
            <w:r w:rsidR="000868B1" w:rsidRPr="00E846D6">
              <w:rPr>
                <w:rFonts w:eastAsia="Times New Roman"/>
                <w:szCs w:val="24"/>
                <w:lang w:val="en-US"/>
              </w:rPr>
              <w:t>1</w:t>
            </w:r>
            <w:r w:rsidR="002564E4" w:rsidRPr="00E846D6">
              <w:rPr>
                <w:rFonts w:eastAsia="Times New Roman"/>
                <w:szCs w:val="24"/>
                <w:lang w:val="en-US"/>
              </w:rPr>
              <w:t>.2</w:t>
            </w:r>
          </w:p>
        </w:tc>
        <w:tc>
          <w:tcPr>
            <w:tcW w:w="834" w:type="pct"/>
            <w:tcBorders>
              <w:top w:val="single" w:sz="4" w:space="0" w:color="auto"/>
              <w:left w:val="single" w:sz="4" w:space="0" w:color="auto"/>
              <w:bottom w:val="single" w:sz="4" w:space="0" w:color="auto"/>
              <w:right w:val="single" w:sz="4" w:space="0" w:color="auto"/>
            </w:tcBorders>
            <w:hideMark/>
          </w:tcPr>
          <w:p w:rsidR="002564E4" w:rsidRPr="00124CCC" w:rsidRDefault="00124CCC" w:rsidP="00C739B4">
            <w:pPr>
              <w:tabs>
                <w:tab w:val="left" w:pos="720"/>
              </w:tabs>
              <w:spacing w:line="276" w:lineRule="auto"/>
              <w:rPr>
                <w:rFonts w:eastAsia="Times New Roman"/>
                <w:szCs w:val="24"/>
                <w:lang w:val="en-US"/>
              </w:rPr>
            </w:pPr>
            <w:r w:rsidRPr="00124CCC">
              <w:rPr>
                <w:lang w:val="en-US"/>
              </w:rPr>
              <w:t>% din zona Dunării și a Mării Negre în regiunea transfrontalieră RO-BG în care siguranța navigației a fost îmbunătățită</w:t>
            </w:r>
            <w:r w:rsidRPr="00124CCC">
              <w:rPr>
                <w:rFonts w:eastAsia="Times New Roman"/>
                <w:color w:val="000000"/>
                <w:szCs w:val="24"/>
                <w:lang w:val="en-US" w:eastAsia="fr-FR"/>
              </w:rPr>
              <w:t xml:space="preserve"> prin acțiuni comune</w:t>
            </w:r>
          </w:p>
        </w:tc>
        <w:tc>
          <w:tcPr>
            <w:tcW w:w="697" w:type="pct"/>
            <w:tcBorders>
              <w:top w:val="single" w:sz="4" w:space="0" w:color="auto"/>
              <w:left w:val="single" w:sz="4" w:space="0" w:color="auto"/>
              <w:bottom w:val="single" w:sz="4" w:space="0" w:color="auto"/>
              <w:right w:val="single" w:sz="4" w:space="0" w:color="auto"/>
            </w:tcBorders>
            <w:hideMark/>
          </w:tcPr>
          <w:p w:rsidR="002564E4" w:rsidRPr="00E846D6" w:rsidRDefault="00E846D6" w:rsidP="005221A8">
            <w:pPr>
              <w:tabs>
                <w:tab w:val="left" w:pos="720"/>
              </w:tabs>
              <w:spacing w:line="276" w:lineRule="auto"/>
              <w:rPr>
                <w:rFonts w:eastAsia="Times New Roman"/>
                <w:szCs w:val="24"/>
                <w:lang w:val="en-US"/>
              </w:rPr>
            </w:pPr>
            <w:r w:rsidRPr="00E846D6">
              <w:rPr>
                <w:rFonts w:eastAsia="Times New Roman"/>
                <w:szCs w:val="24"/>
                <w:lang w:val="en-US"/>
              </w:rPr>
              <w:t>procent</w:t>
            </w:r>
          </w:p>
        </w:tc>
        <w:tc>
          <w:tcPr>
            <w:tcW w:w="611" w:type="pct"/>
            <w:tcBorders>
              <w:top w:val="single" w:sz="4" w:space="0" w:color="auto"/>
              <w:left w:val="single" w:sz="4" w:space="0" w:color="auto"/>
              <w:bottom w:val="single" w:sz="4" w:space="0" w:color="auto"/>
              <w:right w:val="single" w:sz="4" w:space="0" w:color="auto"/>
            </w:tcBorders>
          </w:tcPr>
          <w:p w:rsidR="002564E4" w:rsidRPr="00E846D6" w:rsidRDefault="00F06891" w:rsidP="005221A8">
            <w:pPr>
              <w:tabs>
                <w:tab w:val="left" w:pos="720"/>
              </w:tabs>
              <w:spacing w:line="276" w:lineRule="auto"/>
              <w:rPr>
                <w:szCs w:val="24"/>
                <w:lang w:val="en-US"/>
              </w:rPr>
            </w:pPr>
            <w:r w:rsidRPr="00E846D6">
              <w:rPr>
                <w:szCs w:val="24"/>
                <w:lang w:val="en-US"/>
              </w:rPr>
              <w:t>1,29</w:t>
            </w:r>
            <w:r w:rsidR="00AF55F2" w:rsidRPr="00E846D6">
              <w:rPr>
                <w:szCs w:val="24"/>
                <w:lang w:val="en-US"/>
              </w:rPr>
              <w:t>%</w:t>
            </w:r>
          </w:p>
          <w:p w:rsidR="002564E4" w:rsidRPr="00E846D6" w:rsidRDefault="002564E4" w:rsidP="005221A8">
            <w:pPr>
              <w:tabs>
                <w:tab w:val="left" w:pos="720"/>
              </w:tabs>
              <w:spacing w:line="276" w:lineRule="auto"/>
              <w:rPr>
                <w:rFonts w:eastAsia="Times New Roman"/>
                <w:b/>
                <w:szCs w:val="24"/>
                <w:lang w:val="en-US"/>
              </w:rPr>
            </w:pPr>
          </w:p>
        </w:tc>
        <w:tc>
          <w:tcPr>
            <w:tcW w:w="510" w:type="pct"/>
            <w:tcBorders>
              <w:top w:val="single" w:sz="4" w:space="0" w:color="auto"/>
              <w:left w:val="single" w:sz="4" w:space="0" w:color="auto"/>
              <w:bottom w:val="single" w:sz="4" w:space="0" w:color="auto"/>
              <w:right w:val="single" w:sz="4" w:space="0" w:color="auto"/>
            </w:tcBorders>
            <w:hideMark/>
          </w:tcPr>
          <w:p w:rsidR="002564E4" w:rsidRPr="00E846D6" w:rsidRDefault="002564E4" w:rsidP="006D29F8">
            <w:pPr>
              <w:tabs>
                <w:tab w:val="left" w:pos="720"/>
              </w:tabs>
              <w:spacing w:line="276" w:lineRule="auto"/>
              <w:rPr>
                <w:szCs w:val="24"/>
                <w:lang w:val="en-US"/>
              </w:rPr>
            </w:pPr>
            <w:r w:rsidRPr="00E846D6">
              <w:rPr>
                <w:szCs w:val="24"/>
                <w:lang w:val="en-US"/>
              </w:rPr>
              <w:t>20</w:t>
            </w:r>
            <w:r w:rsidR="00854E88" w:rsidRPr="00E846D6">
              <w:rPr>
                <w:szCs w:val="24"/>
                <w:lang w:val="en-US"/>
              </w:rPr>
              <w:t>1</w:t>
            </w:r>
            <w:r w:rsidR="006D29F8" w:rsidRPr="00E846D6">
              <w:rPr>
                <w:szCs w:val="24"/>
                <w:lang w:val="en-US"/>
              </w:rPr>
              <w:t>4</w:t>
            </w:r>
          </w:p>
        </w:tc>
        <w:tc>
          <w:tcPr>
            <w:tcW w:w="775" w:type="pct"/>
            <w:tcBorders>
              <w:top w:val="single" w:sz="4" w:space="0" w:color="auto"/>
              <w:left w:val="single" w:sz="4" w:space="0" w:color="auto"/>
              <w:bottom w:val="single" w:sz="4" w:space="0" w:color="auto"/>
              <w:right w:val="single" w:sz="4" w:space="0" w:color="auto"/>
            </w:tcBorders>
            <w:hideMark/>
          </w:tcPr>
          <w:p w:rsidR="00C94939" w:rsidRPr="00E846D6" w:rsidRDefault="00AF55F2" w:rsidP="005221A8">
            <w:pPr>
              <w:tabs>
                <w:tab w:val="left" w:pos="720"/>
              </w:tabs>
              <w:spacing w:line="276" w:lineRule="auto"/>
              <w:rPr>
                <w:szCs w:val="24"/>
                <w:lang w:val="en-US"/>
              </w:rPr>
            </w:pPr>
            <w:r w:rsidRPr="00E846D6">
              <w:rPr>
                <w:szCs w:val="24"/>
                <w:lang w:val="en-US"/>
              </w:rPr>
              <w:t>25%</w:t>
            </w:r>
          </w:p>
          <w:p w:rsidR="00C94939" w:rsidRPr="00E846D6" w:rsidRDefault="00C94939" w:rsidP="00C94939">
            <w:pPr>
              <w:rPr>
                <w:szCs w:val="24"/>
                <w:lang w:val="en-US"/>
              </w:rPr>
            </w:pPr>
          </w:p>
          <w:p w:rsidR="002564E4" w:rsidRPr="00E846D6" w:rsidRDefault="002564E4" w:rsidP="00C94939">
            <w:pPr>
              <w:rPr>
                <w:szCs w:val="24"/>
                <w:lang w:val="en-US"/>
              </w:rPr>
            </w:pPr>
          </w:p>
        </w:tc>
        <w:tc>
          <w:tcPr>
            <w:tcW w:w="620" w:type="pct"/>
            <w:tcBorders>
              <w:top w:val="single" w:sz="4" w:space="0" w:color="auto"/>
              <w:left w:val="single" w:sz="4" w:space="0" w:color="auto"/>
              <w:bottom w:val="single" w:sz="4" w:space="0" w:color="auto"/>
              <w:right w:val="single" w:sz="4" w:space="0" w:color="auto"/>
            </w:tcBorders>
            <w:hideMark/>
          </w:tcPr>
          <w:p w:rsidR="002564E4" w:rsidRPr="007173F3" w:rsidRDefault="00E846D6" w:rsidP="005221A8">
            <w:pPr>
              <w:tabs>
                <w:tab w:val="left" w:pos="720"/>
              </w:tabs>
              <w:spacing w:after="240" w:line="276" w:lineRule="auto"/>
              <w:rPr>
                <w:szCs w:val="24"/>
                <w:highlight w:val="red"/>
                <w:lang w:val="fr-FR"/>
              </w:rPr>
            </w:pPr>
            <w:r w:rsidRPr="00E846D6">
              <w:rPr>
                <w:szCs w:val="24"/>
                <w:lang w:val="fr-FR"/>
              </w:rPr>
              <w:t>Datele disponibile de la proiectele finanțate anterior</w:t>
            </w:r>
          </w:p>
        </w:tc>
        <w:tc>
          <w:tcPr>
            <w:tcW w:w="466" w:type="pct"/>
            <w:tcBorders>
              <w:top w:val="single" w:sz="4" w:space="0" w:color="auto"/>
              <w:left w:val="single" w:sz="4" w:space="0" w:color="auto"/>
              <w:bottom w:val="single" w:sz="4" w:space="0" w:color="auto"/>
              <w:right w:val="single" w:sz="4" w:space="0" w:color="auto"/>
            </w:tcBorders>
            <w:shd w:val="clear" w:color="auto" w:fill="auto"/>
            <w:hideMark/>
          </w:tcPr>
          <w:p w:rsidR="002564E4" w:rsidRPr="00E846D6" w:rsidRDefault="002564E4" w:rsidP="00E846D6">
            <w:pPr>
              <w:tabs>
                <w:tab w:val="left" w:pos="720"/>
              </w:tabs>
              <w:spacing w:after="240" w:line="276" w:lineRule="auto"/>
              <w:rPr>
                <w:szCs w:val="24"/>
                <w:lang w:val="en-US"/>
              </w:rPr>
            </w:pPr>
            <w:r w:rsidRPr="00E846D6">
              <w:rPr>
                <w:szCs w:val="24"/>
                <w:lang w:val="en-US"/>
              </w:rPr>
              <w:t xml:space="preserve">2018 </w:t>
            </w:r>
            <w:r w:rsidR="00E846D6">
              <w:rPr>
                <w:szCs w:val="24"/>
                <w:lang w:val="en-US"/>
              </w:rPr>
              <w:t>și</w:t>
            </w:r>
            <w:r w:rsidRPr="00E846D6">
              <w:rPr>
                <w:szCs w:val="24"/>
                <w:lang w:val="en-US"/>
              </w:rPr>
              <w:t xml:space="preserve"> 2023</w:t>
            </w:r>
          </w:p>
        </w:tc>
      </w:tr>
    </w:tbl>
    <w:p w:rsidR="002564E4" w:rsidRPr="0070649D" w:rsidRDefault="002564E4" w:rsidP="002564E4">
      <w:pPr>
        <w:spacing w:before="0" w:after="0" w:line="276" w:lineRule="auto"/>
        <w:jc w:val="left"/>
        <w:rPr>
          <w:rFonts w:eastAsia="Times New Roman"/>
          <w:b/>
          <w:lang w:val="en-US"/>
        </w:rPr>
        <w:sectPr w:rsidR="002564E4" w:rsidRPr="0070649D">
          <w:pgSz w:w="16838" w:h="11906" w:orient="landscape"/>
          <w:pgMar w:top="1418" w:right="1021" w:bottom="1418" w:left="1021" w:header="601" w:footer="1077" w:gutter="0"/>
          <w:cols w:space="720"/>
        </w:sectPr>
      </w:pPr>
    </w:p>
    <w:p w:rsidR="00E846D6" w:rsidRPr="00B71C50" w:rsidRDefault="00E846D6" w:rsidP="00B71C50">
      <w:pPr>
        <w:rPr>
          <w:lang w:val="fr-FR"/>
        </w:rPr>
      </w:pPr>
      <w:bookmarkStart w:id="44" w:name="_Toc394837772"/>
      <w:proofErr w:type="gramStart"/>
      <w:r w:rsidRPr="00B71C50">
        <w:rPr>
          <w:rStyle w:val="Heading2Char"/>
          <w:rFonts w:eastAsia="Calibri"/>
          <w:lang w:val="fr-FR"/>
        </w:rPr>
        <w:lastRenderedPageBreak/>
        <w:t>2.A.6</w:t>
      </w:r>
      <w:proofErr w:type="gramEnd"/>
      <w:r w:rsidRPr="00B71C50">
        <w:rPr>
          <w:rStyle w:val="Heading2Char"/>
          <w:rFonts w:eastAsia="Calibri"/>
          <w:lang w:val="fr-FR"/>
        </w:rPr>
        <w:t>. Acțiunile care urmează să fie sprijinite în cadrul priorității de investiții</w:t>
      </w:r>
      <w:bookmarkEnd w:id="44"/>
      <w:r w:rsidR="00B71C50" w:rsidRPr="00B71C50">
        <w:rPr>
          <w:lang w:val="fr-FR"/>
        </w:rPr>
        <w:t xml:space="preserve"> (pe prioritate de investiții)</w:t>
      </w:r>
    </w:p>
    <w:p w:rsidR="00E846D6" w:rsidRPr="00396473" w:rsidRDefault="00E846D6" w:rsidP="00E846D6">
      <w:pPr>
        <w:pStyle w:val="Heading2"/>
        <w:rPr>
          <w:lang w:val="fr-FR"/>
        </w:rPr>
      </w:pPr>
      <w:bookmarkStart w:id="45" w:name="_Toc394837773"/>
      <w:proofErr w:type="gramStart"/>
      <w:r w:rsidRPr="00396473">
        <w:rPr>
          <w:lang w:val="fr-FR"/>
        </w:rPr>
        <w:t>2.A.6.1</w:t>
      </w:r>
      <w:proofErr w:type="gramEnd"/>
      <w:r w:rsidRPr="00396473">
        <w:rPr>
          <w:lang w:val="fr-FR"/>
        </w:rPr>
        <w:t>. Descrierea tipului și exemple de acțiuni care urmează să fie sprijinite și contribuțiile preconizate la obiectivele specifice, inclusiv, după caz, identificarea principalelor grupuri țintă, a teritoriilor specifice vizate și a tipurilor de beneficiari</w:t>
      </w:r>
      <w:bookmarkEnd w:id="45"/>
    </w:p>
    <w:p w:rsidR="0094033A" w:rsidRDefault="007173F3" w:rsidP="00F073D8">
      <w:pPr>
        <w:rPr>
          <w:b/>
          <w:lang w:val="fr-FR"/>
        </w:rPr>
      </w:pPr>
      <w:r>
        <w:rPr>
          <w:b/>
          <w:lang w:val="fr-FR"/>
        </w:rPr>
        <w:t>Acțiuni pentru c</w:t>
      </w:r>
      <w:r w:rsidR="00D80A41" w:rsidRPr="00D80A41">
        <w:rPr>
          <w:b/>
          <w:lang w:val="fr-FR"/>
        </w:rPr>
        <w:t>reșterea siguranței transportului pe căile fluviale sau maritime</w:t>
      </w:r>
    </w:p>
    <w:p w:rsidR="00F073D8" w:rsidRPr="00BE3B19" w:rsidRDefault="00F073D8" w:rsidP="00F073D8">
      <w:pPr>
        <w:rPr>
          <w:lang w:val="ro-RO"/>
        </w:rPr>
      </w:pPr>
      <w:r w:rsidRPr="00BE3B19">
        <w:rPr>
          <w:lang w:val="ro-RO"/>
        </w:rPr>
        <w:t xml:space="preserve">Acțiunile ce vor fi finanțate prin SO </w:t>
      </w:r>
      <w:r w:rsidR="0094033A" w:rsidRPr="00BE3B19">
        <w:rPr>
          <w:lang w:val="ro-RO"/>
        </w:rPr>
        <w:t>1</w:t>
      </w:r>
      <w:r w:rsidRPr="00BE3B19">
        <w:rPr>
          <w:lang w:val="ro-RO"/>
        </w:rPr>
        <w:t>.2 vor căuta să încurajeze coordonarea transfrontalieră în vederea creșterii navigabilității pe Dunăre și a fluxurilor de pasageri și mărfuri în zona transfrontalieră pentru a transforma regiunea de programare într-o „poartă dunăreană/maritimă” strategică ce va atrage investiții în diferite domenii economice. Aceasta se va realiza prin susținerea renovării și dezvoltării infrastructurii portuare și a măsurilor de îmbunăt</w:t>
      </w:r>
      <w:r w:rsidR="00CC3DCE">
        <w:rPr>
          <w:lang w:val="ro-RO"/>
        </w:rPr>
        <w:t xml:space="preserve">ățire a navigabilității Dunării, </w:t>
      </w:r>
      <w:r w:rsidRPr="00BE3B19">
        <w:rPr>
          <w:lang w:val="ro-RO"/>
        </w:rPr>
        <w:t>împiedicată de sedimente,</w:t>
      </w:r>
      <w:r w:rsidR="00CC3DCE">
        <w:rPr>
          <w:lang w:val="ro-RO"/>
        </w:rPr>
        <w:t xml:space="preserve"> de</w:t>
      </w:r>
      <w:r w:rsidRPr="00BE3B19">
        <w:rPr>
          <w:lang w:val="ro-RO"/>
        </w:rPr>
        <w:t xml:space="preserve"> modificarea albiei fluviului,</w:t>
      </w:r>
      <w:r w:rsidR="00CC3DCE">
        <w:rPr>
          <w:lang w:val="ro-RO"/>
        </w:rPr>
        <w:t xml:space="preserve"> de variațiile</w:t>
      </w:r>
      <w:r w:rsidRPr="00BE3B19">
        <w:rPr>
          <w:lang w:val="ro-RO"/>
        </w:rPr>
        <w:t xml:space="preserve"> de nivel și debit,</w:t>
      </w:r>
      <w:r w:rsidR="00CC3DCE">
        <w:rPr>
          <w:lang w:val="ro-RO"/>
        </w:rPr>
        <w:t xml:space="preserve"> de eroziunile malurilor sau</w:t>
      </w:r>
      <w:r w:rsidRPr="00BE3B19">
        <w:rPr>
          <w:lang w:val="ro-RO"/>
        </w:rPr>
        <w:t xml:space="preserve"> variabilității sezoniere a nivelului apei. Obiectivele vor fi realizate prin dezvoltarea și implementarea de strategii, concepte și instrumente coordonate de îmbunătățire a navigabilității și reabilitare a infrastructurilor portuare (pentru a permite accesul zonelor învecinate la Dunăre și accesul de la Dunăre la resursele și obiectivele turistice din interiorul zonei transfrontaliere), întărind multimodalitatea în porturi și armonizând standardele și procedurile (de trecere a Dunării, de navigație în ambele sectoare naționale, gestionare a traficului de mărfuri, înlesnirea turismului pe malurile fluviului și pe fluviu etc.). Acțiunile contribuie în plus la îmbunătățirea și testarea serviciilor de transport de mărfuri și planificării logistice, inclusiv aplicații pilot, care se presupune că vor atrage investiții în domeniu.</w:t>
      </w:r>
    </w:p>
    <w:p w:rsidR="00F073D8" w:rsidRPr="00BE3B19" w:rsidRDefault="00F073D8" w:rsidP="00F073D8">
      <w:pPr>
        <w:rPr>
          <w:lang w:val="ro-RO"/>
        </w:rPr>
      </w:pPr>
      <w:r w:rsidRPr="00BE3B19">
        <w:rPr>
          <w:lang w:val="ro-RO"/>
        </w:rPr>
        <w:t xml:space="preserve">Pentru a spori traficul de pasageri și de mărfuri pe Dunăre, nu va fi suficientă simpla îmbunătățire a navigabilității. De aceea acțiunile susținute vor include măsuri pentru porturile la Marea Neagră și navigabilitatea litoralului Mării Negre în interiorul zonei transfrontaliere, ca principal coridor de transport care să genereze și să confere relevanță economică Dunării </w:t>
      </w:r>
    </w:p>
    <w:p w:rsidR="00F073D8" w:rsidRPr="00BE3B19" w:rsidRDefault="00CC3DCE" w:rsidP="00F073D8">
      <w:pPr>
        <w:rPr>
          <w:lang w:val="ro-RO"/>
        </w:rPr>
      </w:pPr>
      <w:r>
        <w:rPr>
          <w:lang w:val="ro-RO"/>
        </w:rPr>
        <w:t>Acţiunile indicative care vor fi susţinute î</w:t>
      </w:r>
      <w:r w:rsidR="00F073D8" w:rsidRPr="00BE3B19">
        <w:rPr>
          <w:lang w:val="ro-RO"/>
        </w:rPr>
        <w:t>n cadrul acestui obiectiv specific:</w:t>
      </w:r>
    </w:p>
    <w:p w:rsidR="00F073D8" w:rsidRPr="00BE3B19" w:rsidRDefault="00F073D8" w:rsidP="00F073D8">
      <w:pPr>
        <w:rPr>
          <w:b/>
          <w:u w:val="single"/>
          <w:lang w:val="ro-RO"/>
        </w:rPr>
      </w:pPr>
      <w:r w:rsidRPr="00BE3B19">
        <w:rPr>
          <w:b/>
          <w:u w:val="single"/>
          <w:lang w:val="ro-RO"/>
        </w:rPr>
        <w:t>Măsuri nestructurale:</w:t>
      </w:r>
    </w:p>
    <w:p w:rsidR="00F073D8" w:rsidRPr="00BE3B19" w:rsidRDefault="00F073D8" w:rsidP="00C2513E">
      <w:pPr>
        <w:numPr>
          <w:ilvl w:val="0"/>
          <w:numId w:val="4"/>
        </w:numPr>
        <w:rPr>
          <w:lang w:val="ro-RO"/>
        </w:rPr>
      </w:pPr>
      <w:r w:rsidRPr="00BE3B19">
        <w:rPr>
          <w:lang w:val="ro-RO"/>
        </w:rPr>
        <w:t>Activitate de conștientizare privind importanța dezvoltării și îmbunătățirii sistemelor de transport prietenoase cu mediul în zona transfrontalieră;</w:t>
      </w:r>
    </w:p>
    <w:p w:rsidR="00F073D8" w:rsidRPr="00BE3B19" w:rsidRDefault="00F073D8" w:rsidP="00C2513E">
      <w:pPr>
        <w:numPr>
          <w:ilvl w:val="0"/>
          <w:numId w:val="4"/>
        </w:numPr>
        <w:rPr>
          <w:lang w:val="ro-RO"/>
        </w:rPr>
      </w:pPr>
      <w:r w:rsidRPr="00BE3B19">
        <w:rPr>
          <w:lang w:val="ro-RO"/>
        </w:rPr>
        <w:t>Activități de schimb de experiență</w:t>
      </w:r>
      <w:r w:rsidR="0094033A" w:rsidRPr="00BE3B19">
        <w:rPr>
          <w:lang w:val="ro-RO"/>
        </w:rPr>
        <w:t>,</w:t>
      </w:r>
      <w:r w:rsidRPr="00BE3B19">
        <w:rPr>
          <w:lang w:val="ro-RO"/>
        </w:rPr>
        <w:t xml:space="preserve"> precum seminare comune, vizite de studiu, anchete și instruiri care să conducă la implementarea de noi metode </w:t>
      </w:r>
      <w:r w:rsidR="0094033A" w:rsidRPr="00BE3B19">
        <w:rPr>
          <w:lang w:val="ro-RO"/>
        </w:rPr>
        <w:t>pentru asigurarea navigabilității pe Dunăre/Marea Neagră pe timpul iernii.</w:t>
      </w:r>
    </w:p>
    <w:p w:rsidR="00DA22D7" w:rsidRPr="00BE3B19" w:rsidRDefault="00DA22D7" w:rsidP="00DA22D7">
      <w:pPr>
        <w:rPr>
          <w:b/>
          <w:u w:val="single"/>
          <w:lang w:val="ro-RO"/>
        </w:rPr>
      </w:pPr>
      <w:r w:rsidRPr="00BE3B19">
        <w:rPr>
          <w:b/>
          <w:u w:val="single"/>
          <w:lang w:val="ro-RO"/>
        </w:rPr>
        <w:t>Măsuri structurale:</w:t>
      </w:r>
    </w:p>
    <w:p w:rsidR="00DA22D7" w:rsidRPr="00BE3B19" w:rsidRDefault="00DA22D7" w:rsidP="00C2513E">
      <w:pPr>
        <w:numPr>
          <w:ilvl w:val="0"/>
          <w:numId w:val="4"/>
        </w:numPr>
        <w:rPr>
          <w:lang w:val="ro-RO"/>
        </w:rPr>
      </w:pPr>
      <w:r w:rsidRPr="00BE3B19">
        <w:rPr>
          <w:lang w:val="ro-RO"/>
        </w:rPr>
        <w:t>Investiții (infrastructură și echipamente) pentru îmbun</w:t>
      </w:r>
      <w:r w:rsidR="001C5C72">
        <w:rPr>
          <w:lang w:val="ro-RO"/>
        </w:rPr>
        <w:t>ătățirea transportului maritim ş</w:t>
      </w:r>
      <w:r w:rsidRPr="00BE3B19">
        <w:rPr>
          <w:lang w:val="ro-RO"/>
        </w:rPr>
        <w:t>i fluvial de mărfuri și de pasageri la nivel transfrontalier;</w:t>
      </w:r>
    </w:p>
    <w:p w:rsidR="00DA22D7" w:rsidRPr="00BE3B19" w:rsidRDefault="00DA22D7" w:rsidP="00DA22D7">
      <w:pPr>
        <w:rPr>
          <w:b/>
          <w:u w:val="single"/>
          <w:lang w:val="ro-RO"/>
        </w:rPr>
      </w:pPr>
      <w:r w:rsidRPr="00BE3B19">
        <w:rPr>
          <w:b/>
          <w:u w:val="single"/>
          <w:lang w:val="ro-RO"/>
        </w:rPr>
        <w:t>Măsuri integrate:</w:t>
      </w:r>
    </w:p>
    <w:p w:rsidR="00DA22D7" w:rsidRPr="00BE3B19" w:rsidRDefault="00DA22D7" w:rsidP="00C2513E">
      <w:pPr>
        <w:numPr>
          <w:ilvl w:val="0"/>
          <w:numId w:val="4"/>
        </w:numPr>
        <w:rPr>
          <w:lang w:val="ro-RO"/>
        </w:rPr>
      </w:pPr>
      <w:r w:rsidRPr="00BE3B19">
        <w:rPr>
          <w:lang w:val="ro-RO"/>
        </w:rPr>
        <w:t>Dezvoltarea de planuri și măsuri integrate de îmbunătățire a condițiilor de navigație pe sectorul comun al Dunării în zona transfrontalieră (ex., studii de fezabilitate comune, documentații de proiect tehnic, studii de morfologie și hidro-dinamică pentru studierea condițiilor de acumulare a sedimentelor etc. cu privire la lucrări de regularizare a fluviului, unificarea sistemului de referință utilizat în România și Bulgaria privind Dunărea și introducerea Sistemului Informatic Fluvial);</w:t>
      </w:r>
    </w:p>
    <w:p w:rsidR="00270C38" w:rsidRPr="00BE3B19" w:rsidRDefault="00DA22D7" w:rsidP="00C2513E">
      <w:pPr>
        <w:numPr>
          <w:ilvl w:val="0"/>
          <w:numId w:val="4"/>
        </w:numPr>
        <w:rPr>
          <w:lang w:val="ro-RO"/>
        </w:rPr>
      </w:pPr>
      <w:r w:rsidRPr="00BE3B19">
        <w:rPr>
          <w:lang w:val="ro-RO"/>
        </w:rPr>
        <w:lastRenderedPageBreak/>
        <w:t>Dezvoltarea și implementarea unor strategii, instrumente și aplicații pilot coordonate în comun, pentru a îmbunătăți dezvoltarea nodurilor multimodale și a serviciilor portuare;</w:t>
      </w:r>
    </w:p>
    <w:p w:rsidR="0094033A" w:rsidRPr="00F2516F" w:rsidRDefault="0094033A" w:rsidP="0094033A">
      <w:pPr>
        <w:rPr>
          <w:b/>
          <w:lang w:val="ro-RO"/>
        </w:rPr>
      </w:pPr>
      <w:r w:rsidRPr="00F2516F">
        <w:rPr>
          <w:b/>
          <w:lang w:val="ro-RO"/>
        </w:rPr>
        <w:t xml:space="preserve">Tipuri de </w:t>
      </w:r>
      <w:r>
        <w:rPr>
          <w:b/>
          <w:lang w:val="ro-RO"/>
        </w:rPr>
        <w:t>realizări</w:t>
      </w:r>
    </w:p>
    <w:p w:rsidR="0094033A" w:rsidRPr="00F2516F" w:rsidRDefault="0094033A" w:rsidP="0094033A">
      <w:pPr>
        <w:rPr>
          <w:lang w:val="ro-RO"/>
        </w:rPr>
      </w:pPr>
      <w:r w:rsidRPr="00F2516F">
        <w:rPr>
          <w:lang w:val="ro-RO"/>
        </w:rPr>
        <w:t>În cadrul acțiunilor sprijinite pot fi obțin</w:t>
      </w:r>
      <w:r>
        <w:rPr>
          <w:lang w:val="ro-RO"/>
        </w:rPr>
        <w:t>ute tipuri diferite de realizări</w:t>
      </w:r>
      <w:r w:rsidRPr="00F2516F">
        <w:rPr>
          <w:lang w:val="ro-RO"/>
        </w:rPr>
        <w:t>. Atenție deosebită va fi acordată strategiilor, planurilor și măsurilor integrate și investițiilor la nivel transfrontalier cu scopul de a îmbunătăți transportul riveran de pasageri și</w:t>
      </w:r>
      <w:r>
        <w:rPr>
          <w:lang w:val="ro-RO"/>
        </w:rPr>
        <w:t xml:space="preserve"> mărfuri.  Tipurile de realizări</w:t>
      </w:r>
      <w:r w:rsidRPr="00F2516F">
        <w:rPr>
          <w:lang w:val="ro-RO"/>
        </w:rPr>
        <w:t xml:space="preserve"> (fără a fi limitate de această listă) pot consta în:</w:t>
      </w:r>
    </w:p>
    <w:p w:rsidR="0094033A" w:rsidRPr="00F2516F" w:rsidRDefault="0094033A" w:rsidP="00EC1DA9">
      <w:pPr>
        <w:pStyle w:val="ListParagraph"/>
        <w:numPr>
          <w:ilvl w:val="0"/>
          <w:numId w:val="20"/>
        </w:numPr>
        <w:rPr>
          <w:lang w:val="ro-RO"/>
        </w:rPr>
      </w:pPr>
      <w:r>
        <w:rPr>
          <w:lang w:val="ro-RO"/>
        </w:rPr>
        <w:t>Planuri și măsuri</w:t>
      </w:r>
      <w:r w:rsidRPr="00F2516F">
        <w:rPr>
          <w:lang w:val="ro-RO"/>
        </w:rPr>
        <w:t xml:space="preserve"> integrate privind îmbunătățirea condițiilor de navigație,</w:t>
      </w:r>
    </w:p>
    <w:p w:rsidR="0094033A" w:rsidRPr="00F2516F" w:rsidRDefault="0094033A" w:rsidP="00EC1DA9">
      <w:pPr>
        <w:pStyle w:val="ListParagraph"/>
        <w:numPr>
          <w:ilvl w:val="0"/>
          <w:numId w:val="20"/>
        </w:numPr>
        <w:rPr>
          <w:lang w:val="ro-RO"/>
        </w:rPr>
      </w:pPr>
      <w:r>
        <w:rPr>
          <w:lang w:val="ro-RO"/>
        </w:rPr>
        <w:t>Strategii coordonate, instrumente și aplicații</w:t>
      </w:r>
      <w:r w:rsidRPr="00F2516F">
        <w:rPr>
          <w:lang w:val="ro-RO"/>
        </w:rPr>
        <w:t xml:space="preserve"> pilot comune,</w:t>
      </w:r>
    </w:p>
    <w:p w:rsidR="0094033A" w:rsidRPr="00F2516F" w:rsidRDefault="0094033A" w:rsidP="00EC1DA9">
      <w:pPr>
        <w:pStyle w:val="ListParagraph"/>
        <w:numPr>
          <w:ilvl w:val="0"/>
          <w:numId w:val="20"/>
        </w:numPr>
        <w:rPr>
          <w:lang w:val="ro-RO"/>
        </w:rPr>
      </w:pPr>
      <w:r w:rsidRPr="00F2516F">
        <w:rPr>
          <w:lang w:val="ro-RO"/>
        </w:rPr>
        <w:t>Creșter</w:t>
      </w:r>
      <w:r>
        <w:rPr>
          <w:lang w:val="ro-RO"/>
        </w:rPr>
        <w:t>ea conștientizării și schimburilor</w:t>
      </w:r>
      <w:r w:rsidRPr="00F2516F">
        <w:rPr>
          <w:lang w:val="ro-RO"/>
        </w:rPr>
        <w:t xml:space="preserve"> de experiență pentru îmbunătățirea capacității grupurilor țintă (actori mobilitate) de a răspunde mai bine la problemele legate de navigabilitate,</w:t>
      </w:r>
    </w:p>
    <w:p w:rsidR="0094033A" w:rsidRPr="00F2516F" w:rsidRDefault="0094033A" w:rsidP="00EC1DA9">
      <w:pPr>
        <w:pStyle w:val="ListParagraph"/>
        <w:numPr>
          <w:ilvl w:val="0"/>
          <w:numId w:val="20"/>
        </w:numPr>
        <w:rPr>
          <w:lang w:val="ro-RO"/>
        </w:rPr>
      </w:pPr>
      <w:r w:rsidRPr="00F2516F">
        <w:rPr>
          <w:lang w:val="ro-RO"/>
        </w:rPr>
        <w:t>Investiții ce îmbunătățesc transportul maritim și riveran de pasageri și mărfuri.</w:t>
      </w:r>
    </w:p>
    <w:p w:rsidR="0094033A" w:rsidRPr="00F2516F" w:rsidRDefault="0094033A" w:rsidP="0094033A">
      <w:pPr>
        <w:rPr>
          <w:b/>
          <w:szCs w:val="24"/>
          <w:lang w:val="ro-RO" w:eastAsia="fr-BE"/>
        </w:rPr>
      </w:pPr>
      <w:r w:rsidRPr="00F2516F">
        <w:rPr>
          <w:b/>
          <w:szCs w:val="24"/>
          <w:lang w:val="ro-RO" w:eastAsia="fr-BE"/>
        </w:rPr>
        <w:t>Principalele grupuri țintă și tipurile de beneficiari</w:t>
      </w:r>
    </w:p>
    <w:p w:rsidR="0094033A" w:rsidRPr="00F2516F" w:rsidRDefault="0094033A" w:rsidP="0094033A">
      <w:pPr>
        <w:rPr>
          <w:lang w:val="ro-RO"/>
        </w:rPr>
      </w:pPr>
      <w:r w:rsidRPr="00F2516F">
        <w:rPr>
          <w:lang w:val="ro-RO"/>
        </w:rPr>
        <w:t xml:space="preserve">Diversitatea considerabilă a </w:t>
      </w:r>
      <w:r w:rsidRPr="00620311">
        <w:rPr>
          <w:b/>
          <w:lang w:val="ro-RO"/>
        </w:rPr>
        <w:t>grupurilor țintă</w:t>
      </w:r>
      <w:r w:rsidRPr="00F2516F">
        <w:rPr>
          <w:lang w:val="ro-RO"/>
        </w:rPr>
        <w:t xml:space="preserve"> pentru măsurile sprijinite de acest obiectiv include sectoarele public și privat: furnizori și operatori de transport de pasageri și mărfuri, serviciile de logistică (de exemplu, companii feroviare, companii de navigație, porturi, operatori de terminal, furnizori de servicii logistice/centre și platforme logistice), instituții ce se ocupă de planificarea și gestionarea transportului de pasageri și mărfuri, furnizori de infrastructură publică, asociațiile de transport fluvial și, în general, toți factorii publici sau privați ce pot beneficia de creșterea activității de transport pe Dunăre și Marea Neagră.</w:t>
      </w:r>
    </w:p>
    <w:p w:rsidR="0094033A" w:rsidRPr="00F2516F" w:rsidRDefault="0094033A" w:rsidP="0094033A">
      <w:pPr>
        <w:rPr>
          <w:lang w:val="ro-RO"/>
        </w:rPr>
      </w:pPr>
      <w:r w:rsidRPr="00620311">
        <w:rPr>
          <w:b/>
          <w:lang w:val="ro-RO"/>
        </w:rPr>
        <w:t>Beneficiarii</w:t>
      </w:r>
      <w:r w:rsidRPr="00F2516F">
        <w:rPr>
          <w:lang w:val="ro-RO"/>
        </w:rPr>
        <w:t xml:space="preserve"> sunt toți factorii interesați ce pot contribui efectiv la dezvoltarea navigabilității pe sectoarele Dunării și Mării Negre aflate în zona transfrontalieră: autoritățile publice locale, regionale și naționale (în special cele cu prerogative în domeniul planificării și dezvoltării infrastructurii de transport și cele ce </w:t>
      </w:r>
      <w:r>
        <w:rPr>
          <w:lang w:val="ro-RO"/>
        </w:rPr>
        <w:t xml:space="preserve">se </w:t>
      </w:r>
      <w:r w:rsidRPr="00F2516F">
        <w:rPr>
          <w:lang w:val="ro-RO"/>
        </w:rPr>
        <w:t>ocupă de gestionarea problemelor de navigabilitate), asociațiile și organizațiile de transportatori, Camerele de Comerț, ONG-urile, administratorii de râu, precum și universitățile și institutele de cercetare.</w:t>
      </w:r>
    </w:p>
    <w:p w:rsidR="0094033A" w:rsidRPr="00F2516F" w:rsidRDefault="0094033A" w:rsidP="0094033A">
      <w:pPr>
        <w:rPr>
          <w:b/>
          <w:lang w:val="ro-RO"/>
        </w:rPr>
      </w:pPr>
      <w:r w:rsidRPr="00F2516F">
        <w:rPr>
          <w:b/>
          <w:lang w:val="ro-RO"/>
        </w:rPr>
        <w:t>Regiunile specifice vizate</w:t>
      </w:r>
    </w:p>
    <w:p w:rsidR="0094033A" w:rsidRPr="00F2516F" w:rsidRDefault="0094033A" w:rsidP="0094033A">
      <w:pPr>
        <w:rPr>
          <w:lang w:val="ro-RO"/>
        </w:rPr>
      </w:pPr>
      <w:r w:rsidRPr="00F2516F">
        <w:rPr>
          <w:lang w:val="ro-RO"/>
        </w:rPr>
        <w:t xml:space="preserve">Datorită obiectivului de navigabilitate pe Dunăre și Marea Neagră, acțiunile sprijinite de acesta vor viza vecinătatea imediată a Dunării și Mării Negre în cadrul </w:t>
      </w:r>
      <w:r>
        <w:rPr>
          <w:lang w:val="ro-RO"/>
        </w:rPr>
        <w:t xml:space="preserve">zonei </w:t>
      </w:r>
      <w:r w:rsidRPr="00F2516F">
        <w:rPr>
          <w:lang w:val="ro-RO"/>
        </w:rPr>
        <w:t xml:space="preserve">transfrontaliere. Activitățile care pot contribui la atingerea obiectivului (precum cercetarea aplicată în măsuri eficace de îmbunătățire a navigavilității) vor fi sprijinite, chiar dacă se petrec în afara regiunii, atâta timp cât respectă condițiile generale de eligibilitate. </w:t>
      </w:r>
    </w:p>
    <w:p w:rsidR="00BE3B19" w:rsidRDefault="00BE3B19" w:rsidP="00BE3B19">
      <w:pPr>
        <w:pStyle w:val="Heading2"/>
        <w:rPr>
          <w:lang w:val="ro-RO" w:eastAsia="fr-BE"/>
        </w:rPr>
      </w:pPr>
      <w:bookmarkStart w:id="46" w:name="_Toc394837774"/>
      <w:r w:rsidRPr="00F2516F">
        <w:rPr>
          <w:lang w:val="ro-RO" w:eastAsia="fr-BE"/>
        </w:rPr>
        <w:t>2.A.6.2. Principiile directoare pentru selectarea operațiunilor</w:t>
      </w:r>
      <w:bookmarkEnd w:id="46"/>
    </w:p>
    <w:p w:rsidR="00BE3B19" w:rsidRPr="00BE3B19" w:rsidRDefault="00BE3B19" w:rsidP="00BE3B19">
      <w:pPr>
        <w:rPr>
          <w:i/>
          <w:lang w:val="ro-RO" w:eastAsia="fr-BE"/>
        </w:rPr>
      </w:pPr>
      <w:r w:rsidRPr="00BE3B19">
        <w:rPr>
          <w:i/>
          <w:lang w:val="ro-RO" w:eastAsia="fr-BE"/>
        </w:rPr>
        <w:t>Prioritate de investiții</w:t>
      </w:r>
      <w:r>
        <w:rPr>
          <w:i/>
          <w:lang w:val="ro-RO" w:eastAsia="fr-BE"/>
        </w:rPr>
        <w:t xml:space="preserve"> 7.c.</w:t>
      </w:r>
    </w:p>
    <w:p w:rsidR="00BE3B19" w:rsidRPr="00F2516F" w:rsidRDefault="00BE3B19" w:rsidP="00BE3B19">
      <w:pPr>
        <w:rPr>
          <w:szCs w:val="24"/>
          <w:lang w:val="ro-RO"/>
        </w:rPr>
      </w:pPr>
      <w:r w:rsidRPr="00F2516F">
        <w:rPr>
          <w:szCs w:val="24"/>
          <w:lang w:val="ro-RO"/>
        </w:rPr>
        <w:t>Selectarea operațiunilor va fi realizată într-o manieră similară pentru toate axele prioritare. O atenție specială va fi acordată asigurării că investițiile sprijinite sub acest obiectiv specific nu se vor suprapune cu orice alte activități/</w:t>
      </w:r>
      <w:r>
        <w:rPr>
          <w:szCs w:val="24"/>
          <w:lang w:val="ro-RO"/>
        </w:rPr>
        <w:t>realizări</w:t>
      </w:r>
      <w:r w:rsidRPr="00F2516F">
        <w:rPr>
          <w:szCs w:val="24"/>
          <w:lang w:val="ro-RO"/>
        </w:rPr>
        <w:t xml:space="preserve"> finanțate prin alte instrumente de intervenție. </w:t>
      </w:r>
    </w:p>
    <w:p w:rsidR="00BE3B19" w:rsidRPr="00F2516F" w:rsidRDefault="00BE3B19" w:rsidP="00BE3B19">
      <w:pPr>
        <w:rPr>
          <w:szCs w:val="24"/>
          <w:lang w:val="ro-RO"/>
        </w:rPr>
      </w:pPr>
      <w:r w:rsidRPr="00F2516F">
        <w:rPr>
          <w:szCs w:val="24"/>
          <w:lang w:val="ro-RO"/>
        </w:rPr>
        <w:t xml:space="preserve">Evaluarea va avea două faze. O fază va privi criteriile administrative și de eligibilitate, realizată într-un mod strict de către Secretariatul Comun (SC). A doua fază va privi evaluarea tehnică, realizată, dacă este necesar, cu ajutorul experților externi contractați. </w:t>
      </w:r>
    </w:p>
    <w:p w:rsidR="00BE3B19" w:rsidRPr="00F2516F" w:rsidRDefault="00BE3B19" w:rsidP="00BE3B19">
      <w:pPr>
        <w:rPr>
          <w:szCs w:val="24"/>
          <w:lang w:val="ro-RO"/>
        </w:rPr>
      </w:pPr>
      <w:r w:rsidRPr="00F2516F">
        <w:rPr>
          <w:szCs w:val="24"/>
          <w:lang w:val="ro-RO"/>
        </w:rPr>
        <w:lastRenderedPageBreak/>
        <w:t xml:space="preserve">Criteriile de eligibilitate vor verifica atât eligibilitatea operațiunilor, cât și a beneficiarilor și a cheltuielilor. </w:t>
      </w:r>
    </w:p>
    <w:p w:rsidR="00BE3B19" w:rsidRPr="00F2516F" w:rsidRDefault="00BE3B19" w:rsidP="00BE3B19">
      <w:pPr>
        <w:rPr>
          <w:rFonts w:eastAsia="Times New Roman"/>
          <w:szCs w:val="24"/>
          <w:lang w:val="ro-RO" w:eastAsia="fr-BE"/>
        </w:rPr>
      </w:pPr>
      <w:r w:rsidRPr="00F2516F">
        <w:rPr>
          <w:rFonts w:eastAsia="Times New Roman"/>
          <w:szCs w:val="24"/>
          <w:lang w:val="ro-RO" w:eastAsia="fr-BE"/>
        </w:rPr>
        <w:t xml:space="preserve">Operațiunile sunt eligibile dacă sunt cuprinse în obiectivele specifice ale Programului și dacă ele contribuie la măcar unul din rezultatele programului. </w:t>
      </w:r>
    </w:p>
    <w:p w:rsidR="00BE3B19" w:rsidRPr="00F2516F" w:rsidRDefault="00BE3B19" w:rsidP="00BE3B19">
      <w:pPr>
        <w:rPr>
          <w:rFonts w:eastAsia="Times New Roman"/>
          <w:szCs w:val="24"/>
          <w:lang w:val="ro-RO" w:eastAsia="fr-BE"/>
        </w:rPr>
      </w:pPr>
      <w:r w:rsidRPr="00F2516F">
        <w:rPr>
          <w:rFonts w:eastAsia="Times New Roman"/>
          <w:szCs w:val="24"/>
          <w:lang w:val="ro-RO" w:eastAsia="fr-BE"/>
        </w:rPr>
        <w:t xml:space="preserve">În cazul în care o operațiune nu contribuie la obiectivul specific și la unul din rezultatele programului, ea va fi respinsă în prima fază (evaluarea administrativă și de eligibilitate). Gradul în care o operațiune contribuie la obiectivele specifice și </w:t>
      </w:r>
      <w:r>
        <w:rPr>
          <w:rFonts w:eastAsia="Times New Roman"/>
          <w:szCs w:val="24"/>
          <w:lang w:val="ro-RO" w:eastAsia="fr-BE"/>
        </w:rPr>
        <w:t xml:space="preserve">la </w:t>
      </w:r>
      <w:r w:rsidRPr="00F2516F">
        <w:rPr>
          <w:rFonts w:eastAsia="Times New Roman"/>
          <w:szCs w:val="24"/>
          <w:lang w:val="ro-RO" w:eastAsia="fr-BE"/>
        </w:rPr>
        <w:t xml:space="preserve">rezultate va fi punctată în cadrul evaluării tehnice. </w:t>
      </w:r>
    </w:p>
    <w:p w:rsidR="00BE3B19" w:rsidRPr="00F2516F" w:rsidRDefault="00BE3B19" w:rsidP="00BE3B19">
      <w:pPr>
        <w:rPr>
          <w:rFonts w:eastAsia="Times New Roman"/>
          <w:szCs w:val="24"/>
          <w:lang w:val="ro-RO" w:eastAsia="fr-BE"/>
        </w:rPr>
      </w:pPr>
      <w:r w:rsidRPr="00F2516F">
        <w:rPr>
          <w:rFonts w:eastAsia="Times New Roman"/>
          <w:szCs w:val="24"/>
          <w:lang w:val="ro-RO" w:eastAsia="fr-BE"/>
        </w:rPr>
        <w:t>Beneficiarii eligibil</w:t>
      </w:r>
      <w:r>
        <w:rPr>
          <w:rFonts w:eastAsia="Times New Roman"/>
          <w:szCs w:val="24"/>
          <w:lang w:val="ro-RO" w:eastAsia="fr-BE"/>
        </w:rPr>
        <w:t>i</w:t>
      </w:r>
      <w:r w:rsidRPr="00F2516F">
        <w:rPr>
          <w:rFonts w:eastAsia="Times New Roman"/>
          <w:szCs w:val="24"/>
          <w:lang w:val="ro-RO" w:eastAsia="fr-BE"/>
        </w:rPr>
        <w:t xml:space="preserve"> sunt instituțiile publice și private responsabile pentru inițierea sau inițierea și implementarea operațiunilor ce respectă condițiile specifice din cererile de propuneri. </w:t>
      </w:r>
    </w:p>
    <w:p w:rsidR="00BE3B19" w:rsidRPr="00F2516F" w:rsidRDefault="00BE3B19" w:rsidP="00BE3B19">
      <w:pPr>
        <w:rPr>
          <w:rFonts w:eastAsia="Times New Roman"/>
          <w:szCs w:val="24"/>
          <w:lang w:val="ro-RO" w:eastAsia="fr-BE"/>
        </w:rPr>
      </w:pPr>
      <w:r w:rsidRPr="00F2516F">
        <w:rPr>
          <w:rFonts w:eastAsia="Times New Roman"/>
          <w:szCs w:val="24"/>
          <w:lang w:val="ro-RO" w:eastAsia="fr-BE"/>
        </w:rPr>
        <w:t xml:space="preserve">În ceea ce privește cheltuielile eligibile, lista va fi aprobată de către Comitetul de Monitorizare. </w:t>
      </w:r>
      <w:r w:rsidRPr="00AB6AD7">
        <w:rPr>
          <w:rFonts w:eastAsia="Times New Roman"/>
          <w:szCs w:val="24"/>
          <w:lang w:val="ro-RO" w:eastAsia="fr-BE"/>
        </w:rPr>
        <w:t>Niciun alt act legal național nu este necesar</w:t>
      </w:r>
      <w:r w:rsidRPr="00F2516F">
        <w:rPr>
          <w:rFonts w:eastAsia="Times New Roman"/>
          <w:color w:val="FF0000"/>
          <w:szCs w:val="24"/>
          <w:lang w:val="ro-RO" w:eastAsia="fr-BE"/>
        </w:rPr>
        <w:t xml:space="preserve">. </w:t>
      </w:r>
      <w:r w:rsidRPr="00F2516F">
        <w:rPr>
          <w:rFonts w:eastAsia="Times New Roman"/>
          <w:szCs w:val="24"/>
          <w:lang w:val="ro-RO" w:eastAsia="fr-BE"/>
        </w:rPr>
        <w:t>În cadrul fazei administrative va fi verificată doar conformitatea tipurilor de cheltuieli.</w:t>
      </w:r>
    </w:p>
    <w:p w:rsidR="00BE3B19" w:rsidRPr="00F2516F" w:rsidRDefault="00BE3B19" w:rsidP="00BE3B19">
      <w:pPr>
        <w:rPr>
          <w:rFonts w:eastAsia="Times New Roman"/>
          <w:szCs w:val="24"/>
          <w:lang w:val="ro-RO" w:eastAsia="fr-BE"/>
        </w:rPr>
      </w:pPr>
      <w:r w:rsidRPr="00F2516F">
        <w:rPr>
          <w:rFonts w:eastAsia="Times New Roman"/>
          <w:szCs w:val="24"/>
          <w:lang w:val="ro-RO" w:eastAsia="fr-BE"/>
        </w:rPr>
        <w:t xml:space="preserve">După ce SC </w:t>
      </w:r>
      <w:r>
        <w:rPr>
          <w:rFonts w:eastAsia="Times New Roman"/>
          <w:szCs w:val="24"/>
          <w:lang w:val="ro-RO" w:eastAsia="fr-BE"/>
        </w:rPr>
        <w:t>evaluează</w:t>
      </w:r>
      <w:r w:rsidRPr="00F2516F">
        <w:rPr>
          <w:rFonts w:eastAsia="Times New Roman"/>
          <w:szCs w:val="24"/>
          <w:lang w:val="ro-RO" w:eastAsia="fr-BE"/>
        </w:rPr>
        <w:t xml:space="preserve"> proiectele, lista va fi înaintată Comitetului de Monitorizare pentru decizia privind selectarea.</w:t>
      </w:r>
    </w:p>
    <w:p w:rsidR="002564E4" w:rsidRPr="00E33A23" w:rsidRDefault="002564E4" w:rsidP="00E33A23">
      <w:pPr>
        <w:rPr>
          <w:highlight w:val="red"/>
          <w:lang w:val="ro-RO"/>
        </w:rPr>
      </w:pPr>
      <w:bookmarkStart w:id="47" w:name="_Toc394837775"/>
      <w:r w:rsidRPr="00A77C97">
        <w:rPr>
          <w:rStyle w:val="Heading2Char"/>
          <w:rFonts w:eastAsia="Calibri"/>
          <w:lang w:val="ro-RO"/>
        </w:rPr>
        <w:t xml:space="preserve">2.A.6.3. </w:t>
      </w:r>
      <w:r w:rsidR="00BE3B19" w:rsidRPr="00A77C97">
        <w:rPr>
          <w:rStyle w:val="Heading2Char"/>
          <w:rFonts w:eastAsia="Calibri"/>
          <w:lang w:val="ro-RO"/>
        </w:rPr>
        <w:t>Utilizarea planificată a instrumentelor financiare</w:t>
      </w:r>
      <w:bookmarkEnd w:id="47"/>
      <w:r w:rsidR="00BE3B19" w:rsidRPr="00E33A23">
        <w:rPr>
          <w:lang w:val="ro-RO"/>
        </w:rPr>
        <w:t xml:space="preserve"> (după caz)</w:t>
      </w:r>
    </w:p>
    <w:p w:rsidR="002564E4" w:rsidRPr="00E33A23" w:rsidRDefault="00BE3B19" w:rsidP="002564E4">
      <w:pPr>
        <w:keepNext/>
        <w:spacing w:after="240" w:line="276" w:lineRule="auto"/>
        <w:outlineLvl w:val="2"/>
        <w:rPr>
          <w:rFonts w:eastAsia="Times New Roman"/>
          <w:b/>
          <w:i/>
          <w:lang w:val="ro-RO"/>
        </w:rPr>
      </w:pPr>
      <w:r w:rsidRPr="00E33A23">
        <w:rPr>
          <w:lang w:val="ro-RO"/>
        </w:rPr>
        <w:t>Nu se aplică</w:t>
      </w:r>
    </w:p>
    <w:p w:rsidR="002564E4" w:rsidRPr="00E33A23" w:rsidRDefault="002564E4" w:rsidP="00E33A23">
      <w:pPr>
        <w:rPr>
          <w:lang w:val="ro-RO"/>
        </w:rPr>
      </w:pPr>
      <w:bookmarkStart w:id="48" w:name="_Toc394837776"/>
      <w:r w:rsidRPr="00A77C97">
        <w:rPr>
          <w:rStyle w:val="Heading2Char"/>
          <w:rFonts w:eastAsia="Calibri"/>
          <w:lang w:val="ro-RO"/>
        </w:rPr>
        <w:t xml:space="preserve">2.A.6.4. </w:t>
      </w:r>
      <w:r w:rsidR="00E33A23" w:rsidRPr="00A77C97">
        <w:rPr>
          <w:rStyle w:val="Heading2Char"/>
          <w:rFonts w:eastAsia="Calibri"/>
          <w:lang w:val="ro-RO"/>
        </w:rPr>
        <w:t>Utilizarea planificată a proiectelor majore</w:t>
      </w:r>
      <w:bookmarkEnd w:id="48"/>
      <w:r w:rsidR="00E33A23" w:rsidRPr="00E33A23">
        <w:rPr>
          <w:lang w:val="ro-RO"/>
        </w:rPr>
        <w:t xml:space="preserve"> (după caz</w:t>
      </w:r>
      <w:r w:rsidR="00E33A23">
        <w:rPr>
          <w:lang w:val="ro-RO"/>
        </w:rPr>
        <w:t>)</w:t>
      </w:r>
    </w:p>
    <w:p w:rsidR="00E33A23" w:rsidRPr="00E33A23" w:rsidRDefault="00E33A23" w:rsidP="00E33A23">
      <w:pPr>
        <w:keepNext/>
        <w:spacing w:after="240" w:line="276" w:lineRule="auto"/>
        <w:outlineLvl w:val="2"/>
        <w:rPr>
          <w:rFonts w:eastAsia="Times New Roman"/>
          <w:b/>
          <w:i/>
          <w:lang w:val="ro-RO"/>
        </w:rPr>
      </w:pPr>
      <w:bookmarkStart w:id="49" w:name="_Toc389657969"/>
      <w:r w:rsidRPr="00E33A23">
        <w:rPr>
          <w:lang w:val="ro-RO"/>
        </w:rPr>
        <w:t>Nu se aplică</w:t>
      </w:r>
    </w:p>
    <w:p w:rsidR="002564E4" w:rsidRPr="00E33A23" w:rsidRDefault="002564E4" w:rsidP="002E1C90">
      <w:pPr>
        <w:pStyle w:val="Heading2"/>
        <w:rPr>
          <w:lang w:val="fr-FR"/>
        </w:rPr>
      </w:pPr>
      <w:bookmarkStart w:id="50" w:name="_Toc394837777"/>
      <w:r w:rsidRPr="00E33A23">
        <w:rPr>
          <w:lang w:val="ro-RO"/>
        </w:rPr>
        <w:t xml:space="preserve">2.A.6.5. </w:t>
      </w:r>
      <w:r w:rsidR="00E33A23" w:rsidRPr="00E33A23">
        <w:rPr>
          <w:lang w:val="ro-RO"/>
        </w:rPr>
        <w:t>Indicatori de realizare (pe prioritate de investiții)</w:t>
      </w:r>
      <w:bookmarkEnd w:id="49"/>
      <w:bookmarkEnd w:id="50"/>
    </w:p>
    <w:p w:rsidR="002564E4" w:rsidRPr="00E33A23" w:rsidRDefault="00E33A23" w:rsidP="00E33A23">
      <w:pPr>
        <w:pStyle w:val="Heading2"/>
        <w:rPr>
          <w:b w:val="0"/>
          <w:highlight w:val="red"/>
          <w:lang w:val="fr-FR"/>
        </w:rPr>
      </w:pPr>
      <w:bookmarkStart w:id="51" w:name="_Toc394837778"/>
      <w:r w:rsidRPr="00E33A23">
        <w:rPr>
          <w:lang w:val="fr-FR"/>
        </w:rPr>
        <w:t>Tabelul</w:t>
      </w:r>
      <w:r w:rsidR="002564E4" w:rsidRPr="00E33A23">
        <w:rPr>
          <w:lang w:val="fr-FR"/>
        </w:rPr>
        <w:t xml:space="preserve"> 4: </w:t>
      </w:r>
      <w:r w:rsidRPr="00E33A23">
        <w:rPr>
          <w:lang w:val="fr-FR"/>
        </w:rPr>
        <w:t>Indicatori de realizare comuni și specifici programulu</w:t>
      </w:r>
      <w:r>
        <w:rPr>
          <w:lang w:val="fr-FR"/>
        </w:rPr>
        <w:t>i</w:t>
      </w:r>
      <w:bookmarkEnd w:id="5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1948"/>
        <w:gridCol w:w="1543"/>
        <w:gridCol w:w="1324"/>
        <w:gridCol w:w="1681"/>
        <w:gridCol w:w="1679"/>
      </w:tblGrid>
      <w:tr w:rsidR="002564E4" w:rsidRPr="00D74F62" w:rsidTr="007173F3">
        <w:trPr>
          <w:trHeight w:val="706"/>
          <w:jc w:val="center"/>
        </w:trPr>
        <w:tc>
          <w:tcPr>
            <w:tcW w:w="598" w:type="pct"/>
            <w:hideMark/>
          </w:tcPr>
          <w:p w:rsidR="002564E4" w:rsidRPr="00D80A41" w:rsidRDefault="002564E4" w:rsidP="007173F3">
            <w:pPr>
              <w:spacing w:after="240" w:line="276" w:lineRule="auto"/>
              <w:ind w:left="283" w:hanging="283"/>
              <w:jc w:val="left"/>
              <w:rPr>
                <w:rFonts w:eastAsia="Times New Roman"/>
                <w:b/>
                <w:sz w:val="20"/>
                <w:lang w:val="en-US"/>
              </w:rPr>
            </w:pPr>
            <w:r w:rsidRPr="00D80A41">
              <w:rPr>
                <w:rFonts w:eastAsia="Times New Roman"/>
                <w:b/>
                <w:sz w:val="20"/>
                <w:lang w:val="en-US"/>
              </w:rPr>
              <w:t>ID</w:t>
            </w:r>
          </w:p>
        </w:tc>
        <w:tc>
          <w:tcPr>
            <w:tcW w:w="1049" w:type="pct"/>
            <w:hideMark/>
          </w:tcPr>
          <w:p w:rsidR="002564E4" w:rsidRPr="00D80A41" w:rsidRDefault="00D80A41" w:rsidP="007173F3">
            <w:pPr>
              <w:spacing w:after="240" w:line="276" w:lineRule="auto"/>
              <w:ind w:left="283" w:hanging="283"/>
              <w:jc w:val="left"/>
              <w:rPr>
                <w:rFonts w:eastAsia="Times New Roman"/>
                <w:b/>
                <w:sz w:val="20"/>
                <w:lang w:val="en-US"/>
              </w:rPr>
            </w:pPr>
            <w:r w:rsidRPr="00D80A41">
              <w:rPr>
                <w:rFonts w:eastAsia="Times New Roman"/>
                <w:b/>
                <w:sz w:val="20"/>
                <w:lang w:val="en-US"/>
              </w:rPr>
              <w:t>Indicator (denumirea indicatorului)</w:t>
            </w:r>
          </w:p>
        </w:tc>
        <w:tc>
          <w:tcPr>
            <w:tcW w:w="831" w:type="pct"/>
            <w:hideMark/>
          </w:tcPr>
          <w:p w:rsidR="002564E4" w:rsidRPr="00D80A41" w:rsidRDefault="00D80A41" w:rsidP="007173F3">
            <w:pPr>
              <w:spacing w:after="240" w:line="276" w:lineRule="auto"/>
              <w:jc w:val="left"/>
              <w:rPr>
                <w:rFonts w:eastAsia="Times New Roman"/>
                <w:b/>
                <w:sz w:val="20"/>
                <w:lang w:val="en-US"/>
              </w:rPr>
            </w:pPr>
            <w:r w:rsidRPr="00D80A41">
              <w:rPr>
                <w:rFonts w:eastAsia="Times New Roman"/>
                <w:b/>
                <w:sz w:val="20"/>
                <w:lang w:val="en-US"/>
              </w:rPr>
              <w:t>Unitate de măsură</w:t>
            </w:r>
          </w:p>
        </w:tc>
        <w:tc>
          <w:tcPr>
            <w:tcW w:w="713" w:type="pct"/>
            <w:hideMark/>
          </w:tcPr>
          <w:p w:rsidR="002564E4" w:rsidRPr="00D80A41" w:rsidRDefault="00D80A41" w:rsidP="007173F3">
            <w:pPr>
              <w:spacing w:after="240" w:line="276" w:lineRule="auto"/>
              <w:jc w:val="left"/>
              <w:rPr>
                <w:rFonts w:eastAsia="Times New Roman"/>
                <w:b/>
                <w:sz w:val="20"/>
                <w:lang w:val="en-US"/>
              </w:rPr>
            </w:pPr>
            <w:r w:rsidRPr="00D80A41">
              <w:rPr>
                <w:rFonts w:eastAsia="Times New Roman"/>
                <w:b/>
                <w:sz w:val="20"/>
                <w:lang w:val="en-US"/>
              </w:rPr>
              <w:t>Valoarea-țintă (2023)</w:t>
            </w:r>
          </w:p>
        </w:tc>
        <w:tc>
          <w:tcPr>
            <w:tcW w:w="905" w:type="pct"/>
            <w:hideMark/>
          </w:tcPr>
          <w:p w:rsidR="002564E4" w:rsidRPr="00D80A41" w:rsidRDefault="00D80A41" w:rsidP="007173F3">
            <w:pPr>
              <w:spacing w:after="240" w:line="276" w:lineRule="auto"/>
              <w:jc w:val="left"/>
              <w:rPr>
                <w:rFonts w:eastAsia="Times New Roman"/>
                <w:b/>
                <w:sz w:val="20"/>
                <w:lang w:val="en-US"/>
              </w:rPr>
            </w:pPr>
            <w:r w:rsidRPr="00D80A41">
              <w:rPr>
                <w:rFonts w:eastAsia="Times New Roman"/>
                <w:b/>
                <w:sz w:val="20"/>
                <w:lang w:val="en-US"/>
              </w:rPr>
              <w:t>Sursa datelor</w:t>
            </w:r>
          </w:p>
        </w:tc>
        <w:tc>
          <w:tcPr>
            <w:tcW w:w="904" w:type="pct"/>
            <w:hideMark/>
          </w:tcPr>
          <w:p w:rsidR="002564E4" w:rsidRPr="00D80A41" w:rsidRDefault="00D80A41" w:rsidP="007173F3">
            <w:pPr>
              <w:spacing w:after="240" w:line="276" w:lineRule="auto"/>
              <w:jc w:val="left"/>
              <w:rPr>
                <w:rFonts w:eastAsia="Times New Roman"/>
                <w:b/>
                <w:sz w:val="20"/>
                <w:lang w:val="en-US"/>
              </w:rPr>
            </w:pPr>
            <w:r w:rsidRPr="00D80A41">
              <w:rPr>
                <w:rFonts w:eastAsia="Times New Roman"/>
                <w:b/>
                <w:sz w:val="20"/>
                <w:lang w:val="en-US"/>
              </w:rPr>
              <w:t>Frecvența raportării</w:t>
            </w:r>
          </w:p>
        </w:tc>
      </w:tr>
      <w:tr w:rsidR="002564E4" w:rsidRPr="00D74F62" w:rsidTr="007173F3">
        <w:trPr>
          <w:trHeight w:val="79"/>
          <w:jc w:val="center"/>
        </w:trPr>
        <w:tc>
          <w:tcPr>
            <w:tcW w:w="598" w:type="pct"/>
            <w:hideMark/>
          </w:tcPr>
          <w:p w:rsidR="002564E4" w:rsidRPr="00D80A41" w:rsidRDefault="002564E4" w:rsidP="007173F3">
            <w:pPr>
              <w:spacing w:after="240" w:line="276" w:lineRule="auto"/>
              <w:jc w:val="left"/>
              <w:rPr>
                <w:szCs w:val="24"/>
                <w:lang w:val="en-US" w:eastAsia="en-US"/>
              </w:rPr>
            </w:pPr>
            <w:r w:rsidRPr="00D80A41">
              <w:rPr>
                <w:szCs w:val="24"/>
                <w:lang w:val="en-US" w:eastAsia="en-US"/>
              </w:rPr>
              <w:t>7c.1</w:t>
            </w:r>
          </w:p>
        </w:tc>
        <w:tc>
          <w:tcPr>
            <w:tcW w:w="1049" w:type="pct"/>
            <w:hideMark/>
          </w:tcPr>
          <w:p w:rsidR="002564E4" w:rsidRPr="00A71DBE" w:rsidRDefault="00900C43" w:rsidP="00A71DBE">
            <w:pPr>
              <w:jc w:val="left"/>
              <w:rPr>
                <w:b/>
                <w:lang w:val="ro-RO"/>
              </w:rPr>
            </w:pPr>
            <w:r w:rsidRPr="00D80A41">
              <w:rPr>
                <w:lang w:val="ro-RO"/>
              </w:rPr>
              <w:t>Numărul de studii, strategii și planuri de acțiune de îmbunătățire a siguranței navigației pe Dunăre și Marea Neagră susținute</w:t>
            </w:r>
          </w:p>
        </w:tc>
        <w:tc>
          <w:tcPr>
            <w:tcW w:w="831" w:type="pct"/>
            <w:hideMark/>
          </w:tcPr>
          <w:p w:rsidR="002564E4" w:rsidRPr="00D80A41" w:rsidRDefault="00900C43" w:rsidP="007173F3">
            <w:pPr>
              <w:spacing w:after="240" w:line="276" w:lineRule="auto"/>
              <w:jc w:val="left"/>
              <w:rPr>
                <w:szCs w:val="24"/>
                <w:lang w:val="fr-FR"/>
              </w:rPr>
            </w:pPr>
            <w:r w:rsidRPr="00D80A41">
              <w:rPr>
                <w:lang w:val="ro-RO"/>
              </w:rPr>
              <w:t>Numărul de strategii și planuri de acțiune</w:t>
            </w:r>
          </w:p>
        </w:tc>
        <w:tc>
          <w:tcPr>
            <w:tcW w:w="713" w:type="pct"/>
          </w:tcPr>
          <w:p w:rsidR="002564E4" w:rsidRPr="00D80A41" w:rsidRDefault="00C22C01" w:rsidP="007173F3">
            <w:pPr>
              <w:spacing w:after="240" w:line="276" w:lineRule="auto"/>
              <w:jc w:val="left"/>
              <w:rPr>
                <w:rFonts w:eastAsia="Times New Roman"/>
                <w:szCs w:val="24"/>
                <w:lang w:val="en-US"/>
              </w:rPr>
            </w:pPr>
            <w:r w:rsidRPr="00D80A41">
              <w:rPr>
                <w:rFonts w:eastAsia="Times New Roman"/>
                <w:szCs w:val="24"/>
                <w:lang w:val="en-US"/>
              </w:rPr>
              <w:t>5</w:t>
            </w:r>
          </w:p>
        </w:tc>
        <w:tc>
          <w:tcPr>
            <w:tcW w:w="905" w:type="pct"/>
            <w:hideMark/>
          </w:tcPr>
          <w:p w:rsidR="002564E4" w:rsidRPr="007173F3" w:rsidRDefault="007173F3" w:rsidP="007173F3">
            <w:pPr>
              <w:spacing w:before="0" w:after="0"/>
              <w:jc w:val="left"/>
              <w:rPr>
                <w:b/>
                <w:bCs/>
                <w:szCs w:val="26"/>
                <w:lang w:val="fr-FR"/>
              </w:rPr>
            </w:pPr>
            <w:r w:rsidRPr="00461E3D">
              <w:rPr>
                <w:color w:val="000000"/>
                <w:szCs w:val="24"/>
              </w:rPr>
              <w:t>Rapoarte demonitorizare</w:t>
            </w:r>
          </w:p>
        </w:tc>
        <w:tc>
          <w:tcPr>
            <w:tcW w:w="904" w:type="pct"/>
            <w:hideMark/>
          </w:tcPr>
          <w:p w:rsidR="002564E4" w:rsidRPr="00D80A41" w:rsidRDefault="00D80A41" w:rsidP="007173F3">
            <w:pPr>
              <w:spacing w:after="240" w:line="276" w:lineRule="auto"/>
              <w:jc w:val="left"/>
              <w:rPr>
                <w:rFonts w:eastAsia="Times New Roman"/>
                <w:szCs w:val="24"/>
                <w:lang w:val="en-US"/>
              </w:rPr>
            </w:pPr>
            <w:r w:rsidRPr="00D80A41">
              <w:rPr>
                <w:rFonts w:eastAsia="Times New Roman"/>
                <w:szCs w:val="24"/>
                <w:lang w:val="en-US"/>
              </w:rPr>
              <w:t>A</w:t>
            </w:r>
            <w:r w:rsidR="002564E4" w:rsidRPr="00D80A41">
              <w:rPr>
                <w:rFonts w:eastAsia="Times New Roman"/>
                <w:szCs w:val="24"/>
                <w:lang w:val="en-US"/>
              </w:rPr>
              <w:t>nual</w:t>
            </w:r>
          </w:p>
        </w:tc>
      </w:tr>
    </w:tbl>
    <w:p w:rsidR="009139B4" w:rsidRPr="00D74F62" w:rsidRDefault="009139B4" w:rsidP="002564E4">
      <w:pPr>
        <w:spacing w:after="240" w:line="276" w:lineRule="auto"/>
        <w:rPr>
          <w:rFonts w:eastAsia="Times New Roman"/>
          <w:b/>
          <w:highlight w:val="red"/>
          <w:lang w:val="en-US"/>
        </w:rPr>
        <w:sectPr w:rsidR="009139B4" w:rsidRPr="00D74F62">
          <w:headerReference w:type="default" r:id="rId25"/>
          <w:footerReference w:type="default" r:id="rId26"/>
          <w:pgSz w:w="11906" w:h="16838"/>
          <w:pgMar w:top="1021" w:right="1418" w:bottom="1021" w:left="1418" w:header="601" w:footer="1077" w:gutter="0"/>
          <w:cols w:space="720"/>
        </w:sectPr>
      </w:pPr>
    </w:p>
    <w:p w:rsidR="009139B4" w:rsidRPr="00D74F62" w:rsidRDefault="009139B4" w:rsidP="002E1C90">
      <w:pPr>
        <w:pStyle w:val="Heading2"/>
        <w:rPr>
          <w:highlight w:val="red"/>
          <w:lang w:val="en-US"/>
        </w:rPr>
      </w:pPr>
      <w:bookmarkStart w:id="52" w:name="_Toc394837779"/>
      <w:proofErr w:type="gramStart"/>
      <w:r w:rsidRPr="00D41CED">
        <w:rPr>
          <w:lang w:val="en-US"/>
        </w:rPr>
        <w:lastRenderedPageBreak/>
        <w:t>2.A.7</w:t>
      </w:r>
      <w:proofErr w:type="gramEnd"/>
      <w:r w:rsidRPr="00D41CED">
        <w:rPr>
          <w:lang w:val="en-US"/>
        </w:rPr>
        <w:t xml:space="preserve">. </w:t>
      </w:r>
      <w:r w:rsidR="00D41CED" w:rsidRPr="00D41CED">
        <w:rPr>
          <w:lang w:val="en-US"/>
        </w:rPr>
        <w:t>Cadrul de performanță</w:t>
      </w:r>
      <w:bookmarkEnd w:id="52"/>
    </w:p>
    <w:p w:rsidR="009139B4" w:rsidRPr="00D41CED" w:rsidRDefault="009139B4" w:rsidP="0053489F">
      <w:pPr>
        <w:pStyle w:val="Heading2"/>
        <w:rPr>
          <w:lang w:val="fr-FR"/>
        </w:rPr>
      </w:pPr>
      <w:bookmarkStart w:id="53" w:name="_Toc394837780"/>
      <w:r w:rsidRPr="00D41CED">
        <w:rPr>
          <w:lang w:val="fr-FR"/>
        </w:rPr>
        <w:t>Tab</w:t>
      </w:r>
      <w:r w:rsidR="00D41CED" w:rsidRPr="00D41CED">
        <w:rPr>
          <w:lang w:val="fr-FR"/>
        </w:rPr>
        <w:t>elul</w:t>
      </w:r>
      <w:r w:rsidRPr="00D41CED">
        <w:rPr>
          <w:lang w:val="fr-FR"/>
        </w:rPr>
        <w:t xml:space="preserve"> 5: </w:t>
      </w:r>
      <w:r w:rsidR="00D41CED" w:rsidRPr="00D41CED">
        <w:rPr>
          <w:lang w:val="fr-FR"/>
        </w:rPr>
        <w:t>Cadrul de performanță al axei prioritare</w:t>
      </w:r>
      <w:r w:rsidRPr="00D41CED">
        <w:rPr>
          <w:lang w:val="fr-FR"/>
        </w:rPr>
        <w:t xml:space="preserve"> 1 – </w:t>
      </w:r>
      <w:r w:rsidR="00D41CED" w:rsidRPr="00D41CED">
        <w:rPr>
          <w:color w:val="000000"/>
          <w:szCs w:val="24"/>
          <w:lang w:val="fr-FR" w:eastAsia="fr-FR"/>
        </w:rPr>
        <w:t>O regiune bine conectata</w:t>
      </w:r>
      <w:bookmarkEnd w:id="53"/>
    </w:p>
    <w:tbl>
      <w:tblPr>
        <w:tblW w:w="4993" w:type="pct"/>
        <w:jc w:val="center"/>
        <w:tblLayout w:type="fixed"/>
        <w:tblCellMar>
          <w:left w:w="10" w:type="dxa"/>
          <w:right w:w="10" w:type="dxa"/>
        </w:tblCellMar>
        <w:tblLook w:val="04A0" w:firstRow="1" w:lastRow="0" w:firstColumn="1" w:lastColumn="0" w:noHBand="0" w:noVBand="1"/>
      </w:tblPr>
      <w:tblGrid>
        <w:gridCol w:w="1088"/>
        <w:gridCol w:w="2080"/>
        <w:gridCol w:w="752"/>
        <w:gridCol w:w="1814"/>
        <w:gridCol w:w="1701"/>
        <w:gridCol w:w="1276"/>
        <w:gridCol w:w="1336"/>
        <w:gridCol w:w="1542"/>
        <w:gridCol w:w="3402"/>
      </w:tblGrid>
      <w:tr w:rsidR="006A1A44" w:rsidRPr="00A158A9" w:rsidTr="00376C40">
        <w:trPr>
          <w:trHeight w:val="2064"/>
          <w:jc w:val="center"/>
        </w:trPr>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A1A44" w:rsidRPr="008A7974" w:rsidRDefault="006A1A44" w:rsidP="00376C40">
            <w:pPr>
              <w:suppressAutoHyphens/>
              <w:autoSpaceDN w:val="0"/>
              <w:spacing w:before="0" w:after="0" w:line="276" w:lineRule="auto"/>
              <w:jc w:val="left"/>
              <w:rPr>
                <w:rFonts w:eastAsia="Times New Roman"/>
                <w:b/>
                <w:sz w:val="18"/>
                <w:szCs w:val="18"/>
                <w:lang w:val="en-US"/>
              </w:rPr>
            </w:pPr>
            <w:r w:rsidRPr="008A7974">
              <w:rPr>
                <w:rFonts w:eastAsia="Times New Roman"/>
                <w:b/>
                <w:sz w:val="18"/>
                <w:szCs w:val="18"/>
                <w:lang w:val="en-US"/>
              </w:rPr>
              <w:t>Axa prioritară</w:t>
            </w:r>
          </w:p>
        </w:tc>
        <w:tc>
          <w:tcPr>
            <w:tcW w:w="2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A1A44" w:rsidRPr="008A7974" w:rsidRDefault="006A1A44" w:rsidP="00376C40">
            <w:pPr>
              <w:suppressAutoHyphens/>
              <w:autoSpaceDN w:val="0"/>
              <w:spacing w:before="0" w:after="0" w:line="276" w:lineRule="auto"/>
              <w:jc w:val="left"/>
              <w:rPr>
                <w:b/>
                <w:sz w:val="18"/>
                <w:szCs w:val="18"/>
                <w:lang w:val="fr-FR"/>
              </w:rPr>
            </w:pPr>
            <w:r w:rsidRPr="008A7974">
              <w:rPr>
                <w:b/>
                <w:sz w:val="18"/>
                <w:szCs w:val="18"/>
                <w:lang w:val="fr-FR"/>
              </w:rPr>
              <w:t xml:space="preserve">Tipul Indicatorului (Etapa cheie </w:t>
            </w:r>
            <w:proofErr w:type="gramStart"/>
            <w:r w:rsidRPr="008A7974">
              <w:rPr>
                <w:b/>
                <w:sz w:val="18"/>
                <w:szCs w:val="18"/>
                <w:lang w:val="fr-FR"/>
              </w:rPr>
              <w:t>de implementare</w:t>
            </w:r>
            <w:proofErr w:type="gramEnd"/>
            <w:r w:rsidRPr="008A7974">
              <w:rPr>
                <w:b/>
                <w:sz w:val="18"/>
                <w:szCs w:val="18"/>
                <w:lang w:val="fr-FR"/>
              </w:rPr>
              <w:t>, indicatorul financiar, indicatorul de realizare sau, dacă este cazul, indicatorul de rezultat)</w:t>
            </w:r>
          </w:p>
        </w:tc>
        <w:tc>
          <w:tcPr>
            <w:tcW w:w="7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A1A44" w:rsidRPr="008A7974" w:rsidRDefault="006A1A44" w:rsidP="00376C40">
            <w:pPr>
              <w:suppressAutoHyphens/>
              <w:autoSpaceDN w:val="0"/>
              <w:spacing w:before="0" w:after="0" w:line="276" w:lineRule="auto"/>
              <w:jc w:val="left"/>
              <w:rPr>
                <w:rFonts w:eastAsia="Times New Roman"/>
                <w:b/>
                <w:sz w:val="18"/>
                <w:szCs w:val="18"/>
                <w:lang w:val="en-US"/>
              </w:rPr>
            </w:pPr>
            <w:r w:rsidRPr="008A7974">
              <w:rPr>
                <w:rFonts w:eastAsia="Times New Roman"/>
                <w:b/>
                <w:sz w:val="18"/>
                <w:szCs w:val="18"/>
                <w:lang w:val="en-US"/>
              </w:rPr>
              <w:t>ID</w:t>
            </w:r>
          </w:p>
        </w:tc>
        <w:tc>
          <w:tcPr>
            <w:tcW w:w="1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A1A44" w:rsidRPr="008A7974" w:rsidRDefault="006A1A44" w:rsidP="00376C40">
            <w:pPr>
              <w:suppressAutoHyphens/>
              <w:autoSpaceDN w:val="0"/>
              <w:spacing w:before="0" w:after="0" w:line="276" w:lineRule="auto"/>
              <w:jc w:val="left"/>
              <w:rPr>
                <w:b/>
                <w:sz w:val="18"/>
                <w:szCs w:val="18"/>
                <w:lang w:val="fr-FR"/>
              </w:rPr>
            </w:pPr>
            <w:r w:rsidRPr="008A7974">
              <w:rPr>
                <w:b/>
                <w:sz w:val="18"/>
                <w:szCs w:val="18"/>
                <w:lang w:val="fr-FR"/>
              </w:rPr>
              <w:t xml:space="preserve">Indicator sau etapă cheie </w:t>
            </w:r>
            <w:proofErr w:type="gramStart"/>
            <w:r w:rsidRPr="008A7974">
              <w:rPr>
                <w:b/>
                <w:sz w:val="18"/>
                <w:szCs w:val="18"/>
                <w:lang w:val="fr-FR"/>
              </w:rPr>
              <w:t>de implementare</w:t>
            </w:r>
            <w:proofErr w:type="gramEnd"/>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A1A44" w:rsidRPr="008A7974" w:rsidRDefault="006A1A44" w:rsidP="00376C40">
            <w:pPr>
              <w:suppressAutoHyphens/>
              <w:autoSpaceDN w:val="0"/>
              <w:spacing w:before="0" w:after="0" w:line="276" w:lineRule="auto"/>
              <w:jc w:val="left"/>
              <w:rPr>
                <w:rFonts w:eastAsia="Times New Roman"/>
                <w:b/>
                <w:sz w:val="18"/>
                <w:szCs w:val="18"/>
                <w:lang w:val="fr-FR"/>
              </w:rPr>
            </w:pPr>
            <w:r w:rsidRPr="008A7974">
              <w:rPr>
                <w:rFonts w:eastAsia="Times New Roman"/>
                <w:b/>
                <w:sz w:val="18"/>
                <w:szCs w:val="18"/>
                <w:lang w:val="fr-FR"/>
              </w:rPr>
              <w:t>Unitate de măsură, dacă este cazul</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A1A44" w:rsidRPr="008A7974" w:rsidRDefault="006A1A44" w:rsidP="00376C40">
            <w:pPr>
              <w:suppressAutoHyphens/>
              <w:autoSpaceDN w:val="0"/>
              <w:spacing w:before="0" w:after="0" w:line="276" w:lineRule="auto"/>
              <w:jc w:val="left"/>
              <w:rPr>
                <w:rFonts w:eastAsia="Times New Roman"/>
                <w:b/>
                <w:sz w:val="18"/>
                <w:szCs w:val="18"/>
                <w:lang w:val="en-US"/>
              </w:rPr>
            </w:pPr>
            <w:r w:rsidRPr="008A7974">
              <w:rPr>
                <w:rFonts w:eastAsia="Times New Roman"/>
                <w:b/>
                <w:sz w:val="18"/>
                <w:szCs w:val="18"/>
                <w:lang w:val="en-US"/>
              </w:rPr>
              <w:t>Punctul de referință pentru 2018</w:t>
            </w:r>
          </w:p>
        </w:tc>
        <w:tc>
          <w:tcPr>
            <w:tcW w:w="13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A1A44" w:rsidRPr="008A7974" w:rsidRDefault="006A1A44" w:rsidP="00376C40">
            <w:pPr>
              <w:suppressAutoHyphens/>
              <w:autoSpaceDN w:val="0"/>
              <w:spacing w:before="0" w:after="0" w:line="276" w:lineRule="auto"/>
              <w:jc w:val="left"/>
              <w:rPr>
                <w:rFonts w:eastAsia="Times New Roman"/>
                <w:b/>
                <w:sz w:val="18"/>
                <w:szCs w:val="18"/>
                <w:lang w:val="en-US"/>
              </w:rPr>
            </w:pPr>
            <w:r w:rsidRPr="008A7974">
              <w:rPr>
                <w:rFonts w:eastAsia="Times New Roman"/>
                <w:b/>
                <w:sz w:val="18"/>
                <w:szCs w:val="18"/>
                <w:lang w:val="en-US"/>
              </w:rPr>
              <w:t>Obiectivul final (2023)</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A1A44" w:rsidRPr="008A7974" w:rsidRDefault="006A1A44" w:rsidP="00376C40">
            <w:pPr>
              <w:suppressAutoHyphens/>
              <w:autoSpaceDN w:val="0"/>
              <w:spacing w:before="0" w:after="0" w:line="276" w:lineRule="auto"/>
              <w:jc w:val="left"/>
              <w:rPr>
                <w:rFonts w:eastAsia="Times New Roman"/>
                <w:b/>
                <w:sz w:val="18"/>
                <w:szCs w:val="18"/>
                <w:lang w:val="en-US"/>
              </w:rPr>
            </w:pPr>
            <w:r w:rsidRPr="008A7974">
              <w:rPr>
                <w:rFonts w:eastAsia="Times New Roman"/>
                <w:b/>
                <w:sz w:val="18"/>
                <w:szCs w:val="18"/>
                <w:lang w:val="en-US"/>
              </w:rPr>
              <w:t>Sursa datelor</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A1A44" w:rsidRPr="008A7974" w:rsidRDefault="006A1A44" w:rsidP="00376C40">
            <w:pPr>
              <w:suppressAutoHyphens/>
              <w:autoSpaceDN w:val="0"/>
              <w:spacing w:before="0" w:after="0" w:line="276" w:lineRule="auto"/>
              <w:jc w:val="left"/>
              <w:rPr>
                <w:rFonts w:eastAsia="Times New Roman"/>
                <w:b/>
                <w:sz w:val="18"/>
                <w:szCs w:val="18"/>
                <w:lang w:val="fr-FR"/>
              </w:rPr>
            </w:pPr>
            <w:r w:rsidRPr="008A7974">
              <w:rPr>
                <w:rFonts w:eastAsia="Times New Roman"/>
                <w:b/>
                <w:sz w:val="18"/>
                <w:szCs w:val="18"/>
                <w:lang w:val="fr-FR"/>
              </w:rPr>
              <w:t>Explicarea relevanței indicatorului, dacă este cazul</w:t>
            </w:r>
          </w:p>
        </w:tc>
      </w:tr>
      <w:tr w:rsidR="006A1A44" w:rsidRPr="00A158A9" w:rsidTr="00376C40">
        <w:trPr>
          <w:jc w:val="center"/>
        </w:trPr>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A1A44" w:rsidRPr="00FE5D4A" w:rsidRDefault="006A1A44" w:rsidP="00376C40">
            <w:pPr>
              <w:suppressAutoHyphens/>
              <w:autoSpaceDN w:val="0"/>
              <w:spacing w:before="0" w:after="0" w:line="276" w:lineRule="auto"/>
              <w:jc w:val="center"/>
              <w:rPr>
                <w:rFonts w:eastAsia="Times New Roman"/>
                <w:sz w:val="22"/>
                <w:szCs w:val="22"/>
                <w:lang w:val="en-US"/>
              </w:rPr>
            </w:pPr>
            <w:r w:rsidRPr="00FE5D4A">
              <w:rPr>
                <w:rFonts w:eastAsia="Times New Roman"/>
                <w:sz w:val="22"/>
                <w:szCs w:val="22"/>
                <w:lang w:val="en-US"/>
              </w:rPr>
              <w:t>1</w:t>
            </w:r>
          </w:p>
        </w:tc>
        <w:tc>
          <w:tcPr>
            <w:tcW w:w="2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D36765" w:rsidRDefault="006A1A44" w:rsidP="00376C40">
            <w:pPr>
              <w:spacing w:before="0" w:after="0" w:line="276" w:lineRule="auto"/>
              <w:jc w:val="center"/>
              <w:rPr>
                <w:color w:val="000000"/>
                <w:sz w:val="22"/>
                <w:szCs w:val="22"/>
                <w:lang w:val="en-US"/>
              </w:rPr>
            </w:pPr>
            <w:r>
              <w:rPr>
                <w:color w:val="000000"/>
                <w:sz w:val="22"/>
                <w:szCs w:val="22"/>
                <w:lang w:val="en-US"/>
              </w:rPr>
              <w:t xml:space="preserve">Etapă </w:t>
            </w:r>
            <w:r w:rsidRPr="00D36765">
              <w:rPr>
                <w:color w:val="000000"/>
                <w:sz w:val="22"/>
                <w:szCs w:val="22"/>
                <w:lang w:val="en-US"/>
              </w:rPr>
              <w:t xml:space="preserve">cheie </w:t>
            </w:r>
            <w:r>
              <w:rPr>
                <w:color w:val="000000"/>
                <w:sz w:val="22"/>
                <w:szCs w:val="22"/>
                <w:lang w:val="en-US"/>
              </w:rPr>
              <w:t>de</w:t>
            </w:r>
            <w:r w:rsidRPr="00D36765">
              <w:rPr>
                <w:color w:val="000000"/>
                <w:sz w:val="22"/>
                <w:szCs w:val="22"/>
                <w:lang w:val="en-US"/>
              </w:rPr>
              <w:t xml:space="preserve"> implementare</w:t>
            </w:r>
          </w:p>
          <w:p w:rsidR="006A1A44" w:rsidRPr="008A7974" w:rsidRDefault="006A1A44" w:rsidP="00376C40">
            <w:pPr>
              <w:spacing w:before="0" w:after="0" w:line="276" w:lineRule="auto"/>
              <w:jc w:val="center"/>
              <w:rPr>
                <w:color w:val="000000"/>
                <w:sz w:val="22"/>
                <w:szCs w:val="22"/>
                <w:highlight w:val="red"/>
                <w:lang w:val="en-US"/>
              </w:rPr>
            </w:pPr>
          </w:p>
        </w:tc>
        <w:tc>
          <w:tcPr>
            <w:tcW w:w="7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176887" w:rsidP="00376C40">
            <w:pPr>
              <w:suppressAutoHyphens/>
              <w:autoSpaceDN w:val="0"/>
              <w:spacing w:before="0" w:after="0" w:line="276" w:lineRule="auto"/>
              <w:jc w:val="center"/>
              <w:rPr>
                <w:rFonts w:eastAsia="Times New Roman"/>
                <w:sz w:val="22"/>
                <w:szCs w:val="22"/>
                <w:highlight w:val="red"/>
                <w:lang w:val="en-US"/>
              </w:rPr>
            </w:pPr>
            <w:r w:rsidRPr="00176887">
              <w:rPr>
                <w:rFonts w:eastAsia="Times New Roman"/>
                <w:sz w:val="22"/>
                <w:szCs w:val="22"/>
                <w:lang w:val="en-US"/>
              </w:rPr>
              <w:t>1K1</w:t>
            </w:r>
          </w:p>
        </w:tc>
        <w:tc>
          <w:tcPr>
            <w:tcW w:w="1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41648C" w:rsidRDefault="006A1A44" w:rsidP="00376C40">
            <w:pPr>
              <w:spacing w:before="0" w:after="0" w:line="276" w:lineRule="auto"/>
              <w:jc w:val="center"/>
              <w:rPr>
                <w:color w:val="000000"/>
                <w:sz w:val="22"/>
                <w:szCs w:val="22"/>
                <w:highlight w:val="red"/>
                <w:lang w:val="fr-FR"/>
              </w:rPr>
            </w:pPr>
            <w:r w:rsidRPr="004A6768">
              <w:rPr>
                <w:color w:val="000000"/>
                <w:sz w:val="22"/>
                <w:szCs w:val="22"/>
                <w:lang w:val="fr-FR"/>
              </w:rPr>
              <w:t>Numarul de km de drumuri care vor fi modernizate sau renovate pentru care au fost lansate licitatii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6A1A44" w:rsidP="00376C40">
            <w:pPr>
              <w:spacing w:before="0" w:after="0" w:line="276" w:lineRule="auto"/>
              <w:jc w:val="center"/>
              <w:rPr>
                <w:color w:val="000000"/>
                <w:sz w:val="22"/>
                <w:szCs w:val="22"/>
                <w:lang w:val="en-US"/>
              </w:rPr>
            </w:pPr>
            <w:r w:rsidRPr="008A7974">
              <w:rPr>
                <w:color w:val="000000"/>
                <w:sz w:val="22"/>
                <w:szCs w:val="22"/>
                <w:lang w:val="en-US"/>
              </w:rPr>
              <w:t>Număr KM</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6A1A44" w:rsidP="00376C40">
            <w:pPr>
              <w:spacing w:before="0" w:after="0" w:line="276" w:lineRule="auto"/>
              <w:jc w:val="center"/>
              <w:rPr>
                <w:color w:val="000000"/>
                <w:sz w:val="22"/>
                <w:szCs w:val="22"/>
                <w:lang w:val="en-US"/>
              </w:rPr>
            </w:pPr>
            <w:r w:rsidRPr="008A7974">
              <w:rPr>
                <w:color w:val="000000"/>
                <w:sz w:val="22"/>
                <w:szCs w:val="22"/>
                <w:lang w:val="en-US"/>
              </w:rPr>
              <w:t>60 KM</w:t>
            </w:r>
          </w:p>
        </w:tc>
        <w:tc>
          <w:tcPr>
            <w:tcW w:w="13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176887" w:rsidP="00376C40">
            <w:pPr>
              <w:spacing w:before="0" w:after="0" w:line="276" w:lineRule="auto"/>
              <w:jc w:val="center"/>
              <w:rPr>
                <w:color w:val="000000"/>
                <w:sz w:val="22"/>
                <w:szCs w:val="22"/>
                <w:lang w:val="en-US"/>
              </w:rPr>
            </w:pPr>
            <w:r>
              <w:rPr>
                <w:color w:val="000000"/>
                <w:sz w:val="22"/>
                <w:szCs w:val="22"/>
                <w:lang w:val="en-US"/>
              </w:rPr>
              <w:t>0</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6A1A44" w:rsidP="00376C40">
            <w:pPr>
              <w:spacing w:before="0" w:after="0" w:line="276" w:lineRule="auto"/>
              <w:jc w:val="center"/>
              <w:rPr>
                <w:color w:val="000000"/>
                <w:sz w:val="22"/>
                <w:szCs w:val="22"/>
                <w:lang w:val="en-US"/>
              </w:rPr>
            </w:pPr>
            <w:r>
              <w:rPr>
                <w:color w:val="000000"/>
                <w:sz w:val="22"/>
                <w:szCs w:val="22"/>
                <w:lang w:val="en-US"/>
              </w:rPr>
              <w:t>Rapoarte de monitorizare</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6F7519" w:rsidRDefault="006A1A44" w:rsidP="00376C40">
            <w:pPr>
              <w:spacing w:before="0" w:after="0" w:line="276" w:lineRule="auto"/>
              <w:jc w:val="center"/>
              <w:rPr>
                <w:rFonts w:eastAsia="Times New Roman"/>
                <w:sz w:val="22"/>
                <w:szCs w:val="22"/>
                <w:highlight w:val="red"/>
                <w:lang w:val="it-IT"/>
              </w:rPr>
            </w:pPr>
            <w:r w:rsidRPr="006F7519">
              <w:rPr>
                <w:color w:val="000000"/>
                <w:sz w:val="22"/>
                <w:szCs w:val="22"/>
                <w:lang w:val="it-IT"/>
              </w:rPr>
              <w:t>Indic</w:t>
            </w:r>
            <w:r w:rsidR="00987C22" w:rsidRPr="006F7519">
              <w:rPr>
                <w:color w:val="000000"/>
                <w:sz w:val="22"/>
                <w:szCs w:val="22"/>
                <w:lang w:val="it-IT"/>
              </w:rPr>
              <w:t>atorul comun de realizare este l</w:t>
            </w:r>
            <w:r w:rsidRPr="006F7519">
              <w:rPr>
                <w:color w:val="000000"/>
                <w:sz w:val="22"/>
                <w:szCs w:val="22"/>
                <w:lang w:val="it-IT"/>
              </w:rPr>
              <w:t>ungimea totală a drumurilor re</w:t>
            </w:r>
            <w:r w:rsidR="00604B3F" w:rsidRPr="006F7519">
              <w:rPr>
                <w:color w:val="000000"/>
                <w:sz w:val="22"/>
                <w:szCs w:val="22"/>
                <w:lang w:val="it-IT"/>
              </w:rPr>
              <w:t>novate sau modernizate. Din cauza duratei necesare derulării procedurilor de licitaţ</w:t>
            </w:r>
            <w:r w:rsidRPr="006F7519">
              <w:rPr>
                <w:color w:val="000000"/>
                <w:sz w:val="22"/>
                <w:szCs w:val="22"/>
                <w:lang w:val="it-IT"/>
              </w:rPr>
              <w:t>ie</w:t>
            </w:r>
            <w:r w:rsidR="00604B3F" w:rsidRPr="006F7519">
              <w:rPr>
                <w:color w:val="000000"/>
                <w:sz w:val="22"/>
                <w:szCs w:val="22"/>
                <w:lang w:val="it-IT"/>
              </w:rPr>
              <w:t xml:space="preserve"> pentru construcţia drumurilor şi a  complexităţii lucrărilor, este puţin probabil ca proiectele să fie finalizate până î</w:t>
            </w:r>
            <w:r w:rsidRPr="006F7519">
              <w:rPr>
                <w:color w:val="000000"/>
                <w:sz w:val="22"/>
                <w:szCs w:val="22"/>
                <w:lang w:val="it-IT"/>
              </w:rPr>
              <w:t>n decembrie 2018</w:t>
            </w:r>
          </w:p>
        </w:tc>
      </w:tr>
      <w:tr w:rsidR="006A1A44" w:rsidRPr="008A7974" w:rsidTr="00376C40">
        <w:trPr>
          <w:jc w:val="center"/>
        </w:trPr>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FE5D4A" w:rsidRDefault="006A1A44" w:rsidP="00376C40">
            <w:pPr>
              <w:suppressAutoHyphens/>
              <w:autoSpaceDN w:val="0"/>
              <w:spacing w:before="0" w:after="0" w:line="276" w:lineRule="auto"/>
              <w:jc w:val="center"/>
              <w:rPr>
                <w:rFonts w:eastAsia="Times New Roman"/>
                <w:sz w:val="22"/>
                <w:szCs w:val="22"/>
                <w:lang w:val="en-US"/>
              </w:rPr>
            </w:pPr>
            <w:r w:rsidRPr="00FE5D4A">
              <w:rPr>
                <w:rFonts w:eastAsia="Times New Roman"/>
                <w:sz w:val="22"/>
                <w:szCs w:val="22"/>
                <w:lang w:val="en-US"/>
              </w:rPr>
              <w:t>1</w:t>
            </w:r>
          </w:p>
        </w:tc>
        <w:tc>
          <w:tcPr>
            <w:tcW w:w="2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6A1A44" w:rsidP="00376C40">
            <w:pPr>
              <w:spacing w:before="0" w:after="0" w:line="276" w:lineRule="auto"/>
              <w:contextualSpacing/>
              <w:jc w:val="center"/>
              <w:rPr>
                <w:color w:val="000000"/>
                <w:sz w:val="22"/>
                <w:szCs w:val="22"/>
                <w:highlight w:val="red"/>
                <w:lang w:val="en-US"/>
              </w:rPr>
            </w:pPr>
            <w:r>
              <w:rPr>
                <w:color w:val="000000"/>
                <w:sz w:val="22"/>
                <w:szCs w:val="22"/>
                <w:lang w:val="en-US"/>
              </w:rPr>
              <w:t>Indicator de realizare</w:t>
            </w:r>
          </w:p>
        </w:tc>
        <w:tc>
          <w:tcPr>
            <w:tcW w:w="7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176887" w:rsidP="00376C40">
            <w:pPr>
              <w:suppressAutoHyphens/>
              <w:autoSpaceDN w:val="0"/>
              <w:spacing w:before="0" w:after="0" w:line="276" w:lineRule="auto"/>
              <w:jc w:val="center"/>
              <w:rPr>
                <w:rFonts w:eastAsia="Times New Roman"/>
                <w:sz w:val="22"/>
                <w:szCs w:val="22"/>
                <w:highlight w:val="red"/>
                <w:lang w:val="en-US"/>
              </w:rPr>
            </w:pPr>
            <w:r w:rsidRPr="00975CDB">
              <w:rPr>
                <w:rFonts w:eastAsia="Times New Roman"/>
                <w:sz w:val="22"/>
                <w:szCs w:val="22"/>
                <w:lang w:val="en-US"/>
              </w:rPr>
              <w:t>CO14</w:t>
            </w:r>
          </w:p>
        </w:tc>
        <w:tc>
          <w:tcPr>
            <w:tcW w:w="1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6A1A44" w:rsidP="00376C40">
            <w:pPr>
              <w:spacing w:before="0" w:after="0" w:line="276" w:lineRule="auto"/>
              <w:jc w:val="center"/>
              <w:rPr>
                <w:color w:val="000000"/>
                <w:sz w:val="22"/>
                <w:szCs w:val="22"/>
                <w:highlight w:val="red"/>
                <w:lang w:val="en-US"/>
              </w:rPr>
            </w:pPr>
            <w:r w:rsidRPr="00805AE8">
              <w:rPr>
                <w:color w:val="000000"/>
                <w:sz w:val="22"/>
                <w:szCs w:val="22"/>
                <w:lang w:val="en-US"/>
              </w:rPr>
              <w:t>Lungimea totală a drumurilor renovate sau modernizate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4A6768" w:rsidRDefault="006A1A44" w:rsidP="00376C40">
            <w:pPr>
              <w:spacing w:before="0" w:after="0" w:line="276" w:lineRule="auto"/>
              <w:jc w:val="center"/>
              <w:rPr>
                <w:color w:val="000000"/>
                <w:sz w:val="22"/>
                <w:szCs w:val="22"/>
                <w:highlight w:val="red"/>
                <w:lang w:val="fr-FR"/>
              </w:rPr>
            </w:pPr>
            <w:r w:rsidRPr="004A6768">
              <w:rPr>
                <w:color w:val="000000"/>
                <w:sz w:val="22"/>
                <w:szCs w:val="22"/>
                <w:lang w:val="fr-FR"/>
              </w:rPr>
              <w:t>KM drumuri renovate sau modernizate</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4A6768" w:rsidRDefault="006A1A44" w:rsidP="00376C40">
            <w:pPr>
              <w:spacing w:before="0" w:after="0" w:line="276" w:lineRule="auto"/>
              <w:jc w:val="center"/>
              <w:rPr>
                <w:color w:val="000000"/>
                <w:sz w:val="22"/>
                <w:szCs w:val="22"/>
                <w:lang w:val="fr-FR"/>
              </w:rPr>
            </w:pPr>
          </w:p>
        </w:tc>
        <w:tc>
          <w:tcPr>
            <w:tcW w:w="13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6A1A44" w:rsidP="00376C40">
            <w:pPr>
              <w:spacing w:before="0" w:after="0" w:line="276" w:lineRule="auto"/>
              <w:jc w:val="center"/>
              <w:rPr>
                <w:color w:val="000000"/>
                <w:sz w:val="22"/>
                <w:szCs w:val="22"/>
                <w:lang w:val="en-US"/>
              </w:rPr>
            </w:pPr>
            <w:r w:rsidRPr="008A7974">
              <w:rPr>
                <w:color w:val="000000"/>
                <w:sz w:val="22"/>
                <w:szCs w:val="22"/>
                <w:lang w:val="en-US"/>
              </w:rPr>
              <w:t>120 KM</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6A1A44" w:rsidP="00376C40">
            <w:pPr>
              <w:spacing w:before="0" w:after="0" w:line="276" w:lineRule="auto"/>
              <w:jc w:val="center"/>
              <w:rPr>
                <w:color w:val="000000"/>
                <w:sz w:val="22"/>
                <w:szCs w:val="22"/>
                <w:lang w:val="en-US"/>
              </w:rPr>
            </w:pPr>
            <w:r>
              <w:rPr>
                <w:color w:val="000000"/>
                <w:sz w:val="22"/>
                <w:szCs w:val="22"/>
                <w:lang w:val="en-US"/>
              </w:rPr>
              <w:t>Rapoarte de monitorizare</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6A1A44" w:rsidP="00376C40">
            <w:pPr>
              <w:suppressAutoHyphens/>
              <w:autoSpaceDN w:val="0"/>
              <w:spacing w:before="0" w:after="0" w:line="276" w:lineRule="auto"/>
              <w:jc w:val="center"/>
              <w:rPr>
                <w:rFonts w:eastAsia="Times New Roman"/>
                <w:sz w:val="22"/>
                <w:szCs w:val="22"/>
                <w:highlight w:val="red"/>
                <w:lang w:val="en-US"/>
              </w:rPr>
            </w:pPr>
          </w:p>
        </w:tc>
      </w:tr>
      <w:tr w:rsidR="006A1A44" w:rsidRPr="008A7974" w:rsidTr="00376C40">
        <w:trPr>
          <w:jc w:val="center"/>
        </w:trPr>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FE5D4A" w:rsidRDefault="006A1A44" w:rsidP="00376C40">
            <w:pPr>
              <w:suppressAutoHyphens/>
              <w:autoSpaceDN w:val="0"/>
              <w:spacing w:before="0" w:after="0" w:line="276" w:lineRule="auto"/>
              <w:jc w:val="center"/>
              <w:rPr>
                <w:rFonts w:eastAsia="Times New Roman"/>
                <w:sz w:val="22"/>
                <w:szCs w:val="22"/>
                <w:lang w:val="en-US"/>
              </w:rPr>
            </w:pPr>
            <w:r w:rsidRPr="00FE5D4A">
              <w:rPr>
                <w:rFonts w:eastAsia="Times New Roman"/>
                <w:sz w:val="22"/>
                <w:szCs w:val="22"/>
                <w:lang w:val="en-US"/>
              </w:rPr>
              <w:t>1</w:t>
            </w:r>
          </w:p>
        </w:tc>
        <w:tc>
          <w:tcPr>
            <w:tcW w:w="2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6A1A44" w:rsidP="00376C40">
            <w:pPr>
              <w:spacing w:before="0" w:after="0" w:line="276" w:lineRule="auto"/>
              <w:jc w:val="center"/>
              <w:rPr>
                <w:color w:val="000000"/>
                <w:sz w:val="22"/>
                <w:szCs w:val="22"/>
                <w:lang w:val="en-US"/>
              </w:rPr>
            </w:pPr>
            <w:r w:rsidRPr="008A7974">
              <w:rPr>
                <w:color w:val="000000"/>
                <w:sz w:val="22"/>
                <w:szCs w:val="22"/>
                <w:lang w:val="en-US"/>
              </w:rPr>
              <w:t>Indicator financiar</w:t>
            </w:r>
          </w:p>
        </w:tc>
        <w:tc>
          <w:tcPr>
            <w:tcW w:w="7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176887" w:rsidP="00376C40">
            <w:pPr>
              <w:suppressAutoHyphens/>
              <w:autoSpaceDN w:val="0"/>
              <w:spacing w:before="0" w:after="0" w:line="276" w:lineRule="auto"/>
              <w:jc w:val="center"/>
              <w:rPr>
                <w:rFonts w:eastAsia="Times New Roman"/>
                <w:sz w:val="22"/>
                <w:szCs w:val="22"/>
                <w:highlight w:val="red"/>
                <w:lang w:val="en-US"/>
              </w:rPr>
            </w:pPr>
            <w:r w:rsidRPr="00975CDB">
              <w:rPr>
                <w:rFonts w:eastAsia="Times New Roman"/>
                <w:sz w:val="22"/>
                <w:szCs w:val="22"/>
                <w:lang w:val="en-US"/>
              </w:rPr>
              <w:t>1F1</w:t>
            </w:r>
          </w:p>
        </w:tc>
        <w:tc>
          <w:tcPr>
            <w:tcW w:w="1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7173F3" w:rsidRDefault="002F5E5B" w:rsidP="00376C40">
            <w:pPr>
              <w:spacing w:before="0" w:after="0" w:line="276" w:lineRule="auto"/>
              <w:jc w:val="center"/>
              <w:rPr>
                <w:color w:val="000000"/>
                <w:sz w:val="22"/>
                <w:szCs w:val="22"/>
                <w:lang w:val="en-US"/>
              </w:rPr>
            </w:pPr>
            <w:r w:rsidRPr="00F80445">
              <w:rPr>
                <w:color w:val="000000"/>
                <w:lang w:val="fr-FR"/>
              </w:rPr>
              <w:t>Cheltuieli (certificate)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6A1A44" w:rsidP="00376C40">
            <w:pPr>
              <w:spacing w:before="0" w:after="0" w:line="276" w:lineRule="auto"/>
              <w:jc w:val="center"/>
              <w:rPr>
                <w:color w:val="000000"/>
                <w:sz w:val="22"/>
                <w:szCs w:val="22"/>
                <w:lang w:val="en-US"/>
              </w:rPr>
            </w:pPr>
            <w:r w:rsidRPr="008A7974">
              <w:rPr>
                <w:color w:val="000000"/>
                <w:sz w:val="22"/>
                <w:szCs w:val="22"/>
                <w:lang w:val="en-US"/>
              </w:rPr>
              <w:t>EUR</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6A1A44" w:rsidP="00376C40">
            <w:pPr>
              <w:spacing w:before="0" w:after="0" w:line="276" w:lineRule="auto"/>
              <w:jc w:val="center"/>
              <w:rPr>
                <w:color w:val="000000"/>
                <w:sz w:val="22"/>
                <w:szCs w:val="22"/>
                <w:lang w:val="en-US"/>
              </w:rPr>
            </w:pPr>
            <w:r w:rsidRPr="008A7974">
              <w:rPr>
                <w:color w:val="000000"/>
                <w:sz w:val="22"/>
                <w:szCs w:val="22"/>
                <w:lang w:val="en-US"/>
              </w:rPr>
              <w:t>7 000 000</w:t>
            </w:r>
          </w:p>
        </w:tc>
        <w:tc>
          <w:tcPr>
            <w:tcW w:w="13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6A1A44" w:rsidP="00376C40">
            <w:pPr>
              <w:spacing w:before="0" w:after="0" w:line="276" w:lineRule="auto"/>
              <w:jc w:val="center"/>
              <w:rPr>
                <w:color w:val="000000"/>
                <w:sz w:val="22"/>
                <w:szCs w:val="22"/>
                <w:lang w:val="en-US"/>
              </w:rPr>
            </w:pPr>
            <w:r w:rsidRPr="008A7974">
              <w:rPr>
                <w:color w:val="000000"/>
                <w:sz w:val="22"/>
                <w:szCs w:val="22"/>
                <w:lang w:val="en-US"/>
              </w:rPr>
              <w:t>80.000.000</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6A1A44" w:rsidP="00376C40">
            <w:pPr>
              <w:spacing w:before="0" w:after="0" w:line="276" w:lineRule="auto"/>
              <w:jc w:val="center"/>
              <w:rPr>
                <w:color w:val="000000"/>
                <w:sz w:val="22"/>
                <w:szCs w:val="22"/>
                <w:lang w:val="en-US"/>
              </w:rPr>
            </w:pPr>
            <w:r>
              <w:rPr>
                <w:color w:val="000000"/>
                <w:sz w:val="22"/>
                <w:szCs w:val="22"/>
                <w:lang w:val="en-US"/>
              </w:rPr>
              <w:t>Cereri de plată</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A1A44" w:rsidRPr="008A7974" w:rsidRDefault="006A1A44" w:rsidP="00376C40">
            <w:pPr>
              <w:suppressAutoHyphens/>
              <w:autoSpaceDN w:val="0"/>
              <w:spacing w:before="0" w:after="0" w:line="276" w:lineRule="auto"/>
              <w:jc w:val="center"/>
              <w:rPr>
                <w:rFonts w:eastAsia="Times New Roman"/>
                <w:sz w:val="22"/>
                <w:szCs w:val="22"/>
                <w:lang w:val="en-US"/>
              </w:rPr>
            </w:pPr>
          </w:p>
        </w:tc>
      </w:tr>
    </w:tbl>
    <w:p w:rsidR="00296FF9" w:rsidRPr="00B749E7" w:rsidRDefault="002564E4" w:rsidP="006A1A44">
      <w:pPr>
        <w:spacing w:before="0" w:after="0"/>
        <w:jc w:val="center"/>
        <w:rPr>
          <w:rFonts w:eastAsia="Times New Roman"/>
          <w:b/>
          <w:lang w:val="en-US"/>
        </w:rPr>
        <w:sectPr w:rsidR="00296FF9" w:rsidRPr="00B749E7" w:rsidSect="009139B4">
          <w:pgSz w:w="16838" w:h="11906" w:orient="landscape"/>
          <w:pgMar w:top="1418" w:right="1021" w:bottom="1418" w:left="1021" w:header="601" w:footer="1077" w:gutter="0"/>
          <w:cols w:space="720"/>
          <w:docGrid w:linePitch="326"/>
        </w:sectPr>
      </w:pPr>
      <w:r w:rsidRPr="00B749E7">
        <w:rPr>
          <w:rFonts w:eastAsia="Times New Roman"/>
          <w:b/>
          <w:lang w:val="en-US"/>
        </w:rPr>
        <w:br w:type="page"/>
      </w:r>
    </w:p>
    <w:p w:rsidR="002564E4" w:rsidRPr="00B749E7" w:rsidRDefault="002564E4">
      <w:pPr>
        <w:spacing w:before="0" w:after="0"/>
        <w:jc w:val="left"/>
        <w:rPr>
          <w:rFonts w:eastAsia="Times New Roman"/>
          <w:b/>
          <w:lang w:val="en-US"/>
        </w:rPr>
      </w:pPr>
    </w:p>
    <w:p w:rsidR="001331F5" w:rsidRPr="00D36765" w:rsidRDefault="001331F5" w:rsidP="0053489F">
      <w:pPr>
        <w:pStyle w:val="Heading2"/>
        <w:rPr>
          <w:lang w:val="fr-FR"/>
        </w:rPr>
      </w:pPr>
      <w:bookmarkStart w:id="54" w:name="_Toc394837781"/>
      <w:proofErr w:type="gramStart"/>
      <w:r w:rsidRPr="00D36765">
        <w:rPr>
          <w:lang w:val="fr-FR"/>
        </w:rPr>
        <w:t>2.A.1</w:t>
      </w:r>
      <w:r w:rsidR="00D36765" w:rsidRPr="00D36765">
        <w:rPr>
          <w:lang w:val="fr-FR"/>
        </w:rPr>
        <w:t>Axa</w:t>
      </w:r>
      <w:proofErr w:type="gramEnd"/>
      <w:r w:rsidR="00D36765" w:rsidRPr="00D36765">
        <w:rPr>
          <w:lang w:val="fr-FR"/>
        </w:rPr>
        <w:t xml:space="preserve"> prioritară (se repetă pentru fiecare axă prioritară)</w:t>
      </w:r>
      <w:bookmarkEnd w:id="54"/>
    </w:p>
    <w:tbl>
      <w:tblPr>
        <w:tblStyle w:val="TableGrid"/>
        <w:tblW w:w="0" w:type="auto"/>
        <w:tblLook w:val="04A0" w:firstRow="1" w:lastRow="0" w:firstColumn="1" w:lastColumn="0" w:noHBand="0" w:noVBand="1"/>
      </w:tblPr>
      <w:tblGrid>
        <w:gridCol w:w="9210"/>
      </w:tblGrid>
      <w:tr w:rsidR="001331F5" w:rsidRPr="00A158A9" w:rsidTr="005221A8">
        <w:tc>
          <w:tcPr>
            <w:tcW w:w="9210" w:type="dxa"/>
          </w:tcPr>
          <w:p w:rsidR="001331F5" w:rsidRPr="006F7519" w:rsidRDefault="00D36765" w:rsidP="00D36765">
            <w:pPr>
              <w:pStyle w:val="Heading4"/>
              <w:outlineLvl w:val="3"/>
              <w:rPr>
                <w:lang w:val="it-IT"/>
              </w:rPr>
            </w:pPr>
            <w:bookmarkStart w:id="55" w:name="_Toc394837782"/>
            <w:r w:rsidRPr="006F7519">
              <w:rPr>
                <w:lang w:val="it-IT"/>
              </w:rPr>
              <w:t xml:space="preserve">AXA </w:t>
            </w:r>
            <w:r w:rsidR="001331F5" w:rsidRPr="006F7519">
              <w:rPr>
                <w:lang w:val="it-IT"/>
              </w:rPr>
              <w:t>PRIORIT</w:t>
            </w:r>
            <w:r w:rsidRPr="006F7519">
              <w:rPr>
                <w:lang w:val="it-IT"/>
              </w:rPr>
              <w:t>ARĂ</w:t>
            </w:r>
            <w:r w:rsidR="001331F5" w:rsidRPr="006F7519">
              <w:rPr>
                <w:lang w:val="it-IT"/>
              </w:rPr>
              <w:t xml:space="preserve"> 2: </w:t>
            </w:r>
            <w:r w:rsidRPr="006F7519">
              <w:rPr>
                <w:lang w:val="it-IT"/>
              </w:rPr>
              <w:t>O regiune verde</w:t>
            </w:r>
            <w:bookmarkEnd w:id="55"/>
          </w:p>
        </w:tc>
      </w:tr>
    </w:tbl>
    <w:p w:rsidR="001331F5" w:rsidRPr="006F7519" w:rsidRDefault="001331F5" w:rsidP="001331F5">
      <w:pPr>
        <w:spacing w:after="240" w:line="276" w:lineRule="auto"/>
        <w:rPr>
          <w:rFonts w:eastAsia="Times New Roman"/>
          <w:highlight w:val="red"/>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7"/>
      </w:tblGrid>
      <w:tr w:rsidR="001331F5" w:rsidRPr="00A158A9" w:rsidTr="005221A8">
        <w:trPr>
          <w:jc w:val="center"/>
        </w:trPr>
        <w:tc>
          <w:tcPr>
            <w:tcW w:w="7937" w:type="dxa"/>
            <w:tcBorders>
              <w:top w:val="single" w:sz="4" w:space="0" w:color="auto"/>
              <w:left w:val="single" w:sz="4" w:space="0" w:color="auto"/>
              <w:bottom w:val="single" w:sz="4" w:space="0" w:color="auto"/>
              <w:right w:val="single" w:sz="4" w:space="0" w:color="auto"/>
            </w:tcBorders>
            <w:hideMark/>
          </w:tcPr>
          <w:p w:rsidR="001331F5" w:rsidRPr="00D36765" w:rsidRDefault="00FF412A" w:rsidP="00D36765">
            <w:pPr>
              <w:spacing w:after="240" w:line="276" w:lineRule="auto"/>
              <w:ind w:left="480" w:hanging="480"/>
              <w:rPr>
                <w:rFonts w:eastAsia="Times New Roman"/>
                <w:lang w:val="fr-FR"/>
              </w:rPr>
            </w:pPr>
            <w:r w:rsidRPr="00D36765">
              <w:rPr>
                <w:rFonts w:eastAsia="Times New Roman"/>
                <w:lang w:val="en-US"/>
              </w:rPr>
              <w:fldChar w:fldCharType="begin">
                <w:ffData>
                  <w:name w:val="Check1"/>
                  <w:enabled/>
                  <w:calcOnExit w:val="0"/>
                  <w:checkBox>
                    <w:sizeAuto/>
                    <w:default w:val="0"/>
                  </w:checkBox>
                </w:ffData>
              </w:fldChar>
            </w:r>
            <w:r w:rsidR="00C12B77" w:rsidRPr="00D36765">
              <w:rPr>
                <w:rFonts w:eastAsia="Times New Roman"/>
                <w:lang w:val="fr-FR"/>
              </w:rPr>
              <w:instrText xml:space="preserve"> FORMCHECKBOX </w:instrText>
            </w:r>
            <w:r w:rsidR="006D5DA0">
              <w:rPr>
                <w:rFonts w:eastAsia="Times New Roman"/>
                <w:lang w:val="en-US"/>
              </w:rPr>
            </w:r>
            <w:r w:rsidR="006D5DA0">
              <w:rPr>
                <w:rFonts w:eastAsia="Times New Roman"/>
                <w:lang w:val="en-US"/>
              </w:rPr>
              <w:fldChar w:fldCharType="separate"/>
            </w:r>
            <w:r w:rsidRPr="00D36765">
              <w:rPr>
                <w:rFonts w:eastAsia="Times New Roman"/>
                <w:lang w:val="en-US"/>
              </w:rPr>
              <w:fldChar w:fldCharType="end"/>
            </w:r>
            <w:r w:rsidR="001331F5" w:rsidRPr="00D36765">
              <w:rPr>
                <w:rFonts w:eastAsia="Times New Roman"/>
                <w:lang w:val="fr-FR"/>
              </w:rPr>
              <w:tab/>
            </w:r>
            <w:r w:rsidR="00D36765" w:rsidRPr="00D36765">
              <w:rPr>
                <w:rFonts w:eastAsia="Times New Roman"/>
                <w:lang w:val="fr-FR"/>
              </w:rPr>
              <w:t>Întreaga axă prioritară se va implementa exclusiv prin instrumente financiare</w:t>
            </w:r>
          </w:p>
        </w:tc>
      </w:tr>
      <w:tr w:rsidR="001331F5" w:rsidRPr="00A158A9" w:rsidTr="005221A8">
        <w:trPr>
          <w:jc w:val="center"/>
        </w:trPr>
        <w:tc>
          <w:tcPr>
            <w:tcW w:w="7937" w:type="dxa"/>
            <w:tcBorders>
              <w:top w:val="single" w:sz="4" w:space="0" w:color="auto"/>
              <w:left w:val="single" w:sz="4" w:space="0" w:color="auto"/>
              <w:bottom w:val="single" w:sz="4" w:space="0" w:color="auto"/>
              <w:right w:val="single" w:sz="4" w:space="0" w:color="auto"/>
            </w:tcBorders>
            <w:hideMark/>
          </w:tcPr>
          <w:p w:rsidR="001331F5" w:rsidRPr="00D36765" w:rsidRDefault="006D5DA0" w:rsidP="00D36765">
            <w:pPr>
              <w:tabs>
                <w:tab w:val="left" w:pos="2302"/>
              </w:tabs>
              <w:spacing w:after="240" w:line="276" w:lineRule="auto"/>
              <w:ind w:left="480" w:hanging="480"/>
              <w:rPr>
                <w:rFonts w:eastAsia="Times New Roman"/>
                <w:lang w:val="fr-FR"/>
              </w:rPr>
            </w:pPr>
            <w:r>
              <w:rPr>
                <w:lang w:val="en-US"/>
              </w:rPr>
              <w:fldChar w:fldCharType="begin">
                <w:ffData>
                  <w:name w:val=""/>
                  <w:enabled/>
                  <w:calcOnExit w:val="0"/>
                  <w:checkBox>
                    <w:sizeAuto/>
                    <w:default w:val="0"/>
                  </w:checkBox>
                </w:ffData>
              </w:fldChar>
            </w:r>
            <w:r>
              <w:rPr>
                <w:lang w:val="en-US"/>
              </w:rPr>
              <w:instrText xml:space="preserve"> FORMCHECKBOX </w:instrText>
            </w:r>
            <w:r>
              <w:rPr>
                <w:lang w:val="en-US"/>
              </w:rPr>
            </w:r>
            <w:r>
              <w:rPr>
                <w:lang w:val="en-US"/>
              </w:rPr>
              <w:fldChar w:fldCharType="end"/>
            </w:r>
            <w:r w:rsidR="001331F5" w:rsidRPr="00D36765">
              <w:rPr>
                <w:rFonts w:eastAsia="Times New Roman"/>
                <w:lang w:val="fr-FR"/>
              </w:rPr>
              <w:tab/>
            </w:r>
            <w:r w:rsidR="00D36765" w:rsidRPr="00D36765">
              <w:rPr>
                <w:rFonts w:eastAsia="Times New Roman"/>
                <w:lang w:val="fr-FR"/>
              </w:rPr>
              <w:t>Întreaga axă prioritară se va implementa exclusiv prin instrumente financiare stabilite la nivelul Uniunii</w:t>
            </w:r>
          </w:p>
        </w:tc>
      </w:tr>
      <w:tr w:rsidR="001331F5" w:rsidRPr="00A158A9" w:rsidTr="005221A8">
        <w:trPr>
          <w:jc w:val="center"/>
        </w:trPr>
        <w:tc>
          <w:tcPr>
            <w:tcW w:w="7937" w:type="dxa"/>
            <w:tcBorders>
              <w:top w:val="single" w:sz="4" w:space="0" w:color="auto"/>
              <w:left w:val="single" w:sz="4" w:space="0" w:color="auto"/>
              <w:bottom w:val="single" w:sz="4" w:space="0" w:color="auto"/>
              <w:right w:val="single" w:sz="4" w:space="0" w:color="auto"/>
            </w:tcBorders>
            <w:hideMark/>
          </w:tcPr>
          <w:p w:rsidR="001331F5" w:rsidRPr="00D36765" w:rsidRDefault="00FF412A" w:rsidP="00D36765">
            <w:pPr>
              <w:tabs>
                <w:tab w:val="left" w:pos="2302"/>
              </w:tabs>
              <w:spacing w:after="240" w:line="276" w:lineRule="auto"/>
              <w:ind w:left="480" w:hanging="480"/>
              <w:rPr>
                <w:rFonts w:eastAsia="Times New Roman"/>
                <w:lang w:val="fr-FR"/>
              </w:rPr>
            </w:pPr>
            <w:r w:rsidRPr="00D36765">
              <w:rPr>
                <w:rFonts w:eastAsia="Times New Roman"/>
                <w:lang w:val="en-US"/>
              </w:rPr>
              <w:fldChar w:fldCharType="begin">
                <w:ffData>
                  <w:name w:val="Check3"/>
                  <w:enabled/>
                  <w:calcOnExit w:val="0"/>
                  <w:checkBox>
                    <w:sizeAuto/>
                    <w:default w:val="0"/>
                  </w:checkBox>
                </w:ffData>
              </w:fldChar>
            </w:r>
            <w:r w:rsidR="00C12B77" w:rsidRPr="00D36765">
              <w:rPr>
                <w:rFonts w:eastAsia="Times New Roman"/>
                <w:lang w:val="fr-FR"/>
              </w:rPr>
              <w:instrText xml:space="preserve"> FORMCHECKBOX </w:instrText>
            </w:r>
            <w:r w:rsidR="006D5DA0">
              <w:rPr>
                <w:rFonts w:eastAsia="Times New Roman"/>
                <w:lang w:val="en-US"/>
              </w:rPr>
            </w:r>
            <w:r w:rsidR="006D5DA0">
              <w:rPr>
                <w:rFonts w:eastAsia="Times New Roman"/>
                <w:lang w:val="en-US"/>
              </w:rPr>
              <w:fldChar w:fldCharType="separate"/>
            </w:r>
            <w:r w:rsidRPr="00D36765">
              <w:rPr>
                <w:rFonts w:eastAsia="Times New Roman"/>
                <w:lang w:val="en-US"/>
              </w:rPr>
              <w:fldChar w:fldCharType="end"/>
            </w:r>
            <w:r w:rsidR="001331F5" w:rsidRPr="00D36765">
              <w:rPr>
                <w:rFonts w:eastAsia="Times New Roman"/>
                <w:lang w:val="fr-FR"/>
              </w:rPr>
              <w:tab/>
            </w:r>
            <w:r w:rsidR="00D36765" w:rsidRPr="00D36765">
              <w:rPr>
                <w:rFonts w:eastAsia="Times New Roman"/>
                <w:lang w:val="fr-FR"/>
              </w:rPr>
              <w:t>Întreaga axă prioritară se va implementa prin dezvoltare locală plasată sub responsabilitatea comunității</w:t>
            </w:r>
          </w:p>
        </w:tc>
      </w:tr>
    </w:tbl>
    <w:p w:rsidR="001331F5" w:rsidRPr="00D36765" w:rsidRDefault="001331F5" w:rsidP="00311248">
      <w:pPr>
        <w:pStyle w:val="Heading2"/>
        <w:rPr>
          <w:lang w:val="fr-FR"/>
        </w:rPr>
      </w:pPr>
      <w:bookmarkStart w:id="56" w:name="_Toc389657970"/>
      <w:bookmarkStart w:id="57" w:name="_Toc394837783"/>
      <w:proofErr w:type="gramStart"/>
      <w:r w:rsidRPr="00A77C97">
        <w:rPr>
          <w:lang w:val="fr-FR"/>
        </w:rPr>
        <w:t>2.A.2</w:t>
      </w:r>
      <w:proofErr w:type="gramEnd"/>
      <w:r w:rsidRPr="00A77C97">
        <w:rPr>
          <w:lang w:val="fr-FR"/>
        </w:rPr>
        <w:t xml:space="preserve">. </w:t>
      </w:r>
      <w:bookmarkEnd w:id="56"/>
      <w:r w:rsidR="00D36765" w:rsidRPr="00D36765">
        <w:rPr>
          <w:lang w:val="fr-FR"/>
        </w:rPr>
        <w:t>Justificarea stabilirii unei axe prioritare care acoperă mai mult de un obiectiv tematic (dacă este cazul)</w:t>
      </w:r>
      <w:bookmarkEnd w:id="5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1331F5" w:rsidRPr="00D74F62" w:rsidTr="005221A8">
        <w:trPr>
          <w:jc w:val="center"/>
        </w:trPr>
        <w:tc>
          <w:tcPr>
            <w:tcW w:w="9293" w:type="dxa"/>
            <w:tcBorders>
              <w:top w:val="single" w:sz="4" w:space="0" w:color="auto"/>
              <w:left w:val="single" w:sz="4" w:space="0" w:color="auto"/>
              <w:bottom w:val="single" w:sz="4" w:space="0" w:color="auto"/>
              <w:right w:val="single" w:sz="4" w:space="0" w:color="auto"/>
            </w:tcBorders>
            <w:hideMark/>
          </w:tcPr>
          <w:p w:rsidR="001331F5" w:rsidRPr="00D36765" w:rsidRDefault="00D36765" w:rsidP="005221A8">
            <w:pPr>
              <w:tabs>
                <w:tab w:val="left" w:pos="1787"/>
              </w:tabs>
              <w:spacing w:line="276" w:lineRule="auto"/>
              <w:rPr>
                <w:i/>
                <w:lang w:val="en-US"/>
              </w:rPr>
            </w:pPr>
            <w:r>
              <w:rPr>
                <w:lang w:val="en-US"/>
              </w:rPr>
              <w:t>Nu se aplică</w:t>
            </w:r>
          </w:p>
        </w:tc>
      </w:tr>
    </w:tbl>
    <w:p w:rsidR="001331F5" w:rsidRPr="00E20AC6" w:rsidRDefault="001331F5" w:rsidP="00311248">
      <w:pPr>
        <w:pStyle w:val="Heading2"/>
        <w:rPr>
          <w:highlight w:val="red"/>
          <w:lang w:val="fr-FR"/>
        </w:rPr>
      </w:pPr>
      <w:bookmarkStart w:id="58" w:name="_Toc394837784"/>
      <w:proofErr w:type="gramStart"/>
      <w:r w:rsidRPr="00A77C97">
        <w:rPr>
          <w:lang w:val="fr-FR"/>
        </w:rPr>
        <w:t>2.A.3</w:t>
      </w:r>
      <w:proofErr w:type="gramEnd"/>
      <w:r w:rsidRPr="00A77C97">
        <w:rPr>
          <w:lang w:val="fr-FR"/>
        </w:rPr>
        <w:t xml:space="preserve">. </w:t>
      </w:r>
      <w:r w:rsidR="00E20AC6" w:rsidRPr="00E20AC6">
        <w:rPr>
          <w:lang w:val="fr-FR"/>
        </w:rPr>
        <w:t>Fondul și baza de calcul pentru sprijinul Uniunii</w:t>
      </w:r>
      <w:bookmarkEnd w:id="5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4962"/>
      </w:tblGrid>
      <w:tr w:rsidR="001331F5" w:rsidRPr="00E20AC6" w:rsidTr="005221A8">
        <w:trPr>
          <w:jc w:val="center"/>
        </w:trPr>
        <w:tc>
          <w:tcPr>
            <w:tcW w:w="2070" w:type="dxa"/>
            <w:tcBorders>
              <w:top w:val="single" w:sz="4" w:space="0" w:color="auto"/>
              <w:left w:val="single" w:sz="4" w:space="0" w:color="auto"/>
              <w:bottom w:val="single" w:sz="4" w:space="0" w:color="auto"/>
              <w:right w:val="single" w:sz="4" w:space="0" w:color="auto"/>
            </w:tcBorders>
            <w:hideMark/>
          </w:tcPr>
          <w:p w:rsidR="001331F5" w:rsidRPr="00E20AC6" w:rsidRDefault="00E20AC6" w:rsidP="001B679A">
            <w:pPr>
              <w:spacing w:before="0" w:after="0" w:line="276" w:lineRule="auto"/>
              <w:rPr>
                <w:rFonts w:eastAsia="Times New Roman"/>
                <w:i/>
                <w:lang w:val="en-US"/>
              </w:rPr>
            </w:pPr>
            <w:r>
              <w:rPr>
                <w:rFonts w:eastAsia="Times New Roman"/>
                <w:i/>
                <w:lang w:val="en-US"/>
              </w:rPr>
              <w:t>Fo</w:t>
            </w:r>
            <w:r w:rsidR="001331F5" w:rsidRPr="00E20AC6">
              <w:rPr>
                <w:rFonts w:eastAsia="Times New Roman"/>
                <w:i/>
                <w:lang w:val="en-US"/>
              </w:rPr>
              <w:t>nd</w:t>
            </w:r>
          </w:p>
        </w:tc>
        <w:tc>
          <w:tcPr>
            <w:tcW w:w="4962" w:type="dxa"/>
            <w:tcBorders>
              <w:top w:val="single" w:sz="4" w:space="0" w:color="auto"/>
              <w:left w:val="single" w:sz="4" w:space="0" w:color="auto"/>
              <w:bottom w:val="single" w:sz="4" w:space="0" w:color="auto"/>
              <w:right w:val="single" w:sz="4" w:space="0" w:color="auto"/>
            </w:tcBorders>
            <w:hideMark/>
          </w:tcPr>
          <w:p w:rsidR="001331F5" w:rsidRPr="00E20AC6" w:rsidRDefault="001B679A" w:rsidP="001B679A">
            <w:pPr>
              <w:spacing w:before="0" w:after="0" w:line="276" w:lineRule="auto"/>
              <w:rPr>
                <w:rFonts w:eastAsia="Times New Roman"/>
                <w:i/>
                <w:szCs w:val="24"/>
                <w:lang w:val="en-US"/>
              </w:rPr>
            </w:pPr>
            <w:r>
              <w:rPr>
                <w:rFonts w:eastAsia="Times New Roman"/>
                <w:i/>
                <w:szCs w:val="24"/>
                <w:lang w:val="en-US"/>
              </w:rPr>
              <w:t>FEDR</w:t>
            </w:r>
          </w:p>
        </w:tc>
      </w:tr>
      <w:tr w:rsidR="001331F5" w:rsidRPr="00D74F62" w:rsidTr="005221A8">
        <w:trPr>
          <w:jc w:val="center"/>
        </w:trPr>
        <w:tc>
          <w:tcPr>
            <w:tcW w:w="2070" w:type="dxa"/>
            <w:tcBorders>
              <w:top w:val="single" w:sz="4" w:space="0" w:color="auto"/>
              <w:left w:val="single" w:sz="4" w:space="0" w:color="auto"/>
              <w:bottom w:val="single" w:sz="4" w:space="0" w:color="auto"/>
              <w:right w:val="single" w:sz="4" w:space="0" w:color="auto"/>
            </w:tcBorders>
            <w:hideMark/>
          </w:tcPr>
          <w:p w:rsidR="001331F5" w:rsidRPr="006F7519" w:rsidRDefault="00E20AC6" w:rsidP="001B679A">
            <w:pPr>
              <w:spacing w:before="0" w:after="0" w:line="276" w:lineRule="auto"/>
              <w:rPr>
                <w:rFonts w:eastAsia="Times New Roman"/>
                <w:i/>
                <w:lang w:val="it-IT"/>
              </w:rPr>
            </w:pPr>
            <w:r w:rsidRPr="006F7519">
              <w:rPr>
                <w:rFonts w:eastAsia="Times New Roman"/>
                <w:i/>
                <w:lang w:val="it-IT"/>
              </w:rPr>
              <w:t>Baza de calcul (totalul cheltuielilor eligibile sau al cheltuielilor publice eligibile)</w:t>
            </w:r>
          </w:p>
        </w:tc>
        <w:tc>
          <w:tcPr>
            <w:tcW w:w="4962" w:type="dxa"/>
            <w:tcBorders>
              <w:top w:val="single" w:sz="4" w:space="0" w:color="auto"/>
              <w:left w:val="single" w:sz="4" w:space="0" w:color="auto"/>
              <w:bottom w:val="single" w:sz="4" w:space="0" w:color="auto"/>
              <w:right w:val="single" w:sz="4" w:space="0" w:color="auto"/>
            </w:tcBorders>
            <w:hideMark/>
          </w:tcPr>
          <w:p w:rsidR="001331F5" w:rsidRPr="00E20AC6" w:rsidRDefault="00E20AC6" w:rsidP="001B679A">
            <w:pPr>
              <w:spacing w:before="0" w:after="0" w:line="276" w:lineRule="auto"/>
              <w:rPr>
                <w:rFonts w:eastAsia="Times New Roman"/>
                <w:i/>
                <w:color w:val="8DB3E2"/>
                <w:sz w:val="18"/>
                <w:szCs w:val="18"/>
                <w:lang w:val="en-US"/>
              </w:rPr>
            </w:pPr>
            <w:r>
              <w:rPr>
                <w:rFonts w:eastAsia="Times New Roman"/>
                <w:i/>
                <w:lang w:val="en-US"/>
              </w:rPr>
              <w:t>T</w:t>
            </w:r>
            <w:r w:rsidRPr="00E20AC6">
              <w:rPr>
                <w:rFonts w:eastAsia="Times New Roman"/>
                <w:i/>
                <w:lang w:val="en-US"/>
              </w:rPr>
              <w:t>otalul cheltuielilor eligibile</w:t>
            </w:r>
          </w:p>
        </w:tc>
      </w:tr>
    </w:tbl>
    <w:p w:rsidR="001331F5" w:rsidRPr="00E20AC6" w:rsidRDefault="001331F5" w:rsidP="00311248">
      <w:pPr>
        <w:pStyle w:val="Heading2"/>
        <w:rPr>
          <w:lang w:val="en-US"/>
        </w:rPr>
      </w:pPr>
      <w:bookmarkStart w:id="59" w:name="_Toc394837785"/>
      <w:proofErr w:type="gramStart"/>
      <w:r w:rsidRPr="00E20AC6">
        <w:rPr>
          <w:lang w:val="en-US"/>
        </w:rPr>
        <w:t>2.A.4</w:t>
      </w:r>
      <w:proofErr w:type="gramEnd"/>
      <w:r w:rsidRPr="00E20AC6">
        <w:rPr>
          <w:lang w:val="en-US"/>
        </w:rPr>
        <w:t xml:space="preserve">. </w:t>
      </w:r>
      <w:r w:rsidR="00E20AC6" w:rsidRPr="00E20AC6">
        <w:rPr>
          <w:lang w:val="en-US"/>
        </w:rPr>
        <w:t>Prioritatea de investiții</w:t>
      </w:r>
      <w:bookmarkEnd w:id="59"/>
    </w:p>
    <w:p w:rsidR="001331F5" w:rsidRPr="006F7519" w:rsidRDefault="00E20AC6" w:rsidP="00E20AC6">
      <w:pPr>
        <w:pStyle w:val="Heading4"/>
        <w:rPr>
          <w:lang w:val="it-IT"/>
        </w:rPr>
      </w:pPr>
      <w:bookmarkStart w:id="60" w:name="_Toc394837786"/>
      <w:r w:rsidRPr="006F7519">
        <w:rPr>
          <w:lang w:val="it-IT"/>
        </w:rPr>
        <w:t xml:space="preserve">Prioritatea de investiții </w:t>
      </w:r>
      <w:r w:rsidR="001331F5" w:rsidRPr="006F7519">
        <w:rPr>
          <w:lang w:val="it-IT"/>
        </w:rPr>
        <w:t xml:space="preserve">6c: </w:t>
      </w:r>
      <w:r w:rsidRPr="006F7519">
        <w:rPr>
          <w:lang w:val="it-IT"/>
        </w:rPr>
        <w:t>Conservarea, protejarea, promovarea și dezvoltarea patrimoniului natural</w:t>
      </w:r>
      <w:r w:rsidRPr="006F7519">
        <w:rPr>
          <w:lang w:val="it-IT" w:eastAsia="fr-BE"/>
        </w:rPr>
        <w:t xml:space="preserve"> și cultural</w:t>
      </w:r>
      <w:bookmarkEnd w:id="60"/>
    </w:p>
    <w:p w:rsidR="001B679A" w:rsidRPr="006F7519" w:rsidRDefault="001B679A" w:rsidP="00311248">
      <w:pPr>
        <w:pStyle w:val="Heading2"/>
        <w:rPr>
          <w:lang w:val="it-IT"/>
        </w:rPr>
        <w:sectPr w:rsidR="001B679A" w:rsidRPr="006F7519" w:rsidSect="00296FF9">
          <w:pgSz w:w="11906" w:h="16838"/>
          <w:pgMar w:top="1021" w:right="1418" w:bottom="1021" w:left="1418" w:header="601" w:footer="1077" w:gutter="0"/>
          <w:cols w:space="720"/>
          <w:docGrid w:linePitch="326"/>
        </w:sectPr>
      </w:pPr>
    </w:p>
    <w:p w:rsidR="001331F5" w:rsidRPr="006F7519" w:rsidRDefault="001331F5" w:rsidP="00311248">
      <w:pPr>
        <w:pStyle w:val="Heading2"/>
        <w:rPr>
          <w:lang w:val="it-IT"/>
        </w:rPr>
      </w:pPr>
      <w:bookmarkStart w:id="61" w:name="_Toc394837787"/>
      <w:r w:rsidRPr="006F7519">
        <w:rPr>
          <w:lang w:val="it-IT"/>
        </w:rPr>
        <w:lastRenderedPageBreak/>
        <w:t xml:space="preserve">2.A.5. </w:t>
      </w:r>
      <w:r w:rsidR="00E20AC6" w:rsidRPr="006F7519">
        <w:rPr>
          <w:lang w:val="it-IT"/>
        </w:rPr>
        <w:t>Obiective specifice corespunzătoare priorității de investiții și rezultate preconizate</w:t>
      </w:r>
      <w:bookmarkEnd w:id="61"/>
    </w:p>
    <w:p w:rsidR="00736205" w:rsidRPr="006F7519" w:rsidRDefault="00736205" w:rsidP="00736205">
      <w:pPr>
        <w:rPr>
          <w:highlight w:val="red"/>
          <w:lang w:val="it-IT"/>
        </w:rPr>
      </w:pPr>
    </w:p>
    <w:tbl>
      <w:tblPr>
        <w:tblStyle w:val="TableGrid2"/>
        <w:tblW w:w="10944" w:type="dxa"/>
        <w:jc w:val="center"/>
        <w:tblLook w:val="04A0" w:firstRow="1" w:lastRow="0" w:firstColumn="1" w:lastColumn="0" w:noHBand="0" w:noVBand="1"/>
      </w:tblPr>
      <w:tblGrid>
        <w:gridCol w:w="2736"/>
        <w:gridCol w:w="8208"/>
      </w:tblGrid>
      <w:tr w:rsidR="00736205" w:rsidRPr="001B679A" w:rsidTr="00BC5673">
        <w:trPr>
          <w:jc w:val="center"/>
        </w:trPr>
        <w:tc>
          <w:tcPr>
            <w:tcW w:w="2736" w:type="dxa"/>
          </w:tcPr>
          <w:p w:rsidR="00736205" w:rsidRPr="001B679A" w:rsidRDefault="00736205" w:rsidP="00BC5673">
            <w:pPr>
              <w:spacing w:before="60" w:after="0"/>
              <w:rPr>
                <w:rFonts w:eastAsia="Times New Roman"/>
                <w:b/>
                <w:i/>
                <w:sz w:val="22"/>
                <w:szCs w:val="22"/>
                <w:lang w:val="en-US" w:eastAsia="en-US"/>
              </w:rPr>
            </w:pPr>
            <w:r w:rsidRPr="001B679A">
              <w:rPr>
                <w:rFonts w:eastAsia="Times New Roman"/>
                <w:b/>
                <w:i/>
                <w:sz w:val="22"/>
                <w:szCs w:val="22"/>
                <w:lang w:val="en-US" w:eastAsia="en-US"/>
              </w:rPr>
              <w:t>ID</w:t>
            </w:r>
          </w:p>
        </w:tc>
        <w:tc>
          <w:tcPr>
            <w:tcW w:w="8208" w:type="dxa"/>
          </w:tcPr>
          <w:p w:rsidR="00736205" w:rsidRPr="001B679A" w:rsidRDefault="00736205" w:rsidP="00BC5673">
            <w:pPr>
              <w:spacing w:before="60" w:after="0"/>
              <w:rPr>
                <w:rFonts w:eastAsia="Times New Roman"/>
                <w:b/>
                <w:sz w:val="22"/>
                <w:szCs w:val="22"/>
                <w:lang w:val="en-US" w:eastAsia="en-US"/>
              </w:rPr>
            </w:pPr>
          </w:p>
        </w:tc>
      </w:tr>
      <w:tr w:rsidR="00736205" w:rsidRPr="00A158A9" w:rsidTr="00BC5673">
        <w:trPr>
          <w:jc w:val="center"/>
        </w:trPr>
        <w:tc>
          <w:tcPr>
            <w:tcW w:w="2736" w:type="dxa"/>
          </w:tcPr>
          <w:p w:rsidR="00736205" w:rsidRPr="001B679A" w:rsidRDefault="00E20AC6" w:rsidP="00736205">
            <w:pPr>
              <w:spacing w:before="60" w:after="0"/>
              <w:rPr>
                <w:rFonts w:eastAsia="Times New Roman"/>
                <w:b/>
                <w:i/>
                <w:sz w:val="22"/>
                <w:szCs w:val="22"/>
                <w:highlight w:val="red"/>
                <w:lang w:val="en-US" w:eastAsia="en-US"/>
              </w:rPr>
            </w:pPr>
            <w:r w:rsidRPr="001B679A">
              <w:rPr>
                <w:rFonts w:eastAsia="Times New Roman"/>
                <w:b/>
                <w:i/>
                <w:sz w:val="22"/>
                <w:szCs w:val="22"/>
                <w:lang w:val="en-US" w:eastAsia="en-US"/>
              </w:rPr>
              <w:t>Obiectiv Specific</w:t>
            </w:r>
            <w:r w:rsidR="00736205" w:rsidRPr="001B679A">
              <w:rPr>
                <w:rFonts w:eastAsia="Times New Roman"/>
                <w:b/>
                <w:i/>
                <w:sz w:val="22"/>
                <w:szCs w:val="22"/>
                <w:lang w:val="en-US" w:eastAsia="en-US"/>
              </w:rPr>
              <w:t xml:space="preserve"> 2.1</w:t>
            </w:r>
          </w:p>
        </w:tc>
        <w:tc>
          <w:tcPr>
            <w:tcW w:w="8208" w:type="dxa"/>
          </w:tcPr>
          <w:p w:rsidR="00736205" w:rsidRPr="001B679A" w:rsidRDefault="00E20AC6" w:rsidP="00BC5673">
            <w:pPr>
              <w:spacing w:before="60" w:after="0"/>
              <w:rPr>
                <w:rFonts w:eastAsia="Times New Roman"/>
                <w:b/>
                <w:sz w:val="22"/>
                <w:szCs w:val="22"/>
                <w:lang w:val="fr-FR" w:eastAsia="en-US"/>
              </w:rPr>
            </w:pPr>
            <w:r w:rsidRPr="001B679A">
              <w:rPr>
                <w:rFonts w:eastAsia="Times New Roman"/>
                <w:b/>
                <w:sz w:val="22"/>
                <w:szCs w:val="22"/>
                <w:lang w:val="fr-FR" w:eastAsia="en-US"/>
              </w:rPr>
              <w:t xml:space="preserve">Îmbunătățirea utilizarii durabile </w:t>
            </w:r>
            <w:proofErr w:type="gramStart"/>
            <w:r w:rsidRPr="001B679A">
              <w:rPr>
                <w:rFonts w:eastAsia="Times New Roman"/>
                <w:b/>
                <w:sz w:val="22"/>
                <w:szCs w:val="22"/>
                <w:lang w:val="fr-FR" w:eastAsia="en-US"/>
              </w:rPr>
              <w:t>a</w:t>
            </w:r>
            <w:proofErr w:type="gramEnd"/>
            <w:r w:rsidRPr="001B679A">
              <w:rPr>
                <w:rFonts w:eastAsia="Times New Roman"/>
                <w:b/>
                <w:sz w:val="22"/>
                <w:szCs w:val="22"/>
                <w:lang w:val="fr-FR" w:eastAsia="en-US"/>
              </w:rPr>
              <w:t xml:space="preserve"> resurselor și patrimoniului natural și a patrimoniului cultural</w:t>
            </w:r>
          </w:p>
        </w:tc>
      </w:tr>
      <w:tr w:rsidR="00736205" w:rsidRPr="00A158A9" w:rsidTr="00BC5673">
        <w:trPr>
          <w:jc w:val="center"/>
        </w:trPr>
        <w:tc>
          <w:tcPr>
            <w:tcW w:w="2736" w:type="dxa"/>
          </w:tcPr>
          <w:p w:rsidR="00736205" w:rsidRPr="006F7519" w:rsidRDefault="00E20AC6" w:rsidP="00BC5673">
            <w:pPr>
              <w:spacing w:before="60" w:after="0"/>
              <w:rPr>
                <w:rFonts w:eastAsia="Times New Roman"/>
                <w:b/>
                <w:i/>
                <w:sz w:val="22"/>
                <w:szCs w:val="22"/>
                <w:lang w:val="it-IT" w:eastAsia="en-US"/>
              </w:rPr>
            </w:pPr>
            <w:r w:rsidRPr="006F7519">
              <w:rPr>
                <w:rFonts w:eastAsia="Times New Roman"/>
                <w:b/>
                <w:i/>
                <w:sz w:val="22"/>
                <w:szCs w:val="22"/>
                <w:lang w:val="it-IT" w:eastAsia="en-US"/>
              </w:rPr>
              <w:t>Rezultatele pe care statul membru caută să le obțină prin sprijinul din partea Uniunii</w:t>
            </w:r>
          </w:p>
        </w:tc>
        <w:tc>
          <w:tcPr>
            <w:tcW w:w="8208" w:type="dxa"/>
          </w:tcPr>
          <w:p w:rsidR="001B679A" w:rsidRPr="001B679A" w:rsidRDefault="001B679A" w:rsidP="001B679A">
            <w:pPr>
              <w:spacing w:before="60" w:after="0"/>
              <w:rPr>
                <w:rFonts w:eastAsia="Times New Roman"/>
                <w:sz w:val="22"/>
                <w:szCs w:val="22"/>
                <w:lang w:val="fr-FR"/>
              </w:rPr>
            </w:pPr>
            <w:r w:rsidRPr="001B679A">
              <w:rPr>
                <w:rFonts w:eastAsia="Times New Roman"/>
                <w:sz w:val="22"/>
                <w:szCs w:val="22"/>
                <w:lang w:val="fr-FR"/>
              </w:rPr>
              <w:t>Zona transfrontalieră România-Bulgaria se caracterizează printr-un patrimoniu natural şi cultural bogat, care este supus unei varietăţi de presiuni şi conflicte de uzură (e.g. de la industrie, agricultură intensivă, schimbări climatice, transport, precum şi fluxuri de turism prost gestionate). Având în vedere dificultăţile socio-economice ale zonei transfrontaliere, presiunile par pregătite să continue, dacă nu sunt identificate, implementate şi promo</w:t>
            </w:r>
            <w:r w:rsidR="00BA77BE">
              <w:rPr>
                <w:rFonts w:eastAsia="Times New Roman"/>
                <w:sz w:val="22"/>
                <w:szCs w:val="22"/>
                <w:lang w:val="fr-FR"/>
              </w:rPr>
              <w:t xml:space="preserve">vate noi modalităţi </w:t>
            </w:r>
            <w:proofErr w:type="gramStart"/>
            <w:r w:rsidR="00BA77BE">
              <w:rPr>
                <w:rFonts w:eastAsia="Times New Roman"/>
                <w:sz w:val="22"/>
                <w:szCs w:val="22"/>
                <w:lang w:val="fr-FR"/>
              </w:rPr>
              <w:t>de utilizare</w:t>
            </w:r>
            <w:proofErr w:type="gramEnd"/>
            <w:r w:rsidRPr="001B679A">
              <w:rPr>
                <w:rFonts w:eastAsia="Times New Roman"/>
                <w:sz w:val="22"/>
                <w:szCs w:val="22"/>
                <w:lang w:val="fr-FR"/>
              </w:rPr>
              <w:t xml:space="preserve"> durabile, totuşi viabile din punct de vedere economic ale acestui patrimoniu. Turismul durabil pare să fie sectorul care combină cel mai bine, având în vedere condiţiile locale, raţiunea economică şi logica de protecţie pentru a produce beneficii durabile pentru comunităţile locale. Acesta pare să fie cel mai bun mod de a trata problemele care afectează un patrimoniu natural şi cultural bogat care este mai puţin cunoscut atât la nivel naţional, cât şi la nivel internaţional. </w:t>
            </w:r>
          </w:p>
          <w:p w:rsidR="001B679A" w:rsidRPr="001B679A" w:rsidRDefault="001B679A" w:rsidP="001B679A">
            <w:pPr>
              <w:spacing w:before="60" w:after="0"/>
              <w:rPr>
                <w:rFonts w:eastAsia="Times New Roman"/>
                <w:sz w:val="22"/>
                <w:szCs w:val="22"/>
                <w:lang w:val="fr-FR"/>
              </w:rPr>
            </w:pPr>
            <w:r w:rsidRPr="001B679A">
              <w:rPr>
                <w:rFonts w:eastAsia="Times New Roman"/>
                <w:sz w:val="22"/>
                <w:szCs w:val="22"/>
                <w:lang w:val="fr-FR"/>
              </w:rPr>
              <w:t>Dezvoltarea turismului şi protecţia mediului sunt deja un obiectiv comun politic şi al societăţii civile</w:t>
            </w:r>
            <w:r w:rsidR="002F5E5B">
              <w:rPr>
                <w:rFonts w:eastAsia="Times New Roman"/>
                <w:sz w:val="22"/>
                <w:szCs w:val="22"/>
                <w:lang w:val="fr-FR"/>
              </w:rPr>
              <w:t>,</w:t>
            </w:r>
            <w:r w:rsidRPr="001B679A">
              <w:rPr>
                <w:rFonts w:eastAsia="Times New Roman"/>
                <w:sz w:val="22"/>
                <w:szCs w:val="22"/>
                <w:lang w:val="fr-FR"/>
              </w:rPr>
              <w:t xml:space="preserve"> aşa cum s-a constatat în perioada 2007-2013. Regiunea transfrontalieră a creat deja un brand teritorial comun, iar România şi Bulgaria sunt responsabile de Zona de Prioritate EUSDR: „Pentru a promova cultura şi turismul, contacte nemijlocite între oameni”. Mai mult, dezvoltare</w:t>
            </w:r>
            <w:r w:rsidR="002F5E5B">
              <w:rPr>
                <w:rFonts w:eastAsia="Times New Roman"/>
                <w:sz w:val="22"/>
                <w:szCs w:val="22"/>
                <w:lang w:val="fr-FR"/>
              </w:rPr>
              <w:t>a produselor de turism integrat</w:t>
            </w:r>
            <w:r w:rsidRPr="001B679A">
              <w:rPr>
                <w:rFonts w:eastAsia="Times New Roman"/>
                <w:sz w:val="22"/>
                <w:szCs w:val="22"/>
                <w:lang w:val="fr-FR"/>
              </w:rPr>
              <w:t xml:space="preserve"> dintre zonele Dunării şi Mării Negre şi crearea de noi legături cu infrastructurile de turism din partea superioară a Dunării pot mări contribuţia turismului la</w:t>
            </w:r>
            <w:r w:rsidR="00752936">
              <w:rPr>
                <w:rFonts w:eastAsia="Times New Roman"/>
                <w:sz w:val="22"/>
                <w:szCs w:val="22"/>
                <w:lang w:val="fr-FR"/>
              </w:rPr>
              <w:t xml:space="preserve"> o</w:t>
            </w:r>
            <w:r w:rsidRPr="001B679A">
              <w:rPr>
                <w:rFonts w:eastAsia="Times New Roman"/>
                <w:sz w:val="22"/>
                <w:szCs w:val="22"/>
                <w:lang w:val="fr-FR"/>
              </w:rPr>
              <w:t xml:space="preserve"> creştere</w:t>
            </w:r>
            <w:r w:rsidR="00752936">
              <w:rPr>
                <w:rFonts w:eastAsia="Times New Roman"/>
                <w:sz w:val="22"/>
                <w:szCs w:val="22"/>
                <w:lang w:val="fr-FR"/>
              </w:rPr>
              <w:t xml:space="preserve"> durabilă şi sustenabilă </w:t>
            </w:r>
            <w:r w:rsidRPr="001B679A">
              <w:rPr>
                <w:rFonts w:eastAsia="Times New Roman"/>
                <w:sz w:val="22"/>
                <w:szCs w:val="22"/>
                <w:lang w:val="fr-FR"/>
              </w:rPr>
              <w:t>în zona transfrontalieră.</w:t>
            </w:r>
          </w:p>
          <w:p w:rsidR="001B679A" w:rsidRPr="001B679A" w:rsidRDefault="001B679A" w:rsidP="001B679A">
            <w:pPr>
              <w:spacing w:before="60" w:after="0"/>
              <w:rPr>
                <w:rFonts w:eastAsia="Times New Roman"/>
                <w:sz w:val="22"/>
                <w:szCs w:val="22"/>
                <w:lang w:val="fr-FR"/>
              </w:rPr>
            </w:pPr>
            <w:r w:rsidRPr="001B679A">
              <w:rPr>
                <w:rFonts w:eastAsia="Times New Roman"/>
                <w:sz w:val="22"/>
                <w:szCs w:val="22"/>
                <w:lang w:val="fr-FR"/>
              </w:rPr>
              <w:t>Având în vedere geografia, structura ecologică a zonei transfrontaliere (structurată în jurul litoralului Mării Negre şi coridorului Dunării – un coridor natural important care leagă cele două părţi naţionale) şi evoluţia etnografică şi istorică comună a celor două naţiuni, valoarea adăugată în tratarea chestiunii protejării şi utilizării patrimoniului natural şi istoric</w:t>
            </w:r>
            <w:r w:rsidR="009D025C">
              <w:rPr>
                <w:rFonts w:eastAsia="Times New Roman"/>
                <w:sz w:val="22"/>
                <w:szCs w:val="22"/>
                <w:lang w:val="fr-FR"/>
              </w:rPr>
              <w:t xml:space="preserve"> în zona transfrontalieră</w:t>
            </w:r>
            <w:r w:rsidRPr="001B679A">
              <w:rPr>
                <w:rFonts w:eastAsia="Times New Roman"/>
                <w:sz w:val="22"/>
                <w:szCs w:val="22"/>
                <w:lang w:val="fr-FR"/>
              </w:rPr>
              <w:t xml:space="preserve"> pare evidentă.</w:t>
            </w:r>
          </w:p>
          <w:p w:rsidR="00736205" w:rsidRPr="001B679A" w:rsidRDefault="001B679A" w:rsidP="001B679A">
            <w:pPr>
              <w:spacing w:before="60" w:after="0"/>
              <w:rPr>
                <w:rFonts w:eastAsia="Times New Roman"/>
                <w:sz w:val="22"/>
                <w:szCs w:val="22"/>
                <w:lang w:val="fr-FR"/>
              </w:rPr>
            </w:pPr>
            <w:r w:rsidRPr="001B679A">
              <w:rPr>
                <w:rFonts w:eastAsia="Times New Roman"/>
                <w:sz w:val="22"/>
                <w:szCs w:val="22"/>
                <w:lang w:val="fr-FR"/>
              </w:rPr>
              <w:t>Rezultatul principal avut în vedere de statele membre poate astfel fi rezumat ca apariţia unui model pentru utilizarea durabilă (pentru dezvoltare economică care să protejeze patrimoniul) a patrimoniului natural şi cultural al zonei transfrontaliere, astfel îmbunătăţind şi turismul în zona eligibilă</w:t>
            </w:r>
            <w:r>
              <w:rPr>
                <w:rFonts w:eastAsia="Times New Roman"/>
                <w:sz w:val="22"/>
                <w:szCs w:val="22"/>
                <w:lang w:val="fr-FR"/>
              </w:rPr>
              <w:t>.</w:t>
            </w:r>
          </w:p>
        </w:tc>
      </w:tr>
    </w:tbl>
    <w:p w:rsidR="00736205" w:rsidRPr="001B679A" w:rsidRDefault="00736205" w:rsidP="00736205">
      <w:pPr>
        <w:rPr>
          <w:lang w:val="fr-FR"/>
        </w:rPr>
      </w:pPr>
    </w:p>
    <w:p w:rsidR="001331F5" w:rsidRPr="001B679A" w:rsidRDefault="001331F5" w:rsidP="001331F5">
      <w:pPr>
        <w:spacing w:before="0" w:after="0" w:line="276" w:lineRule="auto"/>
        <w:jc w:val="left"/>
        <w:rPr>
          <w:rFonts w:eastAsia="Times New Roman"/>
          <w:sz w:val="32"/>
          <w:szCs w:val="24"/>
          <w:lang w:val="fr-FR" w:eastAsia="ar-SA"/>
        </w:rPr>
        <w:sectPr w:rsidR="001331F5" w:rsidRPr="001B679A" w:rsidSect="00296FF9">
          <w:pgSz w:w="11906" w:h="16838"/>
          <w:pgMar w:top="1021" w:right="1418" w:bottom="1021" w:left="1418" w:header="601" w:footer="1077" w:gutter="0"/>
          <w:cols w:space="720"/>
          <w:docGrid w:linePitch="326"/>
        </w:sectPr>
      </w:pPr>
    </w:p>
    <w:p w:rsidR="001331F5" w:rsidRPr="00E20AC6" w:rsidRDefault="00E20AC6" w:rsidP="00E20AC6">
      <w:pPr>
        <w:rPr>
          <w:highlight w:val="red"/>
          <w:lang w:val="fr-FR"/>
        </w:rPr>
      </w:pPr>
      <w:bookmarkStart w:id="62" w:name="_Toc394837788"/>
      <w:r w:rsidRPr="00A77C97">
        <w:rPr>
          <w:rStyle w:val="Heading2Char"/>
          <w:rFonts w:eastAsia="Calibri"/>
          <w:lang w:val="fr-FR"/>
        </w:rPr>
        <w:lastRenderedPageBreak/>
        <w:t>Tabelul</w:t>
      </w:r>
      <w:r w:rsidR="001331F5" w:rsidRPr="00A77C97">
        <w:rPr>
          <w:rStyle w:val="Heading2Char"/>
          <w:rFonts w:eastAsia="Calibri"/>
          <w:lang w:val="fr-FR"/>
        </w:rPr>
        <w:t xml:space="preserve"> 3: </w:t>
      </w:r>
      <w:r w:rsidRPr="00A77C97">
        <w:rPr>
          <w:rStyle w:val="Heading2Char"/>
          <w:rFonts w:eastAsia="Calibri"/>
          <w:lang w:val="fr-FR"/>
        </w:rPr>
        <w:t>Indicatori de rezultat specifici programului</w:t>
      </w:r>
      <w:bookmarkEnd w:id="62"/>
      <w:r w:rsidRPr="00E20AC6">
        <w:rPr>
          <w:lang w:val="fr-FR"/>
        </w:rPr>
        <w:t xml:space="preserve"> (pe obiectiv specific) </w:t>
      </w:r>
    </w:p>
    <w:p w:rsidR="001331F5" w:rsidRPr="00E20AC6" w:rsidRDefault="001331F5" w:rsidP="001331F5">
      <w:pPr>
        <w:rPr>
          <w:highlight w:val="red"/>
          <w:lang w:val="fr-FR"/>
        </w:rPr>
      </w:pPr>
    </w:p>
    <w:tbl>
      <w:tblPr>
        <w:tblW w:w="45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
        <w:gridCol w:w="2280"/>
        <w:gridCol w:w="1905"/>
        <w:gridCol w:w="1670"/>
        <w:gridCol w:w="1393"/>
        <w:gridCol w:w="2117"/>
        <w:gridCol w:w="1694"/>
        <w:gridCol w:w="1273"/>
      </w:tblGrid>
      <w:tr w:rsidR="00E20AC6" w:rsidRPr="008C14D4" w:rsidTr="0076163D">
        <w:trPr>
          <w:trHeight w:val="531"/>
          <w:jc w:val="center"/>
        </w:trPr>
        <w:tc>
          <w:tcPr>
            <w:tcW w:w="486" w:type="pct"/>
            <w:tcBorders>
              <w:top w:val="single" w:sz="4" w:space="0" w:color="auto"/>
              <w:left w:val="single" w:sz="4" w:space="0" w:color="auto"/>
              <w:bottom w:val="single" w:sz="4" w:space="0" w:color="auto"/>
              <w:right w:val="single" w:sz="4" w:space="0" w:color="auto"/>
            </w:tcBorders>
            <w:vAlign w:val="center"/>
            <w:hideMark/>
          </w:tcPr>
          <w:p w:rsidR="00E20AC6" w:rsidRPr="008C14D4" w:rsidRDefault="00E20AC6" w:rsidP="0076163D">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ID</w:t>
            </w:r>
          </w:p>
        </w:tc>
        <w:tc>
          <w:tcPr>
            <w:tcW w:w="834" w:type="pct"/>
            <w:tcBorders>
              <w:top w:val="single" w:sz="4" w:space="0" w:color="auto"/>
              <w:left w:val="single" w:sz="4" w:space="0" w:color="auto"/>
              <w:bottom w:val="single" w:sz="4" w:space="0" w:color="auto"/>
              <w:right w:val="single" w:sz="4" w:space="0" w:color="auto"/>
            </w:tcBorders>
            <w:vAlign w:val="center"/>
            <w:hideMark/>
          </w:tcPr>
          <w:p w:rsidR="00E20AC6" w:rsidRPr="008C14D4" w:rsidRDefault="00E20AC6" w:rsidP="0076163D">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 xml:space="preserve">Indicator </w:t>
            </w:r>
          </w:p>
        </w:tc>
        <w:tc>
          <w:tcPr>
            <w:tcW w:w="697" w:type="pct"/>
            <w:tcBorders>
              <w:top w:val="single" w:sz="4" w:space="0" w:color="auto"/>
              <w:left w:val="single" w:sz="4" w:space="0" w:color="auto"/>
              <w:bottom w:val="single" w:sz="4" w:space="0" w:color="auto"/>
              <w:right w:val="single" w:sz="4" w:space="0" w:color="auto"/>
            </w:tcBorders>
            <w:vAlign w:val="center"/>
            <w:hideMark/>
          </w:tcPr>
          <w:p w:rsidR="00E20AC6" w:rsidRPr="008C14D4" w:rsidRDefault="00E20AC6" w:rsidP="0076163D">
            <w:pPr>
              <w:snapToGrid w:val="0"/>
              <w:spacing w:line="276" w:lineRule="auto"/>
              <w:jc w:val="left"/>
              <w:rPr>
                <w:rFonts w:eastAsia="Times New Roman"/>
                <w:b/>
                <w:sz w:val="18"/>
                <w:szCs w:val="18"/>
                <w:lang w:val="en-US"/>
              </w:rPr>
            </w:pPr>
            <w:r w:rsidRPr="008C14D4">
              <w:rPr>
                <w:rFonts w:eastAsia="Times New Roman"/>
                <w:b/>
                <w:sz w:val="18"/>
                <w:szCs w:val="18"/>
                <w:lang w:val="en-US"/>
              </w:rPr>
              <w:t>Unitate de măsură</w:t>
            </w:r>
          </w:p>
        </w:tc>
        <w:tc>
          <w:tcPr>
            <w:tcW w:w="611" w:type="pct"/>
            <w:tcBorders>
              <w:top w:val="single" w:sz="4" w:space="0" w:color="auto"/>
              <w:left w:val="single" w:sz="4" w:space="0" w:color="auto"/>
              <w:bottom w:val="single" w:sz="4" w:space="0" w:color="auto"/>
              <w:right w:val="single" w:sz="4" w:space="0" w:color="auto"/>
            </w:tcBorders>
            <w:vAlign w:val="center"/>
            <w:hideMark/>
          </w:tcPr>
          <w:p w:rsidR="00E20AC6" w:rsidRPr="008C14D4" w:rsidRDefault="00E20AC6" w:rsidP="0076163D">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Valoarea de referință</w:t>
            </w:r>
          </w:p>
        </w:tc>
        <w:tc>
          <w:tcPr>
            <w:tcW w:w="510" w:type="pct"/>
            <w:tcBorders>
              <w:top w:val="single" w:sz="4" w:space="0" w:color="auto"/>
              <w:left w:val="single" w:sz="4" w:space="0" w:color="auto"/>
              <w:bottom w:val="single" w:sz="4" w:space="0" w:color="auto"/>
              <w:right w:val="single" w:sz="4" w:space="0" w:color="auto"/>
            </w:tcBorders>
            <w:vAlign w:val="center"/>
            <w:hideMark/>
          </w:tcPr>
          <w:p w:rsidR="00E20AC6" w:rsidRPr="008C14D4" w:rsidRDefault="00E20AC6" w:rsidP="0076163D">
            <w:pPr>
              <w:snapToGrid w:val="0"/>
              <w:spacing w:line="276" w:lineRule="auto"/>
              <w:jc w:val="left"/>
              <w:rPr>
                <w:rFonts w:eastAsia="Times New Roman"/>
                <w:b/>
                <w:sz w:val="18"/>
                <w:szCs w:val="18"/>
                <w:lang w:val="en-US"/>
              </w:rPr>
            </w:pPr>
            <w:r w:rsidRPr="008C14D4">
              <w:rPr>
                <w:rFonts w:eastAsia="Times New Roman"/>
                <w:b/>
                <w:sz w:val="18"/>
                <w:szCs w:val="18"/>
                <w:lang w:val="en-US"/>
              </w:rPr>
              <w:t>Anul de referință</w:t>
            </w:r>
          </w:p>
        </w:tc>
        <w:tc>
          <w:tcPr>
            <w:tcW w:w="775" w:type="pct"/>
            <w:tcBorders>
              <w:top w:val="single" w:sz="4" w:space="0" w:color="auto"/>
              <w:left w:val="single" w:sz="4" w:space="0" w:color="auto"/>
              <w:bottom w:val="single" w:sz="4" w:space="0" w:color="auto"/>
              <w:right w:val="single" w:sz="4" w:space="0" w:color="auto"/>
            </w:tcBorders>
            <w:vAlign w:val="center"/>
            <w:hideMark/>
          </w:tcPr>
          <w:p w:rsidR="00E20AC6" w:rsidRPr="008C14D4" w:rsidRDefault="00E20AC6" w:rsidP="007173F3">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Valoarea-țintă (2023)</w:t>
            </w:r>
            <w:r w:rsidR="007173F3">
              <w:rPr>
                <w:rStyle w:val="FootnoteReference"/>
                <w:rFonts w:eastAsia="Times New Roman"/>
                <w:b/>
                <w:sz w:val="18"/>
                <w:szCs w:val="18"/>
                <w:lang w:val="en-US"/>
              </w:rPr>
              <w:footnoteReference w:id="9"/>
            </w:r>
          </w:p>
        </w:tc>
        <w:tc>
          <w:tcPr>
            <w:tcW w:w="620" w:type="pct"/>
            <w:tcBorders>
              <w:top w:val="single" w:sz="4" w:space="0" w:color="auto"/>
              <w:left w:val="single" w:sz="4" w:space="0" w:color="auto"/>
              <w:bottom w:val="single" w:sz="4" w:space="0" w:color="auto"/>
              <w:right w:val="single" w:sz="4" w:space="0" w:color="auto"/>
            </w:tcBorders>
            <w:vAlign w:val="center"/>
            <w:hideMark/>
          </w:tcPr>
          <w:p w:rsidR="00E20AC6" w:rsidRPr="008C14D4" w:rsidRDefault="00E20AC6" w:rsidP="0076163D">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Sursa datelor</w:t>
            </w:r>
          </w:p>
        </w:tc>
        <w:tc>
          <w:tcPr>
            <w:tcW w:w="466" w:type="pct"/>
            <w:tcBorders>
              <w:top w:val="single" w:sz="4" w:space="0" w:color="auto"/>
              <w:left w:val="single" w:sz="4" w:space="0" w:color="auto"/>
              <w:bottom w:val="single" w:sz="4" w:space="0" w:color="auto"/>
              <w:right w:val="single" w:sz="4" w:space="0" w:color="auto"/>
            </w:tcBorders>
            <w:vAlign w:val="center"/>
            <w:hideMark/>
          </w:tcPr>
          <w:p w:rsidR="00E20AC6" w:rsidRPr="008C14D4" w:rsidRDefault="00E20AC6" w:rsidP="0076163D">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Frecvența raportării</w:t>
            </w:r>
          </w:p>
        </w:tc>
      </w:tr>
      <w:tr w:rsidR="001331F5" w:rsidRPr="000B7282" w:rsidTr="0076163D">
        <w:trPr>
          <w:trHeight w:val="870"/>
          <w:jc w:val="center"/>
        </w:trPr>
        <w:tc>
          <w:tcPr>
            <w:tcW w:w="486" w:type="pct"/>
            <w:tcBorders>
              <w:top w:val="single" w:sz="4" w:space="0" w:color="auto"/>
              <w:left w:val="single" w:sz="4" w:space="0" w:color="auto"/>
              <w:bottom w:val="single" w:sz="4" w:space="0" w:color="auto"/>
              <w:right w:val="single" w:sz="4" w:space="0" w:color="auto"/>
            </w:tcBorders>
            <w:vAlign w:val="center"/>
            <w:hideMark/>
          </w:tcPr>
          <w:p w:rsidR="001331F5" w:rsidRPr="0076163D" w:rsidRDefault="00176887" w:rsidP="0076163D">
            <w:pPr>
              <w:tabs>
                <w:tab w:val="left" w:pos="720"/>
              </w:tabs>
              <w:spacing w:line="276" w:lineRule="auto"/>
              <w:jc w:val="left"/>
              <w:rPr>
                <w:rFonts w:eastAsia="Times New Roman"/>
                <w:b/>
                <w:sz w:val="18"/>
                <w:szCs w:val="18"/>
                <w:lang w:val="en-US"/>
              </w:rPr>
            </w:pPr>
            <w:r>
              <w:rPr>
                <w:szCs w:val="24"/>
                <w:lang w:val="en-US"/>
              </w:rPr>
              <w:t>R.</w:t>
            </w:r>
            <w:r w:rsidR="00AD5E5C" w:rsidRPr="0076163D">
              <w:rPr>
                <w:szCs w:val="24"/>
                <w:lang w:val="en-US"/>
              </w:rPr>
              <w:t>2</w:t>
            </w:r>
            <w:r w:rsidR="001331F5" w:rsidRPr="0076163D">
              <w:rPr>
                <w:szCs w:val="24"/>
                <w:lang w:val="en-US"/>
              </w:rPr>
              <w:t xml:space="preserve">.1 </w:t>
            </w:r>
          </w:p>
        </w:tc>
        <w:tc>
          <w:tcPr>
            <w:tcW w:w="834" w:type="pct"/>
            <w:tcBorders>
              <w:top w:val="single" w:sz="4" w:space="0" w:color="auto"/>
              <w:left w:val="single" w:sz="4" w:space="0" w:color="auto"/>
              <w:bottom w:val="single" w:sz="4" w:space="0" w:color="auto"/>
              <w:right w:val="single" w:sz="4" w:space="0" w:color="auto"/>
            </w:tcBorders>
            <w:vAlign w:val="center"/>
            <w:hideMark/>
          </w:tcPr>
          <w:p w:rsidR="001331F5" w:rsidRPr="00E20AC6" w:rsidRDefault="00E20AC6" w:rsidP="007173F3">
            <w:pPr>
              <w:tabs>
                <w:tab w:val="left" w:pos="720"/>
              </w:tabs>
              <w:spacing w:line="276" w:lineRule="auto"/>
              <w:jc w:val="left"/>
              <w:rPr>
                <w:szCs w:val="24"/>
                <w:highlight w:val="red"/>
                <w:lang w:val="fr-FR"/>
              </w:rPr>
            </w:pPr>
            <w:proofErr w:type="gramStart"/>
            <w:r w:rsidRPr="00E20AC6">
              <w:rPr>
                <w:szCs w:val="24"/>
                <w:lang w:val="fr-FR"/>
              </w:rPr>
              <w:t xml:space="preserve">Numarul de înnoptări </w:t>
            </w:r>
            <w:proofErr w:type="gramEnd"/>
            <w:r w:rsidRPr="00E20AC6">
              <w:rPr>
                <w:szCs w:val="24"/>
                <w:lang w:val="fr-FR"/>
              </w:rPr>
              <w:t xml:space="preserve"> ale turi</w:t>
            </w:r>
            <w:r w:rsidR="007173F3">
              <w:rPr>
                <w:szCs w:val="24"/>
                <w:lang w:val="fr-FR"/>
              </w:rPr>
              <w:t>ș</w:t>
            </w:r>
            <w:r w:rsidRPr="00E20AC6">
              <w:rPr>
                <w:szCs w:val="24"/>
                <w:lang w:val="fr-FR"/>
              </w:rPr>
              <w:t>tilor în aria transfrontalieră</w:t>
            </w:r>
          </w:p>
        </w:tc>
        <w:tc>
          <w:tcPr>
            <w:tcW w:w="697" w:type="pct"/>
            <w:tcBorders>
              <w:top w:val="single" w:sz="4" w:space="0" w:color="auto"/>
              <w:left w:val="single" w:sz="4" w:space="0" w:color="auto"/>
              <w:bottom w:val="single" w:sz="4" w:space="0" w:color="auto"/>
              <w:right w:val="single" w:sz="4" w:space="0" w:color="auto"/>
            </w:tcBorders>
            <w:vAlign w:val="center"/>
            <w:hideMark/>
          </w:tcPr>
          <w:p w:rsidR="001331F5" w:rsidRPr="00D74F62" w:rsidRDefault="00176887" w:rsidP="0076163D">
            <w:pPr>
              <w:tabs>
                <w:tab w:val="left" w:pos="720"/>
              </w:tabs>
              <w:spacing w:line="276" w:lineRule="auto"/>
              <w:jc w:val="left"/>
              <w:rPr>
                <w:szCs w:val="24"/>
                <w:highlight w:val="red"/>
                <w:lang w:val="en-US"/>
              </w:rPr>
            </w:pPr>
            <w:r>
              <w:rPr>
                <w:szCs w:val="24"/>
                <w:lang w:val="fr-FR"/>
              </w:rPr>
              <w:t>Num</w:t>
            </w:r>
            <w:r>
              <w:rPr>
                <w:szCs w:val="24"/>
                <w:lang w:val="ro-RO"/>
              </w:rPr>
              <w:t xml:space="preserve">ăr </w:t>
            </w:r>
            <w:proofErr w:type="gramStart"/>
            <w:r>
              <w:rPr>
                <w:szCs w:val="24"/>
                <w:lang w:val="ro-RO"/>
              </w:rPr>
              <w:t xml:space="preserve">de </w:t>
            </w:r>
            <w:r w:rsidR="0076163D" w:rsidRPr="00E20AC6">
              <w:rPr>
                <w:szCs w:val="24"/>
                <w:lang w:val="fr-FR"/>
              </w:rPr>
              <w:t>înnoptări</w:t>
            </w:r>
            <w:proofErr w:type="gramEnd"/>
            <w:r w:rsidR="0076163D" w:rsidRPr="00E20AC6">
              <w:rPr>
                <w:szCs w:val="24"/>
                <w:lang w:val="fr-FR"/>
              </w:rPr>
              <w:t xml:space="preserve">  </w:t>
            </w:r>
          </w:p>
        </w:tc>
        <w:tc>
          <w:tcPr>
            <w:tcW w:w="611" w:type="pct"/>
            <w:tcBorders>
              <w:top w:val="single" w:sz="4" w:space="0" w:color="auto"/>
              <w:left w:val="single" w:sz="4" w:space="0" w:color="auto"/>
              <w:bottom w:val="single" w:sz="4" w:space="0" w:color="auto"/>
              <w:right w:val="single" w:sz="4" w:space="0" w:color="auto"/>
            </w:tcBorders>
            <w:vAlign w:val="center"/>
            <w:hideMark/>
          </w:tcPr>
          <w:p w:rsidR="001331F5" w:rsidRPr="00D74F62" w:rsidRDefault="00C94B24" w:rsidP="0076163D">
            <w:pPr>
              <w:tabs>
                <w:tab w:val="left" w:pos="720"/>
              </w:tabs>
              <w:spacing w:line="276" w:lineRule="auto"/>
              <w:jc w:val="left"/>
              <w:rPr>
                <w:szCs w:val="24"/>
                <w:highlight w:val="red"/>
                <w:lang w:val="en-US"/>
              </w:rPr>
            </w:pPr>
            <w:r w:rsidRPr="0076163D">
              <w:rPr>
                <w:szCs w:val="24"/>
                <w:lang w:val="en-US"/>
              </w:rPr>
              <w:t xml:space="preserve">6 668 515 </w:t>
            </w:r>
            <w:r w:rsidR="0076163D" w:rsidRPr="00E20AC6">
              <w:rPr>
                <w:szCs w:val="24"/>
                <w:lang w:val="fr-FR"/>
              </w:rPr>
              <w:t xml:space="preserve">înnoptări  </w:t>
            </w:r>
          </w:p>
        </w:tc>
        <w:tc>
          <w:tcPr>
            <w:tcW w:w="510" w:type="pct"/>
            <w:tcBorders>
              <w:top w:val="single" w:sz="4" w:space="0" w:color="auto"/>
              <w:left w:val="single" w:sz="4" w:space="0" w:color="auto"/>
              <w:bottom w:val="single" w:sz="4" w:space="0" w:color="auto"/>
              <w:right w:val="single" w:sz="4" w:space="0" w:color="auto"/>
            </w:tcBorders>
            <w:vAlign w:val="center"/>
            <w:hideMark/>
          </w:tcPr>
          <w:p w:rsidR="001331F5" w:rsidRPr="0076163D" w:rsidRDefault="00C94B24" w:rsidP="0076163D">
            <w:pPr>
              <w:tabs>
                <w:tab w:val="left" w:pos="720"/>
              </w:tabs>
              <w:spacing w:line="276" w:lineRule="auto"/>
              <w:jc w:val="left"/>
              <w:rPr>
                <w:szCs w:val="24"/>
                <w:lang w:val="en-US"/>
              </w:rPr>
            </w:pPr>
            <w:r w:rsidRPr="0076163D">
              <w:rPr>
                <w:szCs w:val="24"/>
                <w:lang w:val="en-US"/>
              </w:rPr>
              <w:t>2013</w:t>
            </w:r>
          </w:p>
        </w:tc>
        <w:tc>
          <w:tcPr>
            <w:tcW w:w="775" w:type="pct"/>
            <w:tcBorders>
              <w:top w:val="single" w:sz="4" w:space="0" w:color="auto"/>
              <w:left w:val="single" w:sz="4" w:space="0" w:color="auto"/>
              <w:bottom w:val="single" w:sz="4" w:space="0" w:color="auto"/>
              <w:right w:val="single" w:sz="4" w:space="0" w:color="auto"/>
            </w:tcBorders>
            <w:vAlign w:val="center"/>
            <w:hideMark/>
          </w:tcPr>
          <w:p w:rsidR="001331F5" w:rsidRPr="0076163D" w:rsidRDefault="00564503" w:rsidP="0076163D">
            <w:pPr>
              <w:tabs>
                <w:tab w:val="left" w:pos="720"/>
              </w:tabs>
              <w:spacing w:line="276" w:lineRule="auto"/>
              <w:jc w:val="left"/>
              <w:rPr>
                <w:szCs w:val="24"/>
                <w:lang w:val="en-US"/>
              </w:rPr>
            </w:pPr>
            <w:r w:rsidRPr="0076163D">
              <w:rPr>
                <w:szCs w:val="24"/>
                <w:lang w:val="en-US"/>
              </w:rPr>
              <w:t xml:space="preserve">7 </w:t>
            </w:r>
            <w:r w:rsidR="0076163D">
              <w:rPr>
                <w:szCs w:val="24"/>
                <w:lang w:val="en-US"/>
              </w:rPr>
              <w:t xml:space="preserve">200 000 </w:t>
            </w:r>
            <w:r w:rsidR="0076163D" w:rsidRPr="00E20AC6">
              <w:rPr>
                <w:szCs w:val="24"/>
                <w:lang w:val="fr-FR"/>
              </w:rPr>
              <w:t xml:space="preserve">înnoptări  </w:t>
            </w:r>
          </w:p>
        </w:tc>
        <w:tc>
          <w:tcPr>
            <w:tcW w:w="620" w:type="pct"/>
            <w:tcBorders>
              <w:top w:val="single" w:sz="4" w:space="0" w:color="auto"/>
              <w:left w:val="single" w:sz="4" w:space="0" w:color="auto"/>
              <w:bottom w:val="single" w:sz="4" w:space="0" w:color="auto"/>
              <w:right w:val="single" w:sz="4" w:space="0" w:color="auto"/>
            </w:tcBorders>
            <w:vAlign w:val="center"/>
            <w:hideMark/>
          </w:tcPr>
          <w:p w:rsidR="001331F5" w:rsidRPr="0076163D" w:rsidRDefault="0076163D" w:rsidP="0076163D">
            <w:pPr>
              <w:tabs>
                <w:tab w:val="left" w:pos="720"/>
              </w:tabs>
              <w:spacing w:after="240" w:line="276" w:lineRule="auto"/>
              <w:jc w:val="left"/>
              <w:rPr>
                <w:szCs w:val="24"/>
                <w:highlight w:val="red"/>
                <w:lang w:val="fr-FR"/>
              </w:rPr>
            </w:pPr>
            <w:r w:rsidRPr="0076163D">
              <w:rPr>
                <w:szCs w:val="24"/>
                <w:lang w:val="fr-FR"/>
              </w:rPr>
              <w:t xml:space="preserve">INS din </w:t>
            </w:r>
            <w:r w:rsidR="0063366D" w:rsidRPr="0076163D">
              <w:rPr>
                <w:szCs w:val="24"/>
                <w:lang w:val="fr-FR"/>
              </w:rPr>
              <w:t>Rom</w:t>
            </w:r>
            <w:r w:rsidRPr="0076163D">
              <w:rPr>
                <w:szCs w:val="24"/>
                <w:lang w:val="fr-FR"/>
              </w:rPr>
              <w:t>â</w:t>
            </w:r>
            <w:r w:rsidR="0063366D" w:rsidRPr="0076163D">
              <w:rPr>
                <w:szCs w:val="24"/>
                <w:lang w:val="fr-FR"/>
              </w:rPr>
              <w:t>nia</w:t>
            </w:r>
            <w:r w:rsidRPr="0076163D">
              <w:rPr>
                <w:szCs w:val="24"/>
                <w:lang w:val="fr-FR"/>
              </w:rPr>
              <w:t xml:space="preserve"> și Bulgaria</w:t>
            </w:r>
          </w:p>
        </w:tc>
        <w:tc>
          <w:tcPr>
            <w:tcW w:w="466" w:type="pct"/>
            <w:tcBorders>
              <w:top w:val="single" w:sz="4" w:space="0" w:color="auto"/>
              <w:left w:val="single" w:sz="4" w:space="0" w:color="auto"/>
              <w:bottom w:val="single" w:sz="4" w:space="0" w:color="auto"/>
              <w:right w:val="single" w:sz="4" w:space="0" w:color="auto"/>
            </w:tcBorders>
            <w:vAlign w:val="center"/>
            <w:hideMark/>
          </w:tcPr>
          <w:p w:rsidR="001331F5" w:rsidRPr="0076163D" w:rsidRDefault="0063366D" w:rsidP="0076163D">
            <w:pPr>
              <w:tabs>
                <w:tab w:val="left" w:pos="720"/>
              </w:tabs>
              <w:spacing w:after="240" w:line="276" w:lineRule="auto"/>
              <w:jc w:val="left"/>
              <w:rPr>
                <w:szCs w:val="24"/>
                <w:lang w:val="en-US"/>
              </w:rPr>
            </w:pPr>
            <w:r w:rsidRPr="0076163D">
              <w:rPr>
                <w:szCs w:val="24"/>
                <w:lang w:val="en-US"/>
              </w:rPr>
              <w:t>2018, 2023</w:t>
            </w:r>
          </w:p>
        </w:tc>
      </w:tr>
    </w:tbl>
    <w:p w:rsidR="001331F5" w:rsidRPr="0070649D" w:rsidRDefault="001331F5" w:rsidP="001331F5">
      <w:pPr>
        <w:spacing w:before="0" w:after="0" w:line="276" w:lineRule="auto"/>
        <w:jc w:val="left"/>
        <w:rPr>
          <w:rFonts w:eastAsia="Times New Roman"/>
          <w:b/>
          <w:lang w:val="en-US"/>
        </w:rPr>
        <w:sectPr w:rsidR="001331F5" w:rsidRPr="0070649D">
          <w:pgSz w:w="16838" w:h="11906" w:orient="landscape"/>
          <w:pgMar w:top="1418" w:right="1021" w:bottom="1418" w:left="1021" w:header="601" w:footer="1077" w:gutter="0"/>
          <w:cols w:space="720"/>
        </w:sectPr>
      </w:pPr>
    </w:p>
    <w:p w:rsidR="001331F5" w:rsidRPr="0076163D" w:rsidRDefault="001331F5" w:rsidP="00311248">
      <w:pPr>
        <w:pStyle w:val="Heading2"/>
        <w:rPr>
          <w:lang w:val="fr-FR"/>
        </w:rPr>
      </w:pPr>
      <w:bookmarkStart w:id="63" w:name="_Toc394837789"/>
      <w:proofErr w:type="gramStart"/>
      <w:r w:rsidRPr="00A77C97">
        <w:rPr>
          <w:lang w:val="fr-FR"/>
        </w:rPr>
        <w:lastRenderedPageBreak/>
        <w:t>2.A.6</w:t>
      </w:r>
      <w:proofErr w:type="gramEnd"/>
      <w:r w:rsidRPr="00A77C97">
        <w:rPr>
          <w:lang w:val="fr-FR"/>
        </w:rPr>
        <w:t xml:space="preserve">. </w:t>
      </w:r>
      <w:r w:rsidR="0076163D" w:rsidRPr="0076163D">
        <w:rPr>
          <w:lang w:val="fr-FR"/>
        </w:rPr>
        <w:t>Acțiunile care urmează să fie sprijinite în cadrul priorității de investiții (pe prioritate de investiții</w:t>
      </w:r>
      <w:r w:rsidR="0076163D">
        <w:rPr>
          <w:lang w:val="fr-FR"/>
        </w:rPr>
        <w:t>)</w:t>
      </w:r>
      <w:bookmarkEnd w:id="63"/>
    </w:p>
    <w:p w:rsidR="001331F5" w:rsidRPr="00396473" w:rsidRDefault="001331F5" w:rsidP="00311248">
      <w:pPr>
        <w:pStyle w:val="Heading2"/>
        <w:rPr>
          <w:lang w:val="fr-FR"/>
        </w:rPr>
      </w:pPr>
      <w:bookmarkStart w:id="64" w:name="_Toc389657971"/>
      <w:bookmarkStart w:id="65" w:name="_Toc394837790"/>
      <w:proofErr w:type="gramStart"/>
      <w:r w:rsidRPr="00396473">
        <w:rPr>
          <w:lang w:val="fr-FR"/>
        </w:rPr>
        <w:t>2.A.6.1</w:t>
      </w:r>
      <w:proofErr w:type="gramEnd"/>
      <w:r w:rsidRPr="00396473">
        <w:rPr>
          <w:lang w:val="fr-FR"/>
        </w:rPr>
        <w:t xml:space="preserve">. </w:t>
      </w:r>
      <w:bookmarkEnd w:id="64"/>
      <w:r w:rsidR="003A1605" w:rsidRPr="00396473">
        <w:rPr>
          <w:lang w:val="fr-FR"/>
        </w:rPr>
        <w:t>Descrierea tipului și exemple de acțiuni care urmează să fie sprijinite și contribuțiile preconizate la obiectivele specifice, inclusiv, după caz, identificarea principalelor grupuri țintă, a teritoriilor specifice vizate și a tipurilor de beneficiari</w:t>
      </w:r>
      <w:bookmarkEnd w:id="65"/>
    </w:p>
    <w:p w:rsidR="003A1605" w:rsidRPr="003A1605" w:rsidRDefault="00181EB6" w:rsidP="001331F5">
      <w:pPr>
        <w:rPr>
          <w:b/>
          <w:lang w:val="fr-FR"/>
        </w:rPr>
      </w:pPr>
      <w:r>
        <w:rPr>
          <w:b/>
          <w:lang w:val="fr-FR"/>
        </w:rPr>
        <w:t>Acțiuni pentru î</w:t>
      </w:r>
      <w:r w:rsidR="003A1605" w:rsidRPr="003A1605">
        <w:rPr>
          <w:b/>
          <w:lang w:val="fr-FR"/>
        </w:rPr>
        <w:t xml:space="preserve">mbunătățirea utilizarii durabile </w:t>
      </w:r>
      <w:proofErr w:type="gramStart"/>
      <w:r w:rsidR="003A1605" w:rsidRPr="003A1605">
        <w:rPr>
          <w:b/>
          <w:lang w:val="fr-FR"/>
        </w:rPr>
        <w:t>a</w:t>
      </w:r>
      <w:proofErr w:type="gramEnd"/>
      <w:r w:rsidR="003A1605" w:rsidRPr="003A1605">
        <w:rPr>
          <w:b/>
          <w:lang w:val="fr-FR"/>
        </w:rPr>
        <w:t xml:space="preserve"> resurselor și patrimoniului natural și a patrimoniului cultural</w:t>
      </w:r>
    </w:p>
    <w:p w:rsidR="00BA77BE" w:rsidRPr="00BA77BE" w:rsidRDefault="00604B3F" w:rsidP="00BA77BE">
      <w:pPr>
        <w:rPr>
          <w:lang w:val="fr-FR"/>
        </w:rPr>
      </w:pPr>
      <w:r>
        <w:rPr>
          <w:lang w:val="fr-FR"/>
        </w:rPr>
        <w:t>Acţiunile care sunt prevăzute a fi finanţ</w:t>
      </w:r>
      <w:r w:rsidR="00BA77BE" w:rsidRPr="00BA77BE">
        <w:rPr>
          <w:lang w:val="fr-FR"/>
        </w:rPr>
        <w:t>ate pr</w:t>
      </w:r>
      <w:r>
        <w:rPr>
          <w:lang w:val="fr-FR"/>
        </w:rPr>
        <w:t>in acest obiectiv specific vor întări capacităţile actorilor relevanţi de a restaura, conserva şi utiliza î</w:t>
      </w:r>
      <w:r w:rsidR="00BA77BE" w:rsidRPr="00BA77BE">
        <w:rPr>
          <w:lang w:val="fr-FR"/>
        </w:rPr>
        <w:t>n mod durabil patrimoni</w:t>
      </w:r>
      <w:r>
        <w:rPr>
          <w:lang w:val="fr-FR"/>
        </w:rPr>
        <w:t>ul cultural ş</w:t>
      </w:r>
      <w:r w:rsidR="00BA77BE" w:rsidRPr="00BA77BE">
        <w:rPr>
          <w:lang w:val="fr-FR"/>
        </w:rPr>
        <w:t>i natural la zonei transfrontaliere romano-bulgare. Se va pun</w:t>
      </w:r>
      <w:r>
        <w:rPr>
          <w:lang w:val="fr-FR"/>
        </w:rPr>
        <w:t>e accent pe managementul comun ş</w:t>
      </w:r>
      <w:r w:rsidR="00BA77BE" w:rsidRPr="00BA77BE">
        <w:rPr>
          <w:lang w:val="fr-FR"/>
        </w:rPr>
        <w:t>i</w:t>
      </w:r>
      <w:r>
        <w:rPr>
          <w:lang w:val="fr-FR"/>
        </w:rPr>
        <w:t xml:space="preserve"> pe</w:t>
      </w:r>
      <w:r w:rsidR="00BA77BE" w:rsidRPr="00BA77BE">
        <w:rPr>
          <w:lang w:val="fr-FR"/>
        </w:rPr>
        <w:t xml:space="preserve"> eforturile de</w:t>
      </w:r>
      <w:r>
        <w:rPr>
          <w:lang w:val="fr-FR"/>
        </w:rPr>
        <w:t xml:space="preserve"> coordonare care vor asigura scăderea presiunilor actuale ş</w:t>
      </w:r>
      <w:r w:rsidR="00BA77BE" w:rsidRPr="00BA77BE">
        <w:rPr>
          <w:lang w:val="fr-FR"/>
        </w:rPr>
        <w:t xml:space="preserve">i vor permite evitarea conflitelor viitoare </w:t>
      </w:r>
      <w:proofErr w:type="gramStart"/>
      <w:r w:rsidR="00BA77BE" w:rsidRPr="00BA77BE">
        <w:rPr>
          <w:lang w:val="fr-FR"/>
        </w:rPr>
        <w:t>de utilizare</w:t>
      </w:r>
      <w:proofErr w:type="gramEnd"/>
      <w:r w:rsidR="00BA77BE" w:rsidRPr="00BA77BE">
        <w:rPr>
          <w:lang w:val="fr-FR"/>
        </w:rPr>
        <w:t>. Un instrument important pentru aceasta va fi reprezentat de sprijinul putern</w:t>
      </w:r>
      <w:r>
        <w:rPr>
          <w:lang w:val="fr-FR"/>
        </w:rPr>
        <w:t>ic acordat prin Programul de faţă</w:t>
      </w:r>
      <w:r w:rsidR="00BA77BE" w:rsidRPr="00BA77BE">
        <w:rPr>
          <w:lang w:val="fr-FR"/>
        </w:rPr>
        <w:t xml:space="preserve"> pen</w:t>
      </w:r>
      <w:r>
        <w:rPr>
          <w:lang w:val="fr-FR"/>
        </w:rPr>
        <w:t>tru dezvoltarea instrumentelor şi tehnologiilor co</w:t>
      </w:r>
      <w:r w:rsidR="00BA77BE" w:rsidRPr="00BA77BE">
        <w:rPr>
          <w:lang w:val="fr-FR"/>
        </w:rPr>
        <w:t>mu</w:t>
      </w:r>
      <w:r>
        <w:rPr>
          <w:lang w:val="fr-FR"/>
        </w:rPr>
        <w:t>ne pentru managementul zonelor ş</w:t>
      </w:r>
      <w:r w:rsidR="00BA77BE" w:rsidRPr="00BA77BE">
        <w:rPr>
          <w:lang w:val="fr-FR"/>
        </w:rPr>
        <w:t>i s</w:t>
      </w:r>
      <w:r>
        <w:rPr>
          <w:lang w:val="fr-FR"/>
        </w:rPr>
        <w:t>iturilor de patrimoniu natural ş</w:t>
      </w:r>
      <w:r w:rsidR="00BA77BE" w:rsidRPr="00BA77BE">
        <w:rPr>
          <w:lang w:val="fr-FR"/>
        </w:rPr>
        <w:t>i cultural care sunt afectate fie de pres</w:t>
      </w:r>
      <w:r>
        <w:rPr>
          <w:lang w:val="fr-FR"/>
        </w:rPr>
        <w:t>iuni locale, fie de schimbă</w:t>
      </w:r>
      <w:r w:rsidR="00BA77BE" w:rsidRPr="00BA77BE">
        <w:rPr>
          <w:lang w:val="fr-FR"/>
        </w:rPr>
        <w:t xml:space="preserve">rile climatice. </w:t>
      </w:r>
    </w:p>
    <w:p w:rsidR="00BA77BE" w:rsidRPr="00BA77BE" w:rsidRDefault="00BA77BE" w:rsidP="00BA77BE">
      <w:pPr>
        <w:rPr>
          <w:lang w:val="fr-FR"/>
        </w:rPr>
      </w:pPr>
      <w:r w:rsidRPr="00BA77BE">
        <w:rPr>
          <w:lang w:val="fr-FR"/>
        </w:rPr>
        <w:t>Managementul du</w:t>
      </w:r>
      <w:r w:rsidR="00604B3F">
        <w:rPr>
          <w:lang w:val="fr-FR"/>
        </w:rPr>
        <w:t>rabil al patrimoniului natural şi cultural va fi întărit atâ</w:t>
      </w:r>
      <w:r w:rsidRPr="00BA77BE">
        <w:rPr>
          <w:lang w:val="fr-FR"/>
        </w:rPr>
        <w:t xml:space="preserve">t de abordarile comune care </w:t>
      </w:r>
      <w:r w:rsidR="00604B3F">
        <w:rPr>
          <w:lang w:val="fr-FR"/>
        </w:rPr>
        <w:t>vor impune fiecarui partener naţional să îşi structureze şi adapteze procedurile cat şi de abordarea centrată î</w:t>
      </w:r>
      <w:r w:rsidRPr="00BA77BE">
        <w:rPr>
          <w:lang w:val="fr-FR"/>
        </w:rPr>
        <w:t>n jurul t</w:t>
      </w:r>
      <w:r w:rsidR="00604B3F">
        <w:rPr>
          <w:lang w:val="fr-FR"/>
        </w:rPr>
        <w:t>urismului care va conduce prin însăşi natura sa la măsuri de protecţie şi conservare cu relevanţă</w:t>
      </w:r>
      <w:r w:rsidR="00945E83">
        <w:rPr>
          <w:lang w:val="fr-FR"/>
        </w:rPr>
        <w:t xml:space="preserve"> pentru economia locala şi pentru asigurarea conştientizării comunităţilor locale asupra importanţei conservă</w:t>
      </w:r>
      <w:r w:rsidRPr="00BA77BE">
        <w:rPr>
          <w:lang w:val="fr-FR"/>
        </w:rPr>
        <w:t>rii pat</w:t>
      </w:r>
      <w:r w:rsidR="00945E83">
        <w:rPr>
          <w:lang w:val="fr-FR"/>
        </w:rPr>
        <w:t>rimoniului pentru calitatea vieţii ş</w:t>
      </w:r>
      <w:r w:rsidRPr="00BA77BE">
        <w:rPr>
          <w:lang w:val="fr-FR"/>
        </w:rPr>
        <w:t xml:space="preserve">i asigurarea veniturilor la niel local.  </w:t>
      </w:r>
    </w:p>
    <w:p w:rsidR="00BA77BE" w:rsidRPr="009858FF" w:rsidRDefault="00945E83" w:rsidP="00BA77BE">
      <w:pPr>
        <w:rPr>
          <w:lang w:val="fr-FR"/>
        </w:rPr>
      </w:pPr>
      <w:r>
        <w:rPr>
          <w:lang w:val="fr-FR"/>
        </w:rPr>
        <w:t>Mai jos câteva acţ</w:t>
      </w:r>
      <w:r w:rsidR="00BA77BE" w:rsidRPr="00BA77BE">
        <w:rPr>
          <w:lang w:val="fr-FR"/>
        </w:rPr>
        <w:t>iuni indicative:</w:t>
      </w:r>
    </w:p>
    <w:p w:rsidR="00BA77BE" w:rsidRPr="00BA77BE" w:rsidRDefault="00BA77BE" w:rsidP="00C2513E">
      <w:pPr>
        <w:rPr>
          <w:lang w:val="fr-FR"/>
        </w:rPr>
      </w:pPr>
    </w:p>
    <w:p w:rsidR="00C2513E" w:rsidRPr="003A1605" w:rsidRDefault="00C2513E" w:rsidP="00C2513E">
      <w:pPr>
        <w:rPr>
          <w:b/>
          <w:u w:val="single"/>
          <w:lang w:val="ro-RO"/>
        </w:rPr>
      </w:pPr>
      <w:r w:rsidRPr="003A1605">
        <w:rPr>
          <w:b/>
          <w:u w:val="single"/>
          <w:lang w:val="ro-RO"/>
        </w:rPr>
        <w:t>M</w:t>
      </w:r>
      <w:r w:rsidR="003A1605" w:rsidRPr="003A1605">
        <w:rPr>
          <w:b/>
          <w:u w:val="single"/>
          <w:lang w:val="ro-RO"/>
        </w:rPr>
        <w:t>ă</w:t>
      </w:r>
      <w:r w:rsidRPr="003A1605">
        <w:rPr>
          <w:b/>
          <w:u w:val="single"/>
          <w:lang w:val="ro-RO"/>
        </w:rPr>
        <w:t>suri nestructurale</w:t>
      </w:r>
    </w:p>
    <w:p w:rsidR="00C2513E" w:rsidRPr="003A1605" w:rsidRDefault="00C2513E" w:rsidP="00C2513E">
      <w:pPr>
        <w:numPr>
          <w:ilvl w:val="0"/>
          <w:numId w:val="5"/>
        </w:numPr>
        <w:rPr>
          <w:lang w:val="ro-RO"/>
        </w:rPr>
      </w:pPr>
      <w:r w:rsidRPr="003A1605">
        <w:rPr>
          <w:lang w:val="ro-RO"/>
        </w:rPr>
        <w:t>Pregătirea de studii, strategii, planuri de management etc. comune în domeniul conservă</w:t>
      </w:r>
      <w:r w:rsidR="00945E83">
        <w:rPr>
          <w:lang w:val="ro-RO"/>
        </w:rPr>
        <w:t>rii, dezvoltării și utilizării împreună</w:t>
      </w:r>
      <w:r w:rsidRPr="003A1605">
        <w:rPr>
          <w:lang w:val="ro-RO"/>
        </w:rPr>
        <w:t xml:space="preserve"> a patrimoniului cultural/ natural </w:t>
      </w:r>
    </w:p>
    <w:p w:rsidR="00C2513E" w:rsidRPr="003A1605" w:rsidRDefault="00C2513E" w:rsidP="00C2513E">
      <w:pPr>
        <w:numPr>
          <w:ilvl w:val="0"/>
          <w:numId w:val="5"/>
        </w:numPr>
        <w:rPr>
          <w:lang w:val="ro-RO"/>
        </w:rPr>
      </w:pPr>
      <w:r w:rsidRPr="003A1605">
        <w:rPr>
          <w:lang w:val="ro-RO"/>
        </w:rPr>
        <w:t>Crearea de campanii de conștientizare comune privind protecția, promovarea și dezvoltarea patrimoniului natural și cultural</w:t>
      </w:r>
    </w:p>
    <w:p w:rsidR="00C2513E" w:rsidRPr="003A1605" w:rsidRDefault="00C2513E" w:rsidP="00C2513E">
      <w:pPr>
        <w:numPr>
          <w:ilvl w:val="0"/>
          <w:numId w:val="5"/>
        </w:numPr>
        <w:rPr>
          <w:lang w:val="ro-RO"/>
        </w:rPr>
      </w:pPr>
      <w:r w:rsidRPr="003A1605">
        <w:rPr>
          <w:lang w:val="ro-RO"/>
        </w:rPr>
        <w:t>Păstrarea, promovarea și dezvoltarea patrimoniului cultural intangibil, în principal prin evenimente culturale cu o dimensi</w:t>
      </w:r>
      <w:r w:rsidR="00945E83">
        <w:rPr>
          <w:lang w:val="ro-RO"/>
        </w:rPr>
        <w:t>une transfrontalieră</w:t>
      </w:r>
    </w:p>
    <w:p w:rsidR="00C2513E" w:rsidRPr="003A1605" w:rsidRDefault="00FE5D4A" w:rsidP="00C2513E">
      <w:pPr>
        <w:rPr>
          <w:b/>
          <w:u w:val="single"/>
          <w:lang w:val="ro-RO"/>
        </w:rPr>
      </w:pPr>
      <w:r>
        <w:rPr>
          <w:b/>
          <w:u w:val="single"/>
          <w:lang w:val="ro-RO"/>
        </w:rPr>
        <w:t>Mă</w:t>
      </w:r>
      <w:r w:rsidR="00C2513E" w:rsidRPr="003A1605">
        <w:rPr>
          <w:b/>
          <w:u w:val="single"/>
          <w:lang w:val="ro-RO"/>
        </w:rPr>
        <w:t>suri structurale:</w:t>
      </w:r>
    </w:p>
    <w:p w:rsidR="00C2513E" w:rsidRPr="003A1605" w:rsidRDefault="00C2513E" w:rsidP="00C2513E">
      <w:pPr>
        <w:numPr>
          <w:ilvl w:val="0"/>
          <w:numId w:val="5"/>
        </w:numPr>
        <w:rPr>
          <w:lang w:val="ro-RO"/>
        </w:rPr>
      </w:pPr>
      <w:r w:rsidRPr="003A1605">
        <w:rPr>
          <w:lang w:val="ro-RO"/>
        </w:rPr>
        <w:t xml:space="preserve">Sprijinirea promovării și utilizării potențialului patrimoniului cultural/ natural prin investiții în infrastructura turistică durabilă comună </w:t>
      </w:r>
    </w:p>
    <w:p w:rsidR="00C2513E" w:rsidRPr="003A1605" w:rsidRDefault="00C2513E" w:rsidP="00C2513E">
      <w:pPr>
        <w:numPr>
          <w:ilvl w:val="0"/>
          <w:numId w:val="5"/>
        </w:numPr>
        <w:rPr>
          <w:lang w:val="ro-RO"/>
        </w:rPr>
      </w:pPr>
      <w:r w:rsidRPr="003A1605">
        <w:rPr>
          <w:lang w:val="ro-RO"/>
        </w:rPr>
        <w:t>Reabilitarea/ construcția de drumuri spre punctele de interes ale patrimoniului natural și cultural care vor fi parte din produse turistice transfrontaliere</w:t>
      </w:r>
    </w:p>
    <w:p w:rsidR="00C2513E" w:rsidRPr="003A1605" w:rsidRDefault="00C2513E" w:rsidP="00C2513E">
      <w:pPr>
        <w:numPr>
          <w:ilvl w:val="0"/>
          <w:numId w:val="5"/>
        </w:numPr>
        <w:rPr>
          <w:lang w:val="ro-RO"/>
        </w:rPr>
      </w:pPr>
      <w:r w:rsidRPr="003A1605">
        <w:rPr>
          <w:lang w:val="ro-RO"/>
        </w:rPr>
        <w:t xml:space="preserve">Infrastructură culturală: reconstrucție, reabilitare și promovare a monumentelor culturale pe baza unor strategii/ concepte transfrontaliere relevante </w:t>
      </w:r>
    </w:p>
    <w:p w:rsidR="001331F5" w:rsidRPr="006F7519" w:rsidRDefault="001331F5" w:rsidP="001331F5">
      <w:pPr>
        <w:spacing w:before="0" w:after="200" w:line="276" w:lineRule="auto"/>
        <w:ind w:left="720"/>
        <w:contextualSpacing/>
        <w:jc w:val="left"/>
        <w:rPr>
          <w:rFonts w:eastAsia="Times New Roman"/>
          <w:szCs w:val="24"/>
          <w:lang w:val="it-IT"/>
        </w:rPr>
      </w:pPr>
    </w:p>
    <w:p w:rsidR="00C2513E" w:rsidRPr="003A1605" w:rsidRDefault="00FE5D4A" w:rsidP="00C2513E">
      <w:pPr>
        <w:rPr>
          <w:b/>
          <w:u w:val="single"/>
          <w:lang w:val="ro-RO"/>
        </w:rPr>
      </w:pPr>
      <w:r>
        <w:rPr>
          <w:b/>
          <w:u w:val="single"/>
          <w:lang w:val="ro-RO"/>
        </w:rPr>
        <w:t>Mă</w:t>
      </w:r>
      <w:r w:rsidR="00C2513E" w:rsidRPr="003A1605">
        <w:rPr>
          <w:b/>
          <w:u w:val="single"/>
          <w:lang w:val="ro-RO"/>
        </w:rPr>
        <w:t>suri integrate:</w:t>
      </w:r>
    </w:p>
    <w:p w:rsidR="00C2513E" w:rsidRPr="003A1605" w:rsidRDefault="00C2513E" w:rsidP="006817FB">
      <w:pPr>
        <w:numPr>
          <w:ilvl w:val="0"/>
          <w:numId w:val="5"/>
        </w:numPr>
        <w:rPr>
          <w:lang w:val="ro-RO"/>
        </w:rPr>
      </w:pPr>
      <w:r w:rsidRPr="003A1605">
        <w:rPr>
          <w:lang w:val="ro-RO"/>
        </w:rPr>
        <w:lastRenderedPageBreak/>
        <w:t xml:space="preserve">Dezvoltarea în comun de produse și servicii turistice pe baza patrimoniului natural și cultural și promovare în comun </w:t>
      </w:r>
    </w:p>
    <w:p w:rsidR="00C2513E" w:rsidRPr="003A1605" w:rsidRDefault="00C2513E" w:rsidP="006817FB">
      <w:pPr>
        <w:numPr>
          <w:ilvl w:val="0"/>
          <w:numId w:val="5"/>
        </w:numPr>
        <w:rPr>
          <w:lang w:val="ro-RO"/>
        </w:rPr>
      </w:pPr>
      <w:r w:rsidRPr="003A1605">
        <w:rPr>
          <w:lang w:val="ro-RO"/>
        </w:rPr>
        <w:t>Dezvoltarea/ gestionarea în comun a parcurilor naturale, rezervațiilor naturale și a altor arii protejate</w:t>
      </w:r>
    </w:p>
    <w:p w:rsidR="00103C82" w:rsidRPr="006F7519" w:rsidRDefault="00103C82" w:rsidP="001331F5">
      <w:pPr>
        <w:spacing w:before="0" w:after="200" w:line="276" w:lineRule="auto"/>
        <w:ind w:left="720"/>
        <w:contextualSpacing/>
        <w:jc w:val="left"/>
        <w:rPr>
          <w:rFonts w:eastAsia="Times New Roman"/>
          <w:szCs w:val="24"/>
          <w:lang w:val="it-IT"/>
        </w:rPr>
      </w:pPr>
    </w:p>
    <w:p w:rsidR="003A1605" w:rsidRPr="00F2516F" w:rsidRDefault="003A1605" w:rsidP="003A1605">
      <w:pPr>
        <w:rPr>
          <w:rFonts w:eastAsia="Times New Roman"/>
          <w:b/>
          <w:szCs w:val="24"/>
          <w:lang w:val="ro-RO" w:eastAsia="fr-BE"/>
        </w:rPr>
      </w:pPr>
      <w:r w:rsidRPr="00F2516F">
        <w:rPr>
          <w:rFonts w:eastAsia="Times New Roman"/>
          <w:b/>
          <w:szCs w:val="24"/>
          <w:lang w:val="ro-RO" w:eastAsia="fr-BE"/>
        </w:rPr>
        <w:t xml:space="preserve">Tipuri </w:t>
      </w:r>
      <w:r>
        <w:rPr>
          <w:rFonts w:eastAsia="Times New Roman"/>
          <w:b/>
          <w:szCs w:val="24"/>
          <w:lang w:val="ro-RO" w:eastAsia="fr-BE"/>
        </w:rPr>
        <w:t>de realizări</w:t>
      </w:r>
    </w:p>
    <w:p w:rsidR="003A1605" w:rsidRPr="00F2516F" w:rsidRDefault="003A1605" w:rsidP="003A1605">
      <w:pPr>
        <w:rPr>
          <w:rFonts w:eastAsia="Times New Roman"/>
          <w:szCs w:val="24"/>
          <w:lang w:val="ro-RO" w:eastAsia="fr-BE"/>
        </w:rPr>
      </w:pPr>
      <w:r w:rsidRPr="00F2516F">
        <w:rPr>
          <w:rFonts w:eastAsia="Times New Roman"/>
          <w:szCs w:val="24"/>
          <w:lang w:val="ro-RO" w:eastAsia="fr-BE"/>
        </w:rPr>
        <w:t>În cadrul acțiunilor sprijini</w:t>
      </w:r>
      <w:r>
        <w:rPr>
          <w:rFonts w:eastAsia="Times New Roman"/>
          <w:szCs w:val="24"/>
          <w:lang w:val="ro-RO" w:eastAsia="fr-BE"/>
        </w:rPr>
        <w:t>te, tipuri diferite de realizări imediate</w:t>
      </w:r>
      <w:r w:rsidRPr="00F2516F">
        <w:rPr>
          <w:rFonts w:eastAsia="Times New Roman"/>
          <w:szCs w:val="24"/>
          <w:lang w:val="ro-RO" w:eastAsia="fr-BE"/>
        </w:rPr>
        <w:t xml:space="preserve"> pot fi obținute, precum creare</w:t>
      </w:r>
      <w:r w:rsidR="00945E83">
        <w:rPr>
          <w:rFonts w:eastAsia="Times New Roman"/>
          <w:szCs w:val="24"/>
          <w:lang w:val="ro-RO" w:eastAsia="fr-BE"/>
        </w:rPr>
        <w:t>a de produse turistice comune,</w:t>
      </w:r>
      <w:r w:rsidRPr="00F2516F">
        <w:rPr>
          <w:rFonts w:eastAsia="Times New Roman"/>
          <w:szCs w:val="24"/>
          <w:lang w:val="ro-RO" w:eastAsia="fr-BE"/>
        </w:rPr>
        <w:t xml:space="preserve"> dezvoltarea și reabilitarea comună a siturilor de patrimoniu cultural și natural la nivel transfrontalier. Elementele cheie ale infrastructurii locale (drumurile locale), care pot crea baza unui nivel crescut </w:t>
      </w:r>
      <w:r w:rsidR="00A03200">
        <w:rPr>
          <w:rFonts w:eastAsia="Times New Roman"/>
          <w:szCs w:val="24"/>
          <w:lang w:val="ro-RO" w:eastAsia="fr-BE"/>
        </w:rPr>
        <w:t>de accesibilitate și gestionare eficientă a siturilor</w:t>
      </w:r>
      <w:r w:rsidRPr="00F2516F">
        <w:rPr>
          <w:rFonts w:eastAsia="Times New Roman"/>
          <w:szCs w:val="24"/>
          <w:lang w:val="ro-RO" w:eastAsia="fr-BE"/>
        </w:rPr>
        <w:t xml:space="preserve"> de patrimoniu natural și cultural, vor fi și ele vizate în cadrul acestui obiecti</w:t>
      </w:r>
      <w:r>
        <w:rPr>
          <w:rFonts w:eastAsia="Times New Roman"/>
          <w:szCs w:val="24"/>
          <w:lang w:val="ro-RO" w:eastAsia="fr-BE"/>
        </w:rPr>
        <w:t>v specific. Tipurile de realizări</w:t>
      </w:r>
      <w:r w:rsidRPr="00F2516F">
        <w:rPr>
          <w:rFonts w:eastAsia="Times New Roman"/>
          <w:szCs w:val="24"/>
          <w:lang w:val="ro-RO" w:eastAsia="fr-BE"/>
        </w:rPr>
        <w:t xml:space="preserve"> (fără a fi limitate la această listă) pot fi:</w:t>
      </w:r>
    </w:p>
    <w:p w:rsidR="003A1605" w:rsidRPr="00F2516F" w:rsidRDefault="003A1605" w:rsidP="00EC1DA9">
      <w:pPr>
        <w:pStyle w:val="ListParagraph"/>
        <w:numPr>
          <w:ilvl w:val="0"/>
          <w:numId w:val="21"/>
        </w:numPr>
        <w:rPr>
          <w:szCs w:val="24"/>
          <w:lang w:val="ro-RO" w:eastAsia="fr-BE"/>
        </w:rPr>
      </w:pPr>
      <w:r w:rsidRPr="00F2516F">
        <w:rPr>
          <w:szCs w:val="24"/>
          <w:lang w:val="ro-RO" w:eastAsia="fr-BE"/>
        </w:rPr>
        <w:t>Sesiuni de formare și evenimente culturale și de creștere a conștientizării comune pentru promovarea și dezvoltarea patrimoniului natural și cultural,</w:t>
      </w:r>
    </w:p>
    <w:p w:rsidR="003A1605" w:rsidRPr="00F2516F" w:rsidRDefault="003A1605" w:rsidP="00EC1DA9">
      <w:pPr>
        <w:pStyle w:val="ListParagraph"/>
        <w:numPr>
          <w:ilvl w:val="0"/>
          <w:numId w:val="21"/>
        </w:numPr>
        <w:rPr>
          <w:szCs w:val="24"/>
          <w:lang w:val="ro-RO" w:eastAsia="fr-BE"/>
        </w:rPr>
      </w:pPr>
      <w:r w:rsidRPr="00F2516F">
        <w:rPr>
          <w:szCs w:val="24"/>
          <w:lang w:val="ro-RO" w:eastAsia="fr-BE"/>
        </w:rPr>
        <w:t>Investiții în infrastructura turistică comună și sustenabilă și în monumente culturale, pentru a dezvolta patrimoniul cultural/natural,</w:t>
      </w:r>
    </w:p>
    <w:p w:rsidR="003A1605" w:rsidRPr="00F2516F" w:rsidRDefault="003A1605" w:rsidP="00EC1DA9">
      <w:pPr>
        <w:pStyle w:val="ListParagraph"/>
        <w:numPr>
          <w:ilvl w:val="0"/>
          <w:numId w:val="21"/>
        </w:numPr>
        <w:rPr>
          <w:szCs w:val="24"/>
          <w:lang w:val="ro-RO" w:eastAsia="fr-BE"/>
        </w:rPr>
      </w:pPr>
      <w:r w:rsidRPr="00F2516F">
        <w:rPr>
          <w:szCs w:val="24"/>
          <w:lang w:val="ro-RO" w:eastAsia="fr-BE"/>
        </w:rPr>
        <w:t>Studii, strategii, planuri de management comune pentru a conserva, dezvolta și promova patrimoniul cultural/natural,</w:t>
      </w:r>
    </w:p>
    <w:p w:rsidR="003A1605" w:rsidRPr="00F2516F" w:rsidRDefault="003A1605" w:rsidP="00EC1DA9">
      <w:pPr>
        <w:pStyle w:val="ListParagraph"/>
        <w:numPr>
          <w:ilvl w:val="0"/>
          <w:numId w:val="21"/>
        </w:numPr>
        <w:rPr>
          <w:szCs w:val="24"/>
          <w:lang w:val="ro-RO" w:eastAsia="fr-BE"/>
        </w:rPr>
      </w:pPr>
      <w:r w:rsidRPr="00F2516F">
        <w:rPr>
          <w:szCs w:val="24"/>
          <w:lang w:val="ro-RO" w:eastAsia="fr-BE"/>
        </w:rPr>
        <w:t>Produse și servicii turistice comune bazate pe utilizarea comună și sustena</w:t>
      </w:r>
      <w:r>
        <w:rPr>
          <w:szCs w:val="24"/>
          <w:lang w:val="ro-RO" w:eastAsia="fr-BE"/>
        </w:rPr>
        <w:t>b</w:t>
      </w:r>
      <w:r w:rsidRPr="00F2516F">
        <w:rPr>
          <w:szCs w:val="24"/>
          <w:lang w:val="ro-RO" w:eastAsia="fr-BE"/>
        </w:rPr>
        <w:t xml:space="preserve">ilă a patrimoniului cultural/natural. </w:t>
      </w:r>
    </w:p>
    <w:p w:rsidR="003A1605" w:rsidRPr="00F2516F" w:rsidRDefault="003A1605" w:rsidP="003A1605">
      <w:pPr>
        <w:rPr>
          <w:b/>
          <w:szCs w:val="24"/>
          <w:lang w:val="ro-RO" w:eastAsia="fr-BE"/>
        </w:rPr>
      </w:pPr>
      <w:r w:rsidRPr="00F2516F">
        <w:rPr>
          <w:b/>
          <w:szCs w:val="24"/>
          <w:lang w:val="ro-RO" w:eastAsia="fr-BE"/>
        </w:rPr>
        <w:t>Principalele grupuri țintă</w:t>
      </w:r>
      <w:r>
        <w:rPr>
          <w:b/>
          <w:szCs w:val="24"/>
          <w:lang w:val="ro-RO" w:eastAsia="fr-BE"/>
        </w:rPr>
        <w:t xml:space="preserve"> și tipurile de beneficiari </w:t>
      </w:r>
    </w:p>
    <w:p w:rsidR="003A1605" w:rsidRPr="00F2516F" w:rsidRDefault="003A1605" w:rsidP="003A1605">
      <w:pPr>
        <w:rPr>
          <w:lang w:val="ro-RO"/>
        </w:rPr>
      </w:pPr>
      <w:r w:rsidRPr="00F2516F">
        <w:rPr>
          <w:lang w:val="ro-RO"/>
        </w:rPr>
        <w:t xml:space="preserve">Chiar dacă </w:t>
      </w:r>
      <w:r w:rsidRPr="007047DA">
        <w:rPr>
          <w:b/>
          <w:lang w:val="ro-RO"/>
        </w:rPr>
        <w:t>grupul țintă</w:t>
      </w:r>
      <w:r w:rsidRPr="00F2516F">
        <w:rPr>
          <w:lang w:val="ro-RO"/>
        </w:rPr>
        <w:t xml:space="preserve"> are o mărime considerabilă, incluzând populația rezidentă în cadrul </w:t>
      </w:r>
      <w:r>
        <w:rPr>
          <w:lang w:val="ro-RO"/>
        </w:rPr>
        <w:t>zona</w:t>
      </w:r>
      <w:r w:rsidRPr="00F2516F">
        <w:rPr>
          <w:lang w:val="ro-RO"/>
        </w:rPr>
        <w:t xml:space="preserve"> transfrontaliere și vizitatorii (turiștii), unele grupuri specifice vor constitui principalul punct de concentrare al activităților indicate anterior. Acestea sunt principalele grupuri active în elaborarea și implementarea politicilor și în punerea în valoare a patrimoniului cultural, istoric și natural, precum și comunitățile locale ce trăiesc în contact cu bunurile de patrimoniu.</w:t>
      </w:r>
    </w:p>
    <w:p w:rsidR="003A1605" w:rsidRPr="00F2516F" w:rsidRDefault="003A1605" w:rsidP="003A1605">
      <w:pPr>
        <w:rPr>
          <w:lang w:val="ro-RO"/>
        </w:rPr>
      </w:pPr>
      <w:r w:rsidRPr="007047DA">
        <w:rPr>
          <w:b/>
          <w:lang w:val="ro-RO"/>
        </w:rPr>
        <w:t>Beneficiarii</w:t>
      </w:r>
      <w:r w:rsidRPr="00F2516F">
        <w:rPr>
          <w:lang w:val="ro-RO"/>
        </w:rPr>
        <w:t xml:space="preserve"> sunt selectați din cadrul grupurilor menționate și reprezintă actorii care pot contribui în mod eficace la atingerea obiectivului specific, și anume instituțiile publice, ONG-urile, universitățile și instituții</w:t>
      </w:r>
      <w:r>
        <w:rPr>
          <w:lang w:val="ro-RO"/>
        </w:rPr>
        <w:t>le de cercetare și dezvoltare, Camerele de C</w:t>
      </w:r>
      <w:r w:rsidRPr="00F2516F">
        <w:rPr>
          <w:lang w:val="ro-RO"/>
        </w:rPr>
        <w:t xml:space="preserve">omerț (inclusiv asociațiile de IMM-uri) care pot îmbunătăți nivelul de protecție a patrimoniului natural și cultural și dezvolta un model economic pentru valorificarea în mod sustenabil (un produs turistic sustenabil). Acest ultim aspect explică importanța participării asociațiilor de ONG-uri în cadrul acestui obiectiv specific. </w:t>
      </w:r>
    </w:p>
    <w:p w:rsidR="003A1605" w:rsidRPr="00F2516F" w:rsidRDefault="003A1605" w:rsidP="003A1605">
      <w:pPr>
        <w:rPr>
          <w:b/>
          <w:lang w:val="ro-RO"/>
        </w:rPr>
      </w:pPr>
      <w:r w:rsidRPr="00F2516F">
        <w:rPr>
          <w:b/>
          <w:lang w:val="ro-RO"/>
        </w:rPr>
        <w:t>Regiunile specifice vizate</w:t>
      </w:r>
    </w:p>
    <w:p w:rsidR="003A1605" w:rsidRPr="00F2516F" w:rsidRDefault="003A1605" w:rsidP="003A1605">
      <w:pPr>
        <w:rPr>
          <w:lang w:val="ro-RO"/>
        </w:rPr>
      </w:pPr>
      <w:r w:rsidRPr="00F2516F">
        <w:rPr>
          <w:lang w:val="ro-RO"/>
        </w:rPr>
        <w:t xml:space="preserve">Toată </w:t>
      </w:r>
      <w:r>
        <w:rPr>
          <w:lang w:val="ro-RO"/>
        </w:rPr>
        <w:t>zona</w:t>
      </w:r>
      <w:r w:rsidRPr="00F2516F">
        <w:rPr>
          <w:lang w:val="ro-RO"/>
        </w:rPr>
        <w:t xml:space="preserve"> transfrontalieră este vizată și eligibilă pentru acțiunile sprijinite sub acest obiectiv specific. O atenție specială va fi acordată zonelor cu o valoare culturală și naturală considerabilă și siturilor culturale/zonelor naturale care sunt sub presiuni/amen</w:t>
      </w:r>
      <w:r>
        <w:rPr>
          <w:lang w:val="ro-RO"/>
        </w:rPr>
        <w:t>in</w:t>
      </w:r>
      <w:r w:rsidRPr="00F2516F">
        <w:rPr>
          <w:lang w:val="ro-RO"/>
        </w:rPr>
        <w:t>țări importante și/sau în conflicte de valorificare.</w:t>
      </w:r>
    </w:p>
    <w:p w:rsidR="001331F5" w:rsidRPr="006F7519" w:rsidRDefault="001331F5" w:rsidP="00311248">
      <w:pPr>
        <w:pStyle w:val="Heading2"/>
        <w:rPr>
          <w:highlight w:val="red"/>
          <w:lang w:val="it-IT"/>
        </w:rPr>
      </w:pPr>
      <w:bookmarkStart w:id="66" w:name="_Toc389657972"/>
      <w:bookmarkStart w:id="67" w:name="_Toc394837791"/>
      <w:r w:rsidRPr="006F7519">
        <w:rPr>
          <w:lang w:val="it-IT"/>
        </w:rPr>
        <w:t xml:space="preserve">2.A.6.2. </w:t>
      </w:r>
      <w:bookmarkEnd w:id="66"/>
      <w:r w:rsidR="003A1605" w:rsidRPr="006F7519">
        <w:rPr>
          <w:lang w:val="it-IT"/>
        </w:rPr>
        <w:t>Principiile directoare pentru selectarea operațiunilor</w:t>
      </w:r>
      <w:bookmarkEnd w:id="67"/>
    </w:p>
    <w:p w:rsidR="001331F5" w:rsidRPr="006F7519" w:rsidRDefault="003A1605" w:rsidP="001331F5">
      <w:pPr>
        <w:rPr>
          <w:i/>
          <w:lang w:val="it-IT"/>
        </w:rPr>
      </w:pPr>
      <w:r w:rsidRPr="006F7519">
        <w:rPr>
          <w:i/>
          <w:lang w:val="it-IT"/>
        </w:rPr>
        <w:t>Prioritate de investiții</w:t>
      </w:r>
      <w:r w:rsidR="001331F5" w:rsidRPr="006F7519">
        <w:rPr>
          <w:i/>
          <w:lang w:val="it-IT"/>
        </w:rPr>
        <w:t xml:space="preserve"> 6.c </w:t>
      </w:r>
    </w:p>
    <w:p w:rsidR="003A1605" w:rsidRPr="00F2516F" w:rsidRDefault="003A1605" w:rsidP="003A1605">
      <w:pPr>
        <w:rPr>
          <w:szCs w:val="24"/>
          <w:lang w:val="ro-RO"/>
        </w:rPr>
      </w:pPr>
      <w:r w:rsidRPr="00F2516F">
        <w:rPr>
          <w:szCs w:val="24"/>
          <w:lang w:val="ro-RO"/>
        </w:rPr>
        <w:t>Selectarea operațiunilor va fi realizată într-o manieră similară pentru toate axele prioritare. O atenție specială va fi acordată asigurării că investițiile sprijinite sub acest obiectiv specific nu se vor suprapune cu orice alte activități/</w:t>
      </w:r>
      <w:r>
        <w:rPr>
          <w:szCs w:val="24"/>
          <w:lang w:val="ro-RO"/>
        </w:rPr>
        <w:t>realizări</w:t>
      </w:r>
      <w:r w:rsidRPr="00F2516F">
        <w:rPr>
          <w:szCs w:val="24"/>
          <w:lang w:val="ro-RO"/>
        </w:rPr>
        <w:t xml:space="preserve"> finanțate prin alte instrumente de intervenție. </w:t>
      </w:r>
    </w:p>
    <w:p w:rsidR="003A1605" w:rsidRPr="00F2516F" w:rsidRDefault="003A1605" w:rsidP="003A1605">
      <w:pPr>
        <w:rPr>
          <w:szCs w:val="24"/>
          <w:lang w:val="ro-RO"/>
        </w:rPr>
      </w:pPr>
      <w:r w:rsidRPr="00F2516F">
        <w:rPr>
          <w:szCs w:val="24"/>
          <w:lang w:val="ro-RO"/>
        </w:rPr>
        <w:lastRenderedPageBreak/>
        <w:t xml:space="preserve">Evaluarea va avea două faze. O fază va privi criteriile administrative și de eligibilitate, realizată într-un mod strict de către Secretariatul Comun (SC). A doua fază va privi evaluarea tehnică, realizată, dacă este necesar, cu ajutorul experților externi contractați. </w:t>
      </w:r>
    </w:p>
    <w:p w:rsidR="003A1605" w:rsidRPr="00F2516F" w:rsidRDefault="003A1605" w:rsidP="003A1605">
      <w:pPr>
        <w:rPr>
          <w:szCs w:val="24"/>
          <w:lang w:val="ro-RO"/>
        </w:rPr>
      </w:pPr>
      <w:r w:rsidRPr="00F2516F">
        <w:rPr>
          <w:szCs w:val="24"/>
          <w:lang w:val="ro-RO"/>
        </w:rPr>
        <w:t xml:space="preserve">Criteriile de eligibilitate vor verifica atât eligibilitatea operațiunilor, cât și a beneficiarilor și a cheltuielilor. </w:t>
      </w:r>
    </w:p>
    <w:p w:rsidR="003A1605" w:rsidRPr="00F2516F" w:rsidRDefault="003A1605" w:rsidP="003A1605">
      <w:pPr>
        <w:rPr>
          <w:rFonts w:eastAsia="Times New Roman"/>
          <w:szCs w:val="24"/>
          <w:lang w:val="ro-RO" w:eastAsia="fr-BE"/>
        </w:rPr>
      </w:pPr>
      <w:r w:rsidRPr="00F2516F">
        <w:rPr>
          <w:rFonts w:eastAsia="Times New Roman"/>
          <w:szCs w:val="24"/>
          <w:lang w:val="ro-RO" w:eastAsia="fr-BE"/>
        </w:rPr>
        <w:t xml:space="preserve">Operațiunile sunt eligibile dacă sunt cuprinse în obiectivele specifice ale Programului și dacă ele contribuie la măcar unul din rezultatele programului. </w:t>
      </w:r>
    </w:p>
    <w:p w:rsidR="003A1605" w:rsidRPr="00F2516F" w:rsidRDefault="003A1605" w:rsidP="003A1605">
      <w:pPr>
        <w:rPr>
          <w:rFonts w:eastAsia="Times New Roman"/>
          <w:szCs w:val="24"/>
          <w:lang w:val="ro-RO" w:eastAsia="fr-BE"/>
        </w:rPr>
      </w:pPr>
      <w:r w:rsidRPr="00F2516F">
        <w:rPr>
          <w:rFonts w:eastAsia="Times New Roman"/>
          <w:szCs w:val="24"/>
          <w:lang w:val="ro-RO" w:eastAsia="fr-BE"/>
        </w:rPr>
        <w:t xml:space="preserve">În cazul în care o operațiune nu contribuie la obiectivul specific și la unul din rezultatele programului, ea va fi respinsă în prima fază (evaluarea administrativă și de eligibilitate). Gradul în care o operațiune contribuie la obiectivele specifice și </w:t>
      </w:r>
      <w:r>
        <w:rPr>
          <w:rFonts w:eastAsia="Times New Roman"/>
          <w:szCs w:val="24"/>
          <w:lang w:val="ro-RO" w:eastAsia="fr-BE"/>
        </w:rPr>
        <w:t xml:space="preserve">la </w:t>
      </w:r>
      <w:r w:rsidRPr="00F2516F">
        <w:rPr>
          <w:rFonts w:eastAsia="Times New Roman"/>
          <w:szCs w:val="24"/>
          <w:lang w:val="ro-RO" w:eastAsia="fr-BE"/>
        </w:rPr>
        <w:t xml:space="preserve">rezultate va fi punctată în cadrul evaluării tehnice. </w:t>
      </w:r>
    </w:p>
    <w:p w:rsidR="003A1605" w:rsidRPr="00F2516F" w:rsidRDefault="003A1605" w:rsidP="003A1605">
      <w:pPr>
        <w:rPr>
          <w:rFonts w:eastAsia="Times New Roman"/>
          <w:szCs w:val="24"/>
          <w:lang w:val="ro-RO" w:eastAsia="fr-BE"/>
        </w:rPr>
      </w:pPr>
      <w:r w:rsidRPr="00F2516F">
        <w:rPr>
          <w:rFonts w:eastAsia="Times New Roman"/>
          <w:szCs w:val="24"/>
          <w:lang w:val="ro-RO" w:eastAsia="fr-BE"/>
        </w:rPr>
        <w:t>Beneficiarii eligibil</w:t>
      </w:r>
      <w:r>
        <w:rPr>
          <w:rFonts w:eastAsia="Times New Roman"/>
          <w:szCs w:val="24"/>
          <w:lang w:val="ro-RO" w:eastAsia="fr-BE"/>
        </w:rPr>
        <w:t>i</w:t>
      </w:r>
      <w:r w:rsidRPr="00F2516F">
        <w:rPr>
          <w:rFonts w:eastAsia="Times New Roman"/>
          <w:szCs w:val="24"/>
          <w:lang w:val="ro-RO" w:eastAsia="fr-BE"/>
        </w:rPr>
        <w:t xml:space="preserve"> sunt instituțiile publice și private responsabile pentru inițierea sau inițierea și implementarea operațiunilor ce respectă condițiile specifice din cererile de propuneri. </w:t>
      </w:r>
    </w:p>
    <w:p w:rsidR="003A1605" w:rsidRPr="00F2516F" w:rsidRDefault="003A1605" w:rsidP="003A1605">
      <w:pPr>
        <w:rPr>
          <w:rFonts w:eastAsia="Times New Roman"/>
          <w:szCs w:val="24"/>
          <w:lang w:val="ro-RO" w:eastAsia="fr-BE"/>
        </w:rPr>
      </w:pPr>
      <w:r w:rsidRPr="00F2516F">
        <w:rPr>
          <w:rFonts w:eastAsia="Times New Roman"/>
          <w:szCs w:val="24"/>
          <w:lang w:val="ro-RO" w:eastAsia="fr-BE"/>
        </w:rPr>
        <w:t xml:space="preserve">În ceea ce privește cheltuielile eligibile, lista va fi aprobată de către Comitetul de Monitorizare. </w:t>
      </w:r>
      <w:r w:rsidRPr="00AB6AD7">
        <w:rPr>
          <w:rFonts w:eastAsia="Times New Roman"/>
          <w:szCs w:val="24"/>
          <w:lang w:val="ro-RO" w:eastAsia="fr-BE"/>
        </w:rPr>
        <w:t>Niciun alt act legal național nu este necesar</w:t>
      </w:r>
      <w:r w:rsidRPr="00F2516F">
        <w:rPr>
          <w:rFonts w:eastAsia="Times New Roman"/>
          <w:color w:val="FF0000"/>
          <w:szCs w:val="24"/>
          <w:lang w:val="ro-RO" w:eastAsia="fr-BE"/>
        </w:rPr>
        <w:t xml:space="preserve">. </w:t>
      </w:r>
      <w:r w:rsidRPr="00F2516F">
        <w:rPr>
          <w:rFonts w:eastAsia="Times New Roman"/>
          <w:szCs w:val="24"/>
          <w:lang w:val="ro-RO" w:eastAsia="fr-BE"/>
        </w:rPr>
        <w:t>În cadrul fazei administrative va fi verificată doar conformitatea tipurilor de cheltuieli.</w:t>
      </w:r>
    </w:p>
    <w:p w:rsidR="003A1605" w:rsidRPr="00F2516F" w:rsidRDefault="003A1605" w:rsidP="003A1605">
      <w:pPr>
        <w:rPr>
          <w:rFonts w:eastAsia="Times New Roman"/>
          <w:szCs w:val="24"/>
          <w:lang w:val="ro-RO" w:eastAsia="fr-BE"/>
        </w:rPr>
      </w:pPr>
      <w:r w:rsidRPr="00F2516F">
        <w:rPr>
          <w:rFonts w:eastAsia="Times New Roman"/>
          <w:szCs w:val="24"/>
          <w:lang w:val="ro-RO" w:eastAsia="fr-BE"/>
        </w:rPr>
        <w:t xml:space="preserve">După ce SC </w:t>
      </w:r>
      <w:r>
        <w:rPr>
          <w:rFonts w:eastAsia="Times New Roman"/>
          <w:szCs w:val="24"/>
          <w:lang w:val="ro-RO" w:eastAsia="fr-BE"/>
        </w:rPr>
        <w:t>evaluează</w:t>
      </w:r>
      <w:r w:rsidRPr="00F2516F">
        <w:rPr>
          <w:rFonts w:eastAsia="Times New Roman"/>
          <w:szCs w:val="24"/>
          <w:lang w:val="ro-RO" w:eastAsia="fr-BE"/>
        </w:rPr>
        <w:t xml:space="preserve"> proiectele, lista va fi înaintată Comitetului de Monitorizare pentru decizia privind selectarea.</w:t>
      </w:r>
    </w:p>
    <w:p w:rsidR="003A1605" w:rsidRPr="00E33A23" w:rsidRDefault="003A1605" w:rsidP="003A1605">
      <w:pPr>
        <w:rPr>
          <w:highlight w:val="red"/>
          <w:lang w:val="ro-RO"/>
        </w:rPr>
      </w:pPr>
      <w:bookmarkStart w:id="68" w:name="_Toc394837792"/>
      <w:r w:rsidRPr="003A1605">
        <w:rPr>
          <w:rStyle w:val="Heading2Char"/>
          <w:rFonts w:eastAsia="Calibri"/>
          <w:lang w:val="ro-RO"/>
        </w:rPr>
        <w:t>2.A.6.3. Utilizarea planificată a instrumentelor financiare</w:t>
      </w:r>
      <w:bookmarkEnd w:id="68"/>
      <w:r w:rsidRPr="00E33A23">
        <w:rPr>
          <w:lang w:val="ro-RO"/>
        </w:rPr>
        <w:t xml:space="preserve"> (după caz)</w:t>
      </w:r>
    </w:p>
    <w:p w:rsidR="003A1605" w:rsidRPr="00E33A23" w:rsidRDefault="003A1605" w:rsidP="003A1605">
      <w:pPr>
        <w:keepNext/>
        <w:spacing w:after="240" w:line="276" w:lineRule="auto"/>
        <w:outlineLvl w:val="2"/>
        <w:rPr>
          <w:rFonts w:eastAsia="Times New Roman"/>
          <w:b/>
          <w:i/>
          <w:lang w:val="ro-RO"/>
        </w:rPr>
      </w:pPr>
      <w:r w:rsidRPr="00E33A23">
        <w:rPr>
          <w:lang w:val="ro-RO"/>
        </w:rPr>
        <w:t>Nu se aplică</w:t>
      </w:r>
    </w:p>
    <w:p w:rsidR="003A1605" w:rsidRPr="00E33A23" w:rsidRDefault="003A1605" w:rsidP="003A1605">
      <w:pPr>
        <w:rPr>
          <w:lang w:val="ro-RO"/>
        </w:rPr>
      </w:pPr>
      <w:bookmarkStart w:id="69" w:name="_Toc394837793"/>
      <w:r w:rsidRPr="003A1605">
        <w:rPr>
          <w:rStyle w:val="Heading2Char"/>
          <w:rFonts w:eastAsia="Calibri"/>
          <w:lang w:val="ro-RO"/>
        </w:rPr>
        <w:t>2.A.6.4. Utilizarea planificată a proiectelor majore</w:t>
      </w:r>
      <w:bookmarkEnd w:id="69"/>
      <w:r w:rsidRPr="00E33A23">
        <w:rPr>
          <w:lang w:val="ro-RO"/>
        </w:rPr>
        <w:t xml:space="preserve"> (după caz</w:t>
      </w:r>
      <w:r>
        <w:rPr>
          <w:lang w:val="ro-RO"/>
        </w:rPr>
        <w:t>)</w:t>
      </w:r>
    </w:p>
    <w:p w:rsidR="003A1605" w:rsidRPr="00E33A23" w:rsidRDefault="003A1605" w:rsidP="003A1605">
      <w:pPr>
        <w:keepNext/>
        <w:spacing w:after="240" w:line="276" w:lineRule="auto"/>
        <w:outlineLvl w:val="2"/>
        <w:rPr>
          <w:rFonts w:eastAsia="Times New Roman"/>
          <w:b/>
          <w:i/>
          <w:lang w:val="ro-RO"/>
        </w:rPr>
      </w:pPr>
      <w:r w:rsidRPr="00E33A23">
        <w:rPr>
          <w:lang w:val="ro-RO"/>
        </w:rPr>
        <w:t>Nu se aplică</w:t>
      </w:r>
    </w:p>
    <w:p w:rsidR="003A1605" w:rsidRPr="00E33A23" w:rsidRDefault="003A1605" w:rsidP="003A1605">
      <w:pPr>
        <w:pStyle w:val="Heading2"/>
        <w:rPr>
          <w:lang w:val="fr-FR"/>
        </w:rPr>
      </w:pPr>
      <w:bookmarkStart w:id="70" w:name="_Toc394837794"/>
      <w:r w:rsidRPr="00E33A23">
        <w:rPr>
          <w:lang w:val="ro-RO"/>
        </w:rPr>
        <w:t>2.A.6.5. Indicatori de realizare (pe prioritate de investiții)</w:t>
      </w:r>
      <w:bookmarkEnd w:id="70"/>
    </w:p>
    <w:p w:rsidR="007173F3" w:rsidRDefault="007173F3" w:rsidP="003A1605">
      <w:pPr>
        <w:pStyle w:val="Heading2"/>
        <w:rPr>
          <w:lang w:val="fr-FR"/>
        </w:rPr>
        <w:sectPr w:rsidR="007173F3">
          <w:pgSz w:w="11906" w:h="16838"/>
          <w:pgMar w:top="1021" w:right="1418" w:bottom="1021" w:left="1418" w:header="601" w:footer="1077" w:gutter="0"/>
          <w:cols w:space="720"/>
        </w:sectPr>
      </w:pPr>
    </w:p>
    <w:p w:rsidR="003A1605" w:rsidRPr="00E33A23" w:rsidRDefault="003A1605" w:rsidP="003A1605">
      <w:pPr>
        <w:pStyle w:val="Heading2"/>
        <w:rPr>
          <w:b w:val="0"/>
          <w:highlight w:val="red"/>
          <w:lang w:val="fr-FR"/>
        </w:rPr>
      </w:pPr>
      <w:bookmarkStart w:id="71" w:name="_Toc394837795"/>
      <w:r w:rsidRPr="00E33A23">
        <w:rPr>
          <w:lang w:val="fr-FR"/>
        </w:rPr>
        <w:lastRenderedPageBreak/>
        <w:t>Tabelul 4: Indicatori de realizare comuni și specifici programulu</w:t>
      </w:r>
      <w:r>
        <w:rPr>
          <w:lang w:val="fr-FR"/>
        </w:rPr>
        <w:t>i</w:t>
      </w:r>
      <w:bookmarkEnd w:id="71"/>
    </w:p>
    <w:tbl>
      <w:tblPr>
        <w:tblW w:w="550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8"/>
        <w:gridCol w:w="2835"/>
        <w:gridCol w:w="2416"/>
        <w:gridCol w:w="1152"/>
        <w:gridCol w:w="1510"/>
        <w:gridCol w:w="1497"/>
      </w:tblGrid>
      <w:tr w:rsidR="009D68FE" w:rsidRPr="008C14D4" w:rsidTr="009D68FE">
        <w:trPr>
          <w:trHeight w:val="706"/>
          <w:jc w:val="center"/>
        </w:trPr>
        <w:tc>
          <w:tcPr>
            <w:tcW w:w="400" w:type="pct"/>
            <w:tcBorders>
              <w:top w:val="single" w:sz="4" w:space="0" w:color="000000"/>
              <w:left w:val="single" w:sz="4" w:space="0" w:color="000000"/>
              <w:bottom w:val="single" w:sz="4" w:space="0" w:color="000000"/>
              <w:right w:val="single" w:sz="4" w:space="0" w:color="000000"/>
            </w:tcBorders>
            <w:hideMark/>
          </w:tcPr>
          <w:p w:rsidR="009D68FE" w:rsidRPr="008C14D4" w:rsidRDefault="009D68FE" w:rsidP="009D68FE">
            <w:pPr>
              <w:spacing w:before="0" w:after="0" w:line="276" w:lineRule="auto"/>
              <w:ind w:left="283" w:hanging="283"/>
              <w:jc w:val="center"/>
              <w:rPr>
                <w:rFonts w:eastAsia="Times New Roman"/>
                <w:b/>
                <w:sz w:val="20"/>
                <w:lang w:val="en-US"/>
              </w:rPr>
            </w:pPr>
            <w:r w:rsidRPr="008C14D4">
              <w:rPr>
                <w:rFonts w:eastAsia="Times New Roman"/>
                <w:b/>
                <w:sz w:val="20"/>
                <w:lang w:val="en-US"/>
              </w:rPr>
              <w:t>ID</w:t>
            </w:r>
          </w:p>
        </w:tc>
        <w:tc>
          <w:tcPr>
            <w:tcW w:w="1386" w:type="pct"/>
            <w:tcBorders>
              <w:top w:val="single" w:sz="4" w:space="0" w:color="000000"/>
              <w:left w:val="single" w:sz="4" w:space="0" w:color="000000"/>
              <w:bottom w:val="single" w:sz="4" w:space="0" w:color="000000"/>
              <w:right w:val="single" w:sz="4" w:space="0" w:color="000000"/>
            </w:tcBorders>
            <w:hideMark/>
          </w:tcPr>
          <w:p w:rsidR="009D68FE" w:rsidRPr="008C14D4" w:rsidRDefault="009D68FE" w:rsidP="009D68FE">
            <w:pPr>
              <w:spacing w:before="0" w:after="0" w:line="276" w:lineRule="auto"/>
              <w:ind w:left="283" w:hanging="283"/>
              <w:jc w:val="center"/>
              <w:rPr>
                <w:rFonts w:eastAsia="Times New Roman"/>
                <w:b/>
                <w:sz w:val="20"/>
                <w:lang w:val="en-US"/>
              </w:rPr>
            </w:pPr>
            <w:r w:rsidRPr="008C14D4">
              <w:rPr>
                <w:rFonts w:eastAsia="Times New Roman"/>
                <w:b/>
                <w:sz w:val="20"/>
                <w:lang w:val="en-US"/>
              </w:rPr>
              <w:t>Indicator (denumirea indicatorului)</w:t>
            </w:r>
          </w:p>
        </w:tc>
        <w:tc>
          <w:tcPr>
            <w:tcW w:w="1181" w:type="pct"/>
            <w:tcBorders>
              <w:top w:val="single" w:sz="4" w:space="0" w:color="000000"/>
              <w:left w:val="single" w:sz="4" w:space="0" w:color="000000"/>
              <w:bottom w:val="single" w:sz="4" w:space="0" w:color="000000"/>
              <w:right w:val="single" w:sz="4" w:space="0" w:color="000000"/>
            </w:tcBorders>
            <w:hideMark/>
          </w:tcPr>
          <w:p w:rsidR="009D68FE" w:rsidRPr="008C14D4" w:rsidRDefault="009D68FE" w:rsidP="009D68FE">
            <w:pPr>
              <w:spacing w:before="0" w:after="0" w:line="276" w:lineRule="auto"/>
              <w:jc w:val="center"/>
              <w:rPr>
                <w:rFonts w:eastAsia="Times New Roman"/>
                <w:b/>
                <w:sz w:val="20"/>
                <w:lang w:val="en-US"/>
              </w:rPr>
            </w:pPr>
            <w:r w:rsidRPr="008C14D4">
              <w:rPr>
                <w:rFonts w:eastAsia="Times New Roman"/>
                <w:b/>
                <w:sz w:val="20"/>
                <w:lang w:val="en-US"/>
              </w:rPr>
              <w:t>Unitate de măsură</w:t>
            </w:r>
          </w:p>
        </w:tc>
        <w:tc>
          <w:tcPr>
            <w:tcW w:w="563" w:type="pct"/>
            <w:tcBorders>
              <w:top w:val="single" w:sz="4" w:space="0" w:color="000000"/>
              <w:left w:val="single" w:sz="4" w:space="0" w:color="000000"/>
              <w:bottom w:val="single" w:sz="4" w:space="0" w:color="000000"/>
              <w:right w:val="single" w:sz="4" w:space="0" w:color="000000"/>
            </w:tcBorders>
            <w:hideMark/>
          </w:tcPr>
          <w:p w:rsidR="009D68FE" w:rsidRPr="008C14D4" w:rsidRDefault="009D68FE" w:rsidP="009D68FE">
            <w:pPr>
              <w:spacing w:before="0" w:after="0" w:line="276" w:lineRule="auto"/>
              <w:jc w:val="center"/>
              <w:rPr>
                <w:rFonts w:eastAsia="Times New Roman"/>
                <w:b/>
                <w:sz w:val="20"/>
                <w:lang w:val="en-US"/>
              </w:rPr>
            </w:pPr>
            <w:r w:rsidRPr="008C14D4">
              <w:rPr>
                <w:rFonts w:eastAsia="Times New Roman"/>
                <w:b/>
                <w:sz w:val="20"/>
                <w:lang w:val="en-US"/>
              </w:rPr>
              <w:t>Valoarea-țintă (2023)</w:t>
            </w:r>
          </w:p>
        </w:tc>
        <w:tc>
          <w:tcPr>
            <w:tcW w:w="738" w:type="pct"/>
            <w:tcBorders>
              <w:top w:val="single" w:sz="4" w:space="0" w:color="000000"/>
              <w:left w:val="single" w:sz="4" w:space="0" w:color="000000"/>
              <w:bottom w:val="single" w:sz="4" w:space="0" w:color="000000"/>
              <w:right w:val="single" w:sz="4" w:space="0" w:color="000000"/>
            </w:tcBorders>
            <w:hideMark/>
          </w:tcPr>
          <w:p w:rsidR="009D68FE" w:rsidRPr="008C14D4" w:rsidRDefault="009D68FE" w:rsidP="009D68FE">
            <w:pPr>
              <w:spacing w:before="0" w:after="0" w:line="276" w:lineRule="auto"/>
              <w:jc w:val="center"/>
              <w:rPr>
                <w:rFonts w:eastAsia="Times New Roman"/>
                <w:b/>
                <w:sz w:val="20"/>
                <w:lang w:val="en-US"/>
              </w:rPr>
            </w:pPr>
            <w:r w:rsidRPr="008C14D4">
              <w:rPr>
                <w:rFonts w:eastAsia="Times New Roman"/>
                <w:b/>
                <w:sz w:val="20"/>
                <w:lang w:val="en-US"/>
              </w:rPr>
              <w:t>Sursa datelor</w:t>
            </w:r>
          </w:p>
        </w:tc>
        <w:tc>
          <w:tcPr>
            <w:tcW w:w="732" w:type="pct"/>
            <w:tcBorders>
              <w:top w:val="single" w:sz="4" w:space="0" w:color="000000"/>
              <w:left w:val="single" w:sz="4" w:space="0" w:color="000000"/>
              <w:bottom w:val="single" w:sz="4" w:space="0" w:color="000000"/>
              <w:right w:val="single" w:sz="4" w:space="0" w:color="000000"/>
            </w:tcBorders>
            <w:hideMark/>
          </w:tcPr>
          <w:p w:rsidR="009D68FE" w:rsidRPr="008C14D4" w:rsidRDefault="009D68FE" w:rsidP="009D68FE">
            <w:pPr>
              <w:spacing w:before="0" w:after="0" w:line="276" w:lineRule="auto"/>
              <w:jc w:val="center"/>
              <w:rPr>
                <w:rFonts w:eastAsia="Times New Roman"/>
                <w:b/>
                <w:sz w:val="20"/>
                <w:lang w:val="en-US"/>
              </w:rPr>
            </w:pPr>
            <w:r w:rsidRPr="008C14D4">
              <w:rPr>
                <w:rFonts w:eastAsia="Times New Roman"/>
                <w:b/>
                <w:sz w:val="20"/>
                <w:lang w:val="en-US"/>
              </w:rPr>
              <w:t>Frecvența raportării</w:t>
            </w:r>
          </w:p>
        </w:tc>
      </w:tr>
      <w:tr w:rsidR="00467E0E" w:rsidRPr="000B7282" w:rsidTr="00467E0E">
        <w:trPr>
          <w:trHeight w:val="706"/>
          <w:jc w:val="center"/>
        </w:trPr>
        <w:tc>
          <w:tcPr>
            <w:tcW w:w="400" w:type="pct"/>
            <w:tcBorders>
              <w:top w:val="single" w:sz="4" w:space="0" w:color="000000"/>
              <w:left w:val="single" w:sz="4" w:space="0" w:color="000000"/>
              <w:bottom w:val="single" w:sz="4" w:space="0" w:color="000000"/>
              <w:right w:val="single" w:sz="4" w:space="0" w:color="000000"/>
            </w:tcBorders>
            <w:hideMark/>
          </w:tcPr>
          <w:p w:rsidR="001331F5" w:rsidRPr="00C002F6" w:rsidRDefault="0030358B" w:rsidP="00467E0E">
            <w:pPr>
              <w:spacing w:before="0" w:after="0" w:line="276" w:lineRule="auto"/>
              <w:jc w:val="center"/>
              <w:rPr>
                <w:szCs w:val="24"/>
                <w:lang w:val="en-US" w:eastAsia="en-US"/>
              </w:rPr>
            </w:pPr>
            <w:r>
              <w:rPr>
                <w:szCs w:val="24"/>
                <w:lang w:val="en-US" w:eastAsia="en-US"/>
              </w:rPr>
              <w:t>CO09</w:t>
            </w:r>
          </w:p>
        </w:tc>
        <w:tc>
          <w:tcPr>
            <w:tcW w:w="1386" w:type="pct"/>
            <w:tcBorders>
              <w:top w:val="single" w:sz="4" w:space="0" w:color="000000"/>
              <w:left w:val="single" w:sz="4" w:space="0" w:color="000000"/>
              <w:bottom w:val="single" w:sz="4" w:space="0" w:color="000000"/>
              <w:right w:val="single" w:sz="4" w:space="0" w:color="000000"/>
            </w:tcBorders>
            <w:hideMark/>
          </w:tcPr>
          <w:p w:rsidR="001331F5" w:rsidRPr="001B679A" w:rsidRDefault="006817FB" w:rsidP="001B679A">
            <w:pPr>
              <w:rPr>
                <w:bCs/>
                <w:lang w:val="ro-RO"/>
              </w:rPr>
            </w:pPr>
            <w:r w:rsidRPr="009D68FE">
              <w:rPr>
                <w:bCs/>
                <w:lang w:val="ro-RO"/>
              </w:rPr>
              <w:t>Creșterea numărului de vizite preconizate la siturile susținute și obiectivele de</w:t>
            </w:r>
            <w:r w:rsidR="001B679A">
              <w:rPr>
                <w:bCs/>
                <w:lang w:val="ro-RO"/>
              </w:rPr>
              <w:t xml:space="preserve"> patrimoniu cultural și natural</w:t>
            </w:r>
          </w:p>
        </w:tc>
        <w:tc>
          <w:tcPr>
            <w:tcW w:w="1181" w:type="pct"/>
            <w:tcBorders>
              <w:top w:val="single" w:sz="4" w:space="0" w:color="000000"/>
              <w:left w:val="single" w:sz="4" w:space="0" w:color="000000"/>
              <w:bottom w:val="single" w:sz="4" w:space="0" w:color="000000"/>
              <w:right w:val="single" w:sz="4" w:space="0" w:color="000000"/>
            </w:tcBorders>
            <w:hideMark/>
          </w:tcPr>
          <w:p w:rsidR="001331F5" w:rsidRPr="00C002F6" w:rsidRDefault="0030358B" w:rsidP="00467E0E">
            <w:pPr>
              <w:spacing w:before="0" w:after="0" w:line="276" w:lineRule="auto"/>
              <w:jc w:val="center"/>
              <w:rPr>
                <w:szCs w:val="24"/>
                <w:lang w:val="en-US"/>
              </w:rPr>
            </w:pPr>
            <w:r>
              <w:rPr>
                <w:szCs w:val="24"/>
                <w:lang w:val="en-US"/>
              </w:rPr>
              <w:t>vizite/an</w:t>
            </w:r>
          </w:p>
        </w:tc>
        <w:tc>
          <w:tcPr>
            <w:tcW w:w="563" w:type="pct"/>
            <w:tcBorders>
              <w:top w:val="single" w:sz="4" w:space="0" w:color="000000"/>
              <w:left w:val="single" w:sz="4" w:space="0" w:color="000000"/>
              <w:bottom w:val="single" w:sz="4" w:space="0" w:color="000000"/>
              <w:right w:val="single" w:sz="4" w:space="0" w:color="000000"/>
            </w:tcBorders>
          </w:tcPr>
          <w:p w:rsidR="001331F5" w:rsidRPr="00C002F6" w:rsidRDefault="0067141C" w:rsidP="00467E0E">
            <w:pPr>
              <w:spacing w:before="0" w:after="0" w:line="276" w:lineRule="auto"/>
              <w:rPr>
                <w:rFonts w:eastAsia="Times New Roman"/>
                <w:sz w:val="20"/>
                <w:lang w:val="en-US"/>
              </w:rPr>
            </w:pPr>
            <w:r w:rsidRPr="00C002F6">
              <w:rPr>
                <w:rFonts w:eastAsia="Times New Roman"/>
                <w:lang w:val="en-US"/>
              </w:rPr>
              <w:t>100 000</w:t>
            </w:r>
          </w:p>
        </w:tc>
        <w:tc>
          <w:tcPr>
            <w:tcW w:w="738" w:type="pct"/>
            <w:tcBorders>
              <w:top w:val="single" w:sz="4" w:space="0" w:color="000000"/>
              <w:left w:val="single" w:sz="4" w:space="0" w:color="000000"/>
              <w:bottom w:val="single" w:sz="4" w:space="0" w:color="000000"/>
              <w:right w:val="single" w:sz="4" w:space="0" w:color="000000"/>
            </w:tcBorders>
          </w:tcPr>
          <w:p w:rsidR="001331F5" w:rsidRPr="007173F3" w:rsidRDefault="007173F3" w:rsidP="007173F3">
            <w:pPr>
              <w:spacing w:before="0" w:after="0"/>
              <w:jc w:val="left"/>
              <w:rPr>
                <w:b/>
                <w:bCs/>
                <w:szCs w:val="26"/>
                <w:lang w:val="fr-FR"/>
              </w:rPr>
            </w:pPr>
            <w:r w:rsidRPr="00461E3D">
              <w:rPr>
                <w:color w:val="000000"/>
                <w:szCs w:val="24"/>
              </w:rPr>
              <w:t>Rapoarte de</w:t>
            </w:r>
            <w:r w:rsidR="005248F5">
              <w:rPr>
                <w:color w:val="000000"/>
                <w:szCs w:val="24"/>
              </w:rPr>
              <w:t xml:space="preserve"> </w:t>
            </w:r>
            <w:r w:rsidRPr="00461E3D">
              <w:rPr>
                <w:color w:val="000000"/>
                <w:szCs w:val="24"/>
              </w:rPr>
              <w:t>monitorizare</w:t>
            </w:r>
          </w:p>
        </w:tc>
        <w:tc>
          <w:tcPr>
            <w:tcW w:w="732" w:type="pct"/>
            <w:tcBorders>
              <w:top w:val="single" w:sz="4" w:space="0" w:color="000000"/>
              <w:left w:val="single" w:sz="4" w:space="0" w:color="000000"/>
              <w:bottom w:val="single" w:sz="4" w:space="0" w:color="000000"/>
              <w:right w:val="single" w:sz="4" w:space="0" w:color="000000"/>
            </w:tcBorders>
          </w:tcPr>
          <w:p w:rsidR="001331F5" w:rsidRPr="00C002F6" w:rsidRDefault="009D68FE" w:rsidP="00467E0E">
            <w:pPr>
              <w:spacing w:before="0" w:after="0" w:line="276" w:lineRule="auto"/>
              <w:rPr>
                <w:rFonts w:eastAsia="Times New Roman"/>
                <w:i/>
                <w:color w:val="8DB3E2"/>
                <w:sz w:val="18"/>
                <w:szCs w:val="18"/>
                <w:lang w:val="en-US"/>
              </w:rPr>
            </w:pPr>
            <w:r>
              <w:rPr>
                <w:szCs w:val="24"/>
                <w:lang w:val="en-US"/>
              </w:rPr>
              <w:t>A</w:t>
            </w:r>
            <w:r w:rsidR="0067141C" w:rsidRPr="00C002F6">
              <w:rPr>
                <w:szCs w:val="24"/>
                <w:lang w:val="en-US"/>
              </w:rPr>
              <w:t>nual</w:t>
            </w:r>
          </w:p>
        </w:tc>
      </w:tr>
      <w:tr w:rsidR="00467E0E" w:rsidRPr="000B7282" w:rsidTr="00467E0E">
        <w:trPr>
          <w:trHeight w:val="79"/>
          <w:jc w:val="center"/>
        </w:trPr>
        <w:tc>
          <w:tcPr>
            <w:tcW w:w="400" w:type="pct"/>
            <w:tcBorders>
              <w:top w:val="single" w:sz="4" w:space="0" w:color="000000"/>
              <w:left w:val="single" w:sz="4" w:space="0" w:color="000000"/>
              <w:bottom w:val="single" w:sz="4" w:space="0" w:color="000000"/>
              <w:right w:val="single" w:sz="4" w:space="0" w:color="000000"/>
            </w:tcBorders>
            <w:hideMark/>
          </w:tcPr>
          <w:p w:rsidR="001331F5" w:rsidRPr="00C002F6" w:rsidRDefault="001331F5" w:rsidP="00467E0E">
            <w:pPr>
              <w:spacing w:before="0" w:after="0" w:line="276" w:lineRule="auto"/>
              <w:jc w:val="center"/>
              <w:rPr>
                <w:szCs w:val="24"/>
                <w:lang w:val="en-US" w:eastAsia="en-US"/>
              </w:rPr>
            </w:pPr>
            <w:r w:rsidRPr="00C002F6">
              <w:rPr>
                <w:szCs w:val="24"/>
                <w:lang w:val="en-US" w:eastAsia="en-US"/>
              </w:rPr>
              <w:t>6c.</w:t>
            </w:r>
            <w:r w:rsidR="0030358B">
              <w:rPr>
                <w:szCs w:val="24"/>
                <w:lang w:val="en-US" w:eastAsia="en-US"/>
              </w:rPr>
              <w:t>1</w:t>
            </w:r>
          </w:p>
        </w:tc>
        <w:tc>
          <w:tcPr>
            <w:tcW w:w="1386" w:type="pct"/>
            <w:tcBorders>
              <w:top w:val="single" w:sz="4" w:space="0" w:color="000000"/>
              <w:left w:val="single" w:sz="4" w:space="0" w:color="000000"/>
              <w:bottom w:val="single" w:sz="4" w:space="0" w:color="000000"/>
              <w:right w:val="single" w:sz="4" w:space="0" w:color="000000"/>
            </w:tcBorders>
            <w:hideMark/>
          </w:tcPr>
          <w:p w:rsidR="006817FB" w:rsidRPr="001B679A" w:rsidRDefault="006817FB" w:rsidP="001B679A">
            <w:pPr>
              <w:rPr>
                <w:lang w:val="ro-RO"/>
              </w:rPr>
            </w:pPr>
            <w:r w:rsidRPr="009D68FE">
              <w:rPr>
                <w:bCs/>
                <w:lang w:val="ro-RO"/>
              </w:rPr>
              <w:t xml:space="preserve">Număr de produse /servicii turistice integrate create </w:t>
            </w:r>
          </w:p>
        </w:tc>
        <w:tc>
          <w:tcPr>
            <w:tcW w:w="1181" w:type="pct"/>
            <w:tcBorders>
              <w:top w:val="single" w:sz="4" w:space="0" w:color="000000"/>
              <w:left w:val="single" w:sz="4" w:space="0" w:color="000000"/>
              <w:bottom w:val="single" w:sz="4" w:space="0" w:color="000000"/>
              <w:right w:val="single" w:sz="4" w:space="0" w:color="000000"/>
            </w:tcBorders>
            <w:hideMark/>
          </w:tcPr>
          <w:p w:rsidR="001331F5" w:rsidRPr="00C002F6" w:rsidRDefault="009D68FE" w:rsidP="00467E0E">
            <w:pPr>
              <w:spacing w:before="0" w:after="0" w:line="276" w:lineRule="auto"/>
              <w:jc w:val="center"/>
              <w:rPr>
                <w:szCs w:val="24"/>
                <w:lang w:val="en-US"/>
              </w:rPr>
            </w:pPr>
            <w:r>
              <w:rPr>
                <w:szCs w:val="24"/>
                <w:lang w:val="en-US"/>
              </w:rPr>
              <w:t>Număr</w:t>
            </w:r>
          </w:p>
        </w:tc>
        <w:tc>
          <w:tcPr>
            <w:tcW w:w="563" w:type="pct"/>
            <w:tcBorders>
              <w:top w:val="single" w:sz="4" w:space="0" w:color="000000"/>
              <w:left w:val="single" w:sz="4" w:space="0" w:color="000000"/>
              <w:bottom w:val="single" w:sz="4" w:space="0" w:color="000000"/>
              <w:right w:val="single" w:sz="4" w:space="0" w:color="000000"/>
            </w:tcBorders>
          </w:tcPr>
          <w:p w:rsidR="001331F5" w:rsidRPr="00C002F6" w:rsidRDefault="00B92775" w:rsidP="00467E0E">
            <w:pPr>
              <w:spacing w:before="0" w:after="0" w:line="276" w:lineRule="auto"/>
              <w:rPr>
                <w:rFonts w:eastAsia="Times New Roman"/>
                <w:lang w:val="en-US"/>
              </w:rPr>
            </w:pPr>
            <w:r w:rsidRPr="00C002F6">
              <w:rPr>
                <w:rFonts w:eastAsia="Times New Roman"/>
                <w:lang w:val="en-US"/>
              </w:rPr>
              <w:t>100</w:t>
            </w:r>
          </w:p>
        </w:tc>
        <w:tc>
          <w:tcPr>
            <w:tcW w:w="738" w:type="pct"/>
            <w:tcBorders>
              <w:top w:val="single" w:sz="4" w:space="0" w:color="000000"/>
              <w:left w:val="single" w:sz="4" w:space="0" w:color="000000"/>
              <w:bottom w:val="single" w:sz="4" w:space="0" w:color="000000"/>
              <w:right w:val="single" w:sz="4" w:space="0" w:color="000000"/>
            </w:tcBorders>
          </w:tcPr>
          <w:p w:rsidR="001331F5" w:rsidRPr="007173F3" w:rsidRDefault="007173F3" w:rsidP="007173F3">
            <w:pPr>
              <w:spacing w:before="0" w:after="0"/>
              <w:jc w:val="left"/>
              <w:rPr>
                <w:b/>
                <w:bCs/>
                <w:szCs w:val="26"/>
                <w:lang w:val="fr-FR"/>
              </w:rPr>
            </w:pPr>
            <w:r w:rsidRPr="00461E3D">
              <w:rPr>
                <w:color w:val="000000"/>
                <w:szCs w:val="24"/>
              </w:rPr>
              <w:t>Rapoarte de</w:t>
            </w:r>
            <w:r w:rsidR="005248F5">
              <w:rPr>
                <w:color w:val="000000"/>
                <w:szCs w:val="24"/>
              </w:rPr>
              <w:t xml:space="preserve"> </w:t>
            </w:r>
            <w:r w:rsidRPr="00461E3D">
              <w:rPr>
                <w:color w:val="000000"/>
                <w:szCs w:val="24"/>
              </w:rPr>
              <w:t>monitorizare</w:t>
            </w:r>
          </w:p>
        </w:tc>
        <w:tc>
          <w:tcPr>
            <w:tcW w:w="732" w:type="pct"/>
            <w:tcBorders>
              <w:top w:val="single" w:sz="4" w:space="0" w:color="000000"/>
              <w:left w:val="single" w:sz="4" w:space="0" w:color="000000"/>
              <w:bottom w:val="single" w:sz="4" w:space="0" w:color="000000"/>
              <w:right w:val="single" w:sz="4" w:space="0" w:color="000000"/>
            </w:tcBorders>
          </w:tcPr>
          <w:p w:rsidR="001331F5" w:rsidRPr="00C002F6" w:rsidRDefault="009D68FE" w:rsidP="00467E0E">
            <w:pPr>
              <w:spacing w:before="0" w:after="0" w:line="276" w:lineRule="auto"/>
              <w:rPr>
                <w:rFonts w:eastAsia="Times New Roman"/>
                <w:sz w:val="20"/>
                <w:lang w:val="en-US"/>
              </w:rPr>
            </w:pPr>
            <w:r>
              <w:rPr>
                <w:szCs w:val="24"/>
                <w:lang w:val="en-US"/>
              </w:rPr>
              <w:t>A</w:t>
            </w:r>
            <w:r w:rsidR="00562FC1" w:rsidRPr="00C002F6">
              <w:rPr>
                <w:szCs w:val="24"/>
                <w:lang w:val="en-US"/>
              </w:rPr>
              <w:t>nual</w:t>
            </w:r>
          </w:p>
        </w:tc>
      </w:tr>
      <w:tr w:rsidR="00467E0E" w:rsidRPr="000B7282" w:rsidTr="00467E0E">
        <w:trPr>
          <w:trHeight w:val="79"/>
          <w:jc w:val="center"/>
        </w:trPr>
        <w:tc>
          <w:tcPr>
            <w:tcW w:w="400" w:type="pct"/>
            <w:tcBorders>
              <w:top w:val="single" w:sz="4" w:space="0" w:color="000000"/>
              <w:left w:val="single" w:sz="4" w:space="0" w:color="000000"/>
              <w:bottom w:val="single" w:sz="4" w:space="0" w:color="000000"/>
              <w:right w:val="single" w:sz="4" w:space="0" w:color="000000"/>
            </w:tcBorders>
            <w:hideMark/>
          </w:tcPr>
          <w:p w:rsidR="001331F5" w:rsidRPr="00C002F6" w:rsidRDefault="001331F5" w:rsidP="00467E0E">
            <w:pPr>
              <w:spacing w:before="0" w:after="0" w:line="276" w:lineRule="auto"/>
              <w:jc w:val="center"/>
              <w:rPr>
                <w:szCs w:val="24"/>
                <w:lang w:val="en-US" w:eastAsia="en-US"/>
              </w:rPr>
            </w:pPr>
            <w:r w:rsidRPr="00C002F6">
              <w:rPr>
                <w:szCs w:val="24"/>
                <w:lang w:val="en-US" w:eastAsia="en-US"/>
              </w:rPr>
              <w:t>6c.</w:t>
            </w:r>
            <w:r w:rsidR="0030358B">
              <w:rPr>
                <w:szCs w:val="24"/>
                <w:lang w:val="en-US" w:eastAsia="en-US"/>
              </w:rPr>
              <w:t>3</w:t>
            </w:r>
          </w:p>
        </w:tc>
        <w:tc>
          <w:tcPr>
            <w:tcW w:w="1386" w:type="pct"/>
            <w:tcBorders>
              <w:top w:val="single" w:sz="4" w:space="0" w:color="000000"/>
              <w:left w:val="single" w:sz="4" w:space="0" w:color="000000"/>
              <w:bottom w:val="single" w:sz="4" w:space="0" w:color="000000"/>
              <w:right w:val="single" w:sz="4" w:space="0" w:color="000000"/>
            </w:tcBorders>
          </w:tcPr>
          <w:p w:rsidR="006817FB" w:rsidRPr="009D68FE" w:rsidRDefault="006817FB" w:rsidP="006817FB">
            <w:pPr>
              <w:rPr>
                <w:lang w:val="ro-RO"/>
              </w:rPr>
            </w:pPr>
            <w:r w:rsidRPr="009D68FE">
              <w:rPr>
                <w:lang w:val="ro-RO"/>
              </w:rPr>
              <w:t>Numărul de strategii, politici sau planuri de management comune de valorificare (inclusiv conștientizare) a patrimoniului cultural și natural prin refacere și promovare în scopul utilizării economice sustenabile</w:t>
            </w:r>
          </w:p>
        </w:tc>
        <w:tc>
          <w:tcPr>
            <w:tcW w:w="1181" w:type="pct"/>
            <w:tcBorders>
              <w:top w:val="single" w:sz="4" w:space="0" w:color="000000"/>
              <w:left w:val="single" w:sz="4" w:space="0" w:color="000000"/>
              <w:bottom w:val="single" w:sz="4" w:space="0" w:color="000000"/>
              <w:right w:val="single" w:sz="4" w:space="0" w:color="000000"/>
            </w:tcBorders>
            <w:hideMark/>
          </w:tcPr>
          <w:p w:rsidR="005657EA" w:rsidRPr="005657EA" w:rsidRDefault="00FE5D4A" w:rsidP="00467E0E">
            <w:pPr>
              <w:spacing w:before="0" w:after="0" w:line="276" w:lineRule="auto"/>
              <w:jc w:val="center"/>
              <w:rPr>
                <w:szCs w:val="24"/>
                <w:lang w:val="fr-FR"/>
              </w:rPr>
            </w:pPr>
            <w:r w:rsidRPr="005657EA">
              <w:rPr>
                <w:szCs w:val="24"/>
                <w:lang w:val="fr-FR"/>
              </w:rPr>
              <w:t xml:space="preserve">Numarul de strategii </w:t>
            </w:r>
            <w:r w:rsidR="005657EA">
              <w:rPr>
                <w:szCs w:val="24"/>
                <w:lang w:val="fr-FR"/>
              </w:rPr>
              <w:t>co</w:t>
            </w:r>
            <w:r w:rsidRPr="005657EA">
              <w:rPr>
                <w:szCs w:val="24"/>
                <w:lang w:val="fr-FR"/>
              </w:rPr>
              <w:t>mune</w:t>
            </w:r>
            <w:r w:rsidR="005657EA" w:rsidRPr="005657EA">
              <w:rPr>
                <w:szCs w:val="24"/>
                <w:lang w:val="fr-FR"/>
              </w:rPr>
              <w:t>/planuri de management aprobate</w:t>
            </w:r>
          </w:p>
          <w:p w:rsidR="001331F5" w:rsidRPr="00A77C97" w:rsidRDefault="001331F5" w:rsidP="00467E0E">
            <w:pPr>
              <w:spacing w:before="0" w:after="0" w:line="276" w:lineRule="auto"/>
              <w:jc w:val="center"/>
              <w:rPr>
                <w:szCs w:val="24"/>
                <w:lang w:val="fr-FR"/>
              </w:rPr>
            </w:pPr>
          </w:p>
        </w:tc>
        <w:tc>
          <w:tcPr>
            <w:tcW w:w="563" w:type="pct"/>
            <w:tcBorders>
              <w:top w:val="single" w:sz="4" w:space="0" w:color="000000"/>
              <w:left w:val="single" w:sz="4" w:space="0" w:color="000000"/>
              <w:bottom w:val="single" w:sz="4" w:space="0" w:color="000000"/>
              <w:right w:val="single" w:sz="4" w:space="0" w:color="000000"/>
            </w:tcBorders>
          </w:tcPr>
          <w:p w:rsidR="001331F5" w:rsidRPr="00C002F6" w:rsidRDefault="004D08CB" w:rsidP="00467E0E">
            <w:pPr>
              <w:spacing w:before="0" w:after="0" w:line="276" w:lineRule="auto"/>
              <w:rPr>
                <w:rFonts w:eastAsia="Times New Roman"/>
                <w:i/>
                <w:sz w:val="20"/>
                <w:lang w:val="en-US"/>
              </w:rPr>
            </w:pPr>
            <w:r w:rsidRPr="00C002F6">
              <w:rPr>
                <w:rFonts w:eastAsia="Times New Roman"/>
                <w:lang w:val="en-US"/>
              </w:rPr>
              <w:t>50</w:t>
            </w:r>
          </w:p>
        </w:tc>
        <w:tc>
          <w:tcPr>
            <w:tcW w:w="738" w:type="pct"/>
            <w:tcBorders>
              <w:top w:val="single" w:sz="4" w:space="0" w:color="000000"/>
              <w:left w:val="single" w:sz="4" w:space="0" w:color="000000"/>
              <w:bottom w:val="single" w:sz="4" w:space="0" w:color="000000"/>
              <w:right w:val="single" w:sz="4" w:space="0" w:color="000000"/>
            </w:tcBorders>
          </w:tcPr>
          <w:p w:rsidR="001331F5" w:rsidRPr="007173F3" w:rsidRDefault="007173F3" w:rsidP="007173F3">
            <w:pPr>
              <w:spacing w:before="0" w:after="0"/>
              <w:jc w:val="left"/>
              <w:rPr>
                <w:b/>
                <w:bCs/>
                <w:szCs w:val="26"/>
                <w:lang w:val="fr-FR"/>
              </w:rPr>
            </w:pPr>
            <w:r w:rsidRPr="00461E3D">
              <w:rPr>
                <w:color w:val="000000"/>
                <w:szCs w:val="24"/>
              </w:rPr>
              <w:t>Rapoarte de</w:t>
            </w:r>
            <w:r w:rsidR="005248F5">
              <w:rPr>
                <w:color w:val="000000"/>
                <w:szCs w:val="24"/>
              </w:rPr>
              <w:t xml:space="preserve"> </w:t>
            </w:r>
            <w:r w:rsidRPr="00461E3D">
              <w:rPr>
                <w:color w:val="000000"/>
                <w:szCs w:val="24"/>
              </w:rPr>
              <w:t>monitorizare</w:t>
            </w:r>
          </w:p>
        </w:tc>
        <w:tc>
          <w:tcPr>
            <w:tcW w:w="732" w:type="pct"/>
            <w:tcBorders>
              <w:top w:val="single" w:sz="4" w:space="0" w:color="000000"/>
              <w:left w:val="single" w:sz="4" w:space="0" w:color="000000"/>
              <w:bottom w:val="single" w:sz="4" w:space="0" w:color="000000"/>
              <w:right w:val="single" w:sz="4" w:space="0" w:color="000000"/>
            </w:tcBorders>
          </w:tcPr>
          <w:p w:rsidR="001331F5" w:rsidRPr="00C002F6" w:rsidRDefault="009D68FE" w:rsidP="00467E0E">
            <w:pPr>
              <w:spacing w:before="0" w:after="0" w:line="276" w:lineRule="auto"/>
              <w:rPr>
                <w:rFonts w:eastAsia="Times New Roman"/>
                <w:sz w:val="20"/>
                <w:lang w:val="en-US"/>
              </w:rPr>
            </w:pPr>
            <w:r>
              <w:rPr>
                <w:szCs w:val="24"/>
                <w:lang w:val="en-US"/>
              </w:rPr>
              <w:t>A</w:t>
            </w:r>
            <w:r w:rsidR="00562FC1" w:rsidRPr="00C002F6">
              <w:rPr>
                <w:szCs w:val="24"/>
                <w:lang w:val="en-US"/>
              </w:rPr>
              <w:t>nual</w:t>
            </w:r>
          </w:p>
        </w:tc>
      </w:tr>
    </w:tbl>
    <w:p w:rsidR="001B679A" w:rsidRDefault="001B679A" w:rsidP="00311248">
      <w:pPr>
        <w:pStyle w:val="Heading4"/>
        <w:rPr>
          <w:lang w:val="en-US"/>
        </w:rPr>
      </w:pPr>
    </w:p>
    <w:p w:rsidR="00DF3719" w:rsidRPr="00C002F6" w:rsidRDefault="00DF3719" w:rsidP="001B679A">
      <w:pPr>
        <w:rPr>
          <w:lang w:val="en-US"/>
        </w:rPr>
      </w:pPr>
    </w:p>
    <w:p w:rsidR="00D73E37" w:rsidRPr="009D68FE" w:rsidRDefault="009D68FE" w:rsidP="0070649D">
      <w:pPr>
        <w:pStyle w:val="Heading2"/>
        <w:rPr>
          <w:lang w:val="en-US"/>
        </w:rPr>
      </w:pPr>
      <w:bookmarkStart w:id="72" w:name="_Toc394837796"/>
      <w:proofErr w:type="gramStart"/>
      <w:r w:rsidRPr="009D68FE">
        <w:rPr>
          <w:lang w:val="en-US"/>
        </w:rPr>
        <w:t>2.A.4</w:t>
      </w:r>
      <w:proofErr w:type="gramEnd"/>
      <w:r w:rsidRPr="009D68FE">
        <w:rPr>
          <w:lang w:val="en-US"/>
        </w:rPr>
        <w:t>. Prioritatea de investiții</w:t>
      </w:r>
      <w:bookmarkEnd w:id="72"/>
    </w:p>
    <w:p w:rsidR="001331F5" w:rsidRPr="006F7519" w:rsidRDefault="009D68FE" w:rsidP="009D68FE">
      <w:pPr>
        <w:pStyle w:val="Heading4"/>
        <w:rPr>
          <w:lang w:val="it-IT"/>
        </w:rPr>
      </w:pPr>
      <w:bookmarkStart w:id="73" w:name="_Toc394837797"/>
      <w:r w:rsidRPr="006F7519">
        <w:rPr>
          <w:lang w:val="it-IT"/>
        </w:rPr>
        <w:t xml:space="preserve">Prioritatea de investiții </w:t>
      </w:r>
      <w:r w:rsidR="001331F5" w:rsidRPr="006F7519">
        <w:rPr>
          <w:lang w:val="it-IT"/>
        </w:rPr>
        <w:t>6d</w:t>
      </w:r>
      <w:r w:rsidR="00311248" w:rsidRPr="006F7519">
        <w:rPr>
          <w:lang w:val="it-IT"/>
        </w:rPr>
        <w:t>:</w:t>
      </w:r>
      <w:r w:rsidRPr="006F7519">
        <w:rPr>
          <w:lang w:val="it-IT"/>
        </w:rPr>
        <w:t xml:space="preserve"> Protejarea și refacerea biodiversității și a solurilor, precum și promovarea unor servicii ecosistemice, inclusiv prin Natura 2000 și infrastructuri ecologice</w:t>
      </w:r>
      <w:bookmarkEnd w:id="73"/>
    </w:p>
    <w:p w:rsidR="001B679A" w:rsidRPr="006F7519" w:rsidRDefault="001B679A" w:rsidP="00311248">
      <w:pPr>
        <w:pStyle w:val="Heading2"/>
        <w:rPr>
          <w:lang w:val="it-IT"/>
        </w:rPr>
        <w:sectPr w:rsidR="001B679A" w:rsidRPr="006F7519">
          <w:pgSz w:w="11906" w:h="16838"/>
          <w:pgMar w:top="1021" w:right="1418" w:bottom="1021" w:left="1418" w:header="601" w:footer="1077" w:gutter="0"/>
          <w:cols w:space="720"/>
        </w:sectPr>
      </w:pPr>
    </w:p>
    <w:p w:rsidR="001331F5" w:rsidRPr="006F7519" w:rsidRDefault="001331F5" w:rsidP="00311248">
      <w:pPr>
        <w:pStyle w:val="Heading2"/>
        <w:rPr>
          <w:lang w:val="it-IT"/>
        </w:rPr>
      </w:pPr>
      <w:bookmarkStart w:id="74" w:name="_Toc394837798"/>
      <w:r w:rsidRPr="006F7519">
        <w:rPr>
          <w:lang w:val="it-IT"/>
        </w:rPr>
        <w:lastRenderedPageBreak/>
        <w:t xml:space="preserve">2.A.5. </w:t>
      </w:r>
      <w:r w:rsidR="009D68FE" w:rsidRPr="006F7519">
        <w:rPr>
          <w:lang w:val="it-IT"/>
        </w:rPr>
        <w:t>Obiective specifice corespunzătoare priorității de investiții și rezultate preconizate</w:t>
      </w:r>
      <w:bookmarkEnd w:id="74"/>
    </w:p>
    <w:tbl>
      <w:tblPr>
        <w:tblStyle w:val="TableGrid2"/>
        <w:tblW w:w="10944" w:type="dxa"/>
        <w:jc w:val="center"/>
        <w:tblLook w:val="04A0" w:firstRow="1" w:lastRow="0" w:firstColumn="1" w:lastColumn="0" w:noHBand="0" w:noVBand="1"/>
      </w:tblPr>
      <w:tblGrid>
        <w:gridCol w:w="2736"/>
        <w:gridCol w:w="8208"/>
      </w:tblGrid>
      <w:tr w:rsidR="00736205" w:rsidRPr="001B679A" w:rsidTr="00BC5673">
        <w:trPr>
          <w:jc w:val="center"/>
        </w:trPr>
        <w:tc>
          <w:tcPr>
            <w:tcW w:w="2736" w:type="dxa"/>
          </w:tcPr>
          <w:p w:rsidR="00736205" w:rsidRPr="001B679A" w:rsidRDefault="00736205" w:rsidP="00BC5673">
            <w:pPr>
              <w:spacing w:before="60" w:after="0"/>
              <w:rPr>
                <w:rFonts w:eastAsia="Times New Roman"/>
                <w:b/>
                <w:i/>
                <w:sz w:val="22"/>
                <w:szCs w:val="22"/>
                <w:lang w:val="en-US" w:eastAsia="en-US"/>
              </w:rPr>
            </w:pPr>
            <w:r w:rsidRPr="001B679A">
              <w:rPr>
                <w:rFonts w:eastAsia="Times New Roman"/>
                <w:b/>
                <w:i/>
                <w:sz w:val="22"/>
                <w:szCs w:val="22"/>
                <w:lang w:val="en-US" w:eastAsia="en-US"/>
              </w:rPr>
              <w:t>ID</w:t>
            </w:r>
          </w:p>
        </w:tc>
        <w:tc>
          <w:tcPr>
            <w:tcW w:w="8208" w:type="dxa"/>
          </w:tcPr>
          <w:p w:rsidR="00736205" w:rsidRPr="001B679A" w:rsidRDefault="00736205" w:rsidP="00BC5673">
            <w:pPr>
              <w:spacing w:before="60" w:after="0"/>
              <w:rPr>
                <w:rFonts w:eastAsia="Times New Roman"/>
                <w:b/>
                <w:sz w:val="22"/>
                <w:szCs w:val="22"/>
                <w:lang w:val="en-US" w:eastAsia="en-US"/>
              </w:rPr>
            </w:pPr>
          </w:p>
        </w:tc>
      </w:tr>
      <w:tr w:rsidR="00736205" w:rsidRPr="00A158A9" w:rsidTr="00BC5673">
        <w:trPr>
          <w:jc w:val="center"/>
        </w:trPr>
        <w:tc>
          <w:tcPr>
            <w:tcW w:w="2736" w:type="dxa"/>
          </w:tcPr>
          <w:p w:rsidR="00736205" w:rsidRPr="001B679A" w:rsidRDefault="009D68FE" w:rsidP="00736205">
            <w:pPr>
              <w:spacing w:before="60" w:after="0"/>
              <w:rPr>
                <w:rFonts w:eastAsia="Times New Roman"/>
                <w:b/>
                <w:i/>
                <w:sz w:val="22"/>
                <w:szCs w:val="22"/>
                <w:lang w:val="en-US" w:eastAsia="en-US"/>
              </w:rPr>
            </w:pPr>
            <w:r w:rsidRPr="001B679A">
              <w:rPr>
                <w:rFonts w:eastAsia="Times New Roman"/>
                <w:b/>
                <w:i/>
                <w:sz w:val="22"/>
                <w:szCs w:val="22"/>
                <w:lang w:val="en-US" w:eastAsia="en-US"/>
              </w:rPr>
              <w:t>Obiectiv Specific</w:t>
            </w:r>
            <w:r w:rsidR="00736205" w:rsidRPr="001B679A">
              <w:rPr>
                <w:rFonts w:eastAsia="Times New Roman"/>
                <w:b/>
                <w:i/>
                <w:sz w:val="22"/>
                <w:szCs w:val="22"/>
                <w:lang w:val="en-US" w:eastAsia="en-US"/>
              </w:rPr>
              <w:t xml:space="preserve"> 2.2</w:t>
            </w:r>
          </w:p>
        </w:tc>
        <w:tc>
          <w:tcPr>
            <w:tcW w:w="8208" w:type="dxa"/>
          </w:tcPr>
          <w:p w:rsidR="00736205" w:rsidRPr="006F7519" w:rsidRDefault="009D68FE" w:rsidP="009D68FE">
            <w:pPr>
              <w:rPr>
                <w:rFonts w:eastAsia="Times New Roman"/>
                <w:b/>
                <w:sz w:val="22"/>
                <w:szCs w:val="22"/>
                <w:lang w:val="it-IT" w:eastAsia="en-US"/>
              </w:rPr>
            </w:pPr>
            <w:r w:rsidRPr="006F7519">
              <w:rPr>
                <w:rFonts w:eastAsia="Times New Roman"/>
                <w:b/>
                <w:sz w:val="22"/>
                <w:szCs w:val="22"/>
                <w:lang w:val="it-IT" w:eastAsia="en-US"/>
              </w:rPr>
              <w:t>Îmbunătățirea managementului durabil al ecosistemelor din zona transfrontalieră</w:t>
            </w:r>
          </w:p>
        </w:tc>
      </w:tr>
      <w:tr w:rsidR="00736205" w:rsidRPr="001B679A" w:rsidTr="00BC5673">
        <w:trPr>
          <w:jc w:val="center"/>
        </w:trPr>
        <w:tc>
          <w:tcPr>
            <w:tcW w:w="2736" w:type="dxa"/>
          </w:tcPr>
          <w:p w:rsidR="00736205" w:rsidRPr="006F7519" w:rsidRDefault="009D68FE" w:rsidP="00BC5673">
            <w:pPr>
              <w:spacing w:before="60" w:after="0"/>
              <w:rPr>
                <w:rFonts w:eastAsia="Times New Roman"/>
                <w:b/>
                <w:i/>
                <w:sz w:val="22"/>
                <w:szCs w:val="22"/>
                <w:lang w:val="it-IT" w:eastAsia="en-US"/>
              </w:rPr>
            </w:pPr>
            <w:r w:rsidRPr="006F7519">
              <w:rPr>
                <w:rFonts w:eastAsia="Times New Roman"/>
                <w:b/>
                <w:i/>
                <w:sz w:val="22"/>
                <w:szCs w:val="22"/>
                <w:lang w:val="it-IT" w:eastAsia="en-US"/>
              </w:rPr>
              <w:t>Rezultatele pe care statul membru caută să le obțină prin sprijinul din partea Uniunii</w:t>
            </w:r>
          </w:p>
        </w:tc>
        <w:tc>
          <w:tcPr>
            <w:tcW w:w="8208" w:type="dxa"/>
          </w:tcPr>
          <w:p w:rsidR="001B679A" w:rsidRPr="006F7519" w:rsidRDefault="001B679A" w:rsidP="001B679A">
            <w:pPr>
              <w:rPr>
                <w:rFonts w:eastAsia="Times New Roman"/>
                <w:sz w:val="22"/>
                <w:szCs w:val="22"/>
                <w:lang w:val="it-IT"/>
              </w:rPr>
            </w:pPr>
            <w:r w:rsidRPr="006F7519">
              <w:rPr>
                <w:rFonts w:eastAsia="Times New Roman"/>
                <w:sz w:val="22"/>
                <w:szCs w:val="22"/>
                <w:lang w:val="it-IT"/>
              </w:rPr>
              <w:t xml:space="preserve">Această prioritate de Investiţie în restaurarea biodiversităţii şi solului este prin definiţie adecvată pentru un program transfrontalier ca România-Bulgaria, datorită interacţiunii şi interdependenţei peisajelor şi continuităţii habitatelor şi ecosistemelor de-a curmezişul şi de-a lungul fluviului Dunărea care reprezintă una dintre cele mai mari valori ale zonei transfrontaliere şi un important factor de locaţie pentru dezvoltare. Cooperarea transfrontalieră poate facilita transferul de modele şi soluţii de bune practici şi coagularea competenţelor într-o regiune în care impacturile schimbărilor climatice sunt considerate a fi mai importante decât în alte locuri şi au un puternic impact negativ asupra biodiversităţii şi sănătăţii ecosistemelor locale. </w:t>
            </w:r>
          </w:p>
          <w:p w:rsidR="001B679A" w:rsidRPr="006F7519" w:rsidRDefault="00BA77BE" w:rsidP="001B679A">
            <w:pPr>
              <w:rPr>
                <w:rFonts w:eastAsia="Times New Roman"/>
                <w:sz w:val="22"/>
                <w:szCs w:val="22"/>
                <w:lang w:val="it-IT"/>
              </w:rPr>
            </w:pPr>
            <w:r w:rsidRPr="006F7519">
              <w:rPr>
                <w:rFonts w:eastAsia="Times New Roman"/>
                <w:sz w:val="22"/>
                <w:szCs w:val="22"/>
                <w:lang w:val="it-IT"/>
              </w:rPr>
              <w:t>Având în vedere că sit</w:t>
            </w:r>
            <w:r w:rsidR="001B679A" w:rsidRPr="006F7519">
              <w:rPr>
                <w:rFonts w:eastAsia="Times New Roman"/>
                <w:sz w:val="22"/>
                <w:szCs w:val="22"/>
                <w:lang w:val="it-IT"/>
              </w:rPr>
              <w:t xml:space="preserve">urile NATURA 2000 creează în regiune un lanţ de sit-uri naturale protejate interconectate structurate în jurul Dunării şi afluenţilor săi locali, precum şi de-a lungul zonei de litoral a Mării Negre, ele reprezintă un potenţial uriaş pentru managementul şi protecţia ecosistemului la nivel transfrontalier. În plus, sistemul NATURA 2000 este foarte important pentru o regiune în care există capacitate limitată de a gestiona presiunile sociale şi economice asupra mediului şi ecosistemelor. Asigurarea capacităţii de a integra sustenabilitatea la nivelul unor zone aşa de mari care sunt şi puternic conectate peste graniţă, va favoriza cel mai probabil protejarea în continuare a ecosistemelor în libertate în zonă şi chiar mai departe în fiecare ţară.  </w:t>
            </w:r>
          </w:p>
          <w:p w:rsidR="001B679A" w:rsidRPr="001B679A" w:rsidRDefault="001B679A" w:rsidP="001B679A">
            <w:pPr>
              <w:rPr>
                <w:rFonts w:eastAsia="Times New Roman"/>
                <w:sz w:val="22"/>
                <w:szCs w:val="22"/>
                <w:lang w:val="fr-FR"/>
              </w:rPr>
            </w:pPr>
            <w:r w:rsidRPr="001B679A">
              <w:rPr>
                <w:rFonts w:eastAsia="Times New Roman"/>
                <w:sz w:val="22"/>
                <w:szCs w:val="22"/>
                <w:lang w:val="fr-FR"/>
              </w:rPr>
              <w:t xml:space="preserve">Acest obiectiv anume se va concentra astfel pe protejarea şi managementul sustenabil al siturilor NATURA 2000. Chiar dacă aceste situri ar trebui în principiu să aibă propriile lor strategii de management sau vreun tip de cadru contractual, adesea ele nu au un cadru strategic eficient. Adesea lucrează izolate şi nu destul </w:t>
            </w:r>
            <w:proofErr w:type="gramStart"/>
            <w:r w:rsidRPr="001B679A">
              <w:rPr>
                <w:rFonts w:eastAsia="Times New Roman"/>
                <w:sz w:val="22"/>
                <w:szCs w:val="22"/>
                <w:lang w:val="fr-FR"/>
              </w:rPr>
              <w:t>de eficient</w:t>
            </w:r>
            <w:proofErr w:type="gramEnd"/>
            <w:r w:rsidRPr="001B679A">
              <w:rPr>
                <w:rFonts w:eastAsia="Times New Roman"/>
                <w:sz w:val="22"/>
                <w:szCs w:val="22"/>
                <w:lang w:val="fr-FR"/>
              </w:rPr>
              <w:t xml:space="preserve">. De aceea este necesar un management eficient sporit prin cooperare transfrontalieră şi networking. Prioritatea de investiţie va sprijini schimbul de experienţă şi construirea capacităţii pentru administraţiile/administratorii zonelor protejate/siturilor NATURA 2000; implicarea comunităţii; gestionarea vizitatorilor şi dezvoltarea turismului; planificare de management coordonată, implementarea măsurilor pentru protecţie (infrastructura verde, măsuri de protecţie) şi evaluare. Dezvoltarea conştientizării publicului despre siturile NATURA 2000 şi zonele protejate pentru a le promova ca valori ale comunităţii este </w:t>
            </w:r>
            <w:proofErr w:type="gramStart"/>
            <w:r w:rsidRPr="001B679A">
              <w:rPr>
                <w:rFonts w:eastAsia="Times New Roman"/>
                <w:sz w:val="22"/>
                <w:szCs w:val="22"/>
                <w:lang w:val="fr-FR"/>
              </w:rPr>
              <w:t>de asemenea</w:t>
            </w:r>
            <w:proofErr w:type="gramEnd"/>
            <w:r w:rsidRPr="001B679A">
              <w:rPr>
                <w:rFonts w:eastAsia="Times New Roman"/>
                <w:sz w:val="22"/>
                <w:szCs w:val="22"/>
                <w:lang w:val="fr-FR"/>
              </w:rPr>
              <w:t xml:space="preserve"> un rezultat important pe care Programul urmăreşte să îl obţină. Conştientizarea importanţei pentru comunităţile locale din zonele naturale de-a lungul graniţei poate de asemenea fi un factor în apariţia unei identităţi transfrontaliere comune. Astfel, Programul va sprijini coordonarea transfrontalieră a diferitelor activităţi care au ca scop restaurarea, protejarea şi gestionarea într-un mod adecvat a ecosistemelor incluse în siturile şi zonele NATURA 2000. Aceste activităţi vor avea ca obiectiv implementarea managementului coordonat şi intervenţiei protective în siturile naturale. </w:t>
            </w:r>
          </w:p>
          <w:p w:rsidR="001B679A" w:rsidRPr="001B679A" w:rsidRDefault="001B679A" w:rsidP="001B679A">
            <w:pPr>
              <w:rPr>
                <w:rFonts w:eastAsia="Times New Roman"/>
                <w:sz w:val="22"/>
                <w:szCs w:val="22"/>
                <w:lang w:val="fr-FR"/>
              </w:rPr>
            </w:pPr>
            <w:r w:rsidRPr="001B679A">
              <w:rPr>
                <w:rFonts w:eastAsia="Times New Roman"/>
                <w:sz w:val="22"/>
                <w:szCs w:val="22"/>
                <w:lang w:val="fr-FR"/>
              </w:rPr>
              <w:t>În p</w:t>
            </w:r>
            <w:r w:rsidR="00A312AE">
              <w:rPr>
                <w:rFonts w:eastAsia="Times New Roman"/>
                <w:sz w:val="22"/>
                <w:szCs w:val="22"/>
                <w:lang w:val="fr-FR"/>
              </w:rPr>
              <w:t xml:space="preserve">erioada anterioară de programare </w:t>
            </w:r>
            <w:r w:rsidRPr="001B679A">
              <w:rPr>
                <w:rFonts w:eastAsia="Times New Roman"/>
                <w:sz w:val="22"/>
                <w:szCs w:val="22"/>
                <w:lang w:val="fr-FR"/>
              </w:rPr>
              <w:t xml:space="preserve">au fost implementate proiecte reuşite în domeniile biodiversităţii, planificarea utilizării terenurilor, precum şi în conservarea şi utilizarea sustenabilă a valorilor naturii. Axa de prioritate se va concentra şi pe activităţi comune pentru managementul integrat al zonelor de coastă din zona Mării Negre.  </w:t>
            </w:r>
          </w:p>
          <w:p w:rsidR="00736205" w:rsidRPr="001B679A" w:rsidRDefault="001B679A" w:rsidP="001B679A">
            <w:pPr>
              <w:rPr>
                <w:rFonts w:eastAsia="Times New Roman"/>
                <w:sz w:val="22"/>
                <w:szCs w:val="22"/>
                <w:highlight w:val="yellow"/>
                <w:lang w:val="en-US"/>
              </w:rPr>
            </w:pPr>
            <w:r w:rsidRPr="001B679A">
              <w:rPr>
                <w:rFonts w:eastAsia="Times New Roman"/>
                <w:sz w:val="22"/>
                <w:szCs w:val="22"/>
                <w:lang w:val="en-US"/>
              </w:rPr>
              <w:t>Principalul rezultat este management comun îmbunătăţit şi protejarea siturilor NATURA 2000.</w:t>
            </w:r>
          </w:p>
        </w:tc>
      </w:tr>
    </w:tbl>
    <w:p w:rsidR="00736205" w:rsidRDefault="00736205" w:rsidP="00736205">
      <w:pPr>
        <w:rPr>
          <w:lang w:val="en-US"/>
        </w:rPr>
      </w:pPr>
    </w:p>
    <w:p w:rsidR="00736205" w:rsidRPr="00736205" w:rsidRDefault="00736205" w:rsidP="00736205">
      <w:pPr>
        <w:rPr>
          <w:lang w:val="en-US"/>
        </w:rPr>
      </w:pPr>
    </w:p>
    <w:p w:rsidR="001331F5" w:rsidRPr="00C002F6" w:rsidRDefault="001331F5" w:rsidP="001331F5">
      <w:pPr>
        <w:rPr>
          <w:rFonts w:eastAsia="Times New Roman"/>
          <w:sz w:val="32"/>
          <w:szCs w:val="24"/>
          <w:lang w:val="en-US" w:eastAsia="ar-SA"/>
        </w:rPr>
        <w:sectPr w:rsidR="001331F5" w:rsidRPr="00C002F6">
          <w:pgSz w:w="11906" w:h="16838"/>
          <w:pgMar w:top="1021" w:right="1418" w:bottom="1021" w:left="1418" w:header="601" w:footer="1077" w:gutter="0"/>
          <w:cols w:space="720"/>
        </w:sectPr>
      </w:pPr>
    </w:p>
    <w:p w:rsidR="001331F5" w:rsidRPr="009D68FE" w:rsidRDefault="009D68FE" w:rsidP="009D68FE">
      <w:pPr>
        <w:pStyle w:val="Heading2"/>
        <w:rPr>
          <w:highlight w:val="red"/>
          <w:lang w:val="fr-FR"/>
        </w:rPr>
      </w:pPr>
      <w:bookmarkStart w:id="75" w:name="_Toc394837799"/>
      <w:r w:rsidRPr="009D68FE">
        <w:rPr>
          <w:lang w:val="fr-FR"/>
        </w:rPr>
        <w:lastRenderedPageBreak/>
        <w:t>Tabelul 3: Indicatori de rezultat specifici programului (pe obiectiv specific)</w:t>
      </w:r>
      <w:bookmarkEnd w:id="75"/>
    </w:p>
    <w:p w:rsidR="001331F5" w:rsidRPr="009D68FE" w:rsidRDefault="001331F5" w:rsidP="001331F5">
      <w:pPr>
        <w:tabs>
          <w:tab w:val="left" w:pos="720"/>
        </w:tabs>
        <w:spacing w:line="276" w:lineRule="auto"/>
        <w:rPr>
          <w:rFonts w:eastAsia="Times New Roman"/>
          <w:i/>
          <w:highlight w:val="red"/>
          <w:lang w:val="fr-FR"/>
        </w:rPr>
      </w:pPr>
    </w:p>
    <w:tbl>
      <w:tblPr>
        <w:tblW w:w="45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3203"/>
        <w:gridCol w:w="1933"/>
        <w:gridCol w:w="1717"/>
        <w:gridCol w:w="1291"/>
        <w:gridCol w:w="2015"/>
        <w:gridCol w:w="1594"/>
        <w:gridCol w:w="1171"/>
      </w:tblGrid>
      <w:tr w:rsidR="009D68FE" w:rsidRPr="008C14D4" w:rsidTr="00FE7705">
        <w:trPr>
          <w:trHeight w:val="531"/>
          <w:jc w:val="center"/>
        </w:trPr>
        <w:tc>
          <w:tcPr>
            <w:tcW w:w="259" w:type="pct"/>
            <w:tcBorders>
              <w:top w:val="single" w:sz="4" w:space="0" w:color="auto"/>
              <w:left w:val="single" w:sz="4" w:space="0" w:color="auto"/>
              <w:bottom w:val="single" w:sz="4" w:space="0" w:color="auto"/>
              <w:right w:val="single" w:sz="4" w:space="0" w:color="auto"/>
            </w:tcBorders>
            <w:vAlign w:val="center"/>
            <w:hideMark/>
          </w:tcPr>
          <w:p w:rsidR="009D68FE" w:rsidRPr="008C14D4" w:rsidRDefault="009D68FE" w:rsidP="00FE7705">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ID</w:t>
            </w:r>
          </w:p>
        </w:tc>
        <w:tc>
          <w:tcPr>
            <w:tcW w:w="1174" w:type="pct"/>
            <w:tcBorders>
              <w:top w:val="single" w:sz="4" w:space="0" w:color="auto"/>
              <w:left w:val="single" w:sz="4" w:space="0" w:color="auto"/>
              <w:bottom w:val="single" w:sz="4" w:space="0" w:color="auto"/>
              <w:right w:val="single" w:sz="4" w:space="0" w:color="auto"/>
            </w:tcBorders>
            <w:vAlign w:val="center"/>
            <w:hideMark/>
          </w:tcPr>
          <w:p w:rsidR="009D68FE" w:rsidRPr="008C14D4" w:rsidRDefault="009D68FE" w:rsidP="00FE7705">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 xml:space="preserve">Indicator </w:t>
            </w:r>
          </w:p>
        </w:tc>
        <w:tc>
          <w:tcPr>
            <w:tcW w:w="709" w:type="pct"/>
            <w:tcBorders>
              <w:top w:val="single" w:sz="4" w:space="0" w:color="auto"/>
              <w:left w:val="single" w:sz="4" w:space="0" w:color="auto"/>
              <w:bottom w:val="single" w:sz="4" w:space="0" w:color="auto"/>
              <w:right w:val="single" w:sz="4" w:space="0" w:color="auto"/>
            </w:tcBorders>
            <w:vAlign w:val="center"/>
            <w:hideMark/>
          </w:tcPr>
          <w:p w:rsidR="009D68FE" w:rsidRPr="008C14D4" w:rsidRDefault="009D68FE" w:rsidP="00FE7705">
            <w:pPr>
              <w:snapToGrid w:val="0"/>
              <w:spacing w:line="276" w:lineRule="auto"/>
              <w:jc w:val="left"/>
              <w:rPr>
                <w:rFonts w:eastAsia="Times New Roman"/>
                <w:b/>
                <w:sz w:val="18"/>
                <w:szCs w:val="18"/>
                <w:lang w:val="en-US"/>
              </w:rPr>
            </w:pPr>
            <w:r w:rsidRPr="008C14D4">
              <w:rPr>
                <w:rFonts w:eastAsia="Times New Roman"/>
                <w:b/>
                <w:sz w:val="18"/>
                <w:szCs w:val="18"/>
                <w:lang w:val="en-US"/>
              </w:rPr>
              <w:t>Unitate de măsură</w:t>
            </w:r>
          </w:p>
        </w:tc>
        <w:tc>
          <w:tcPr>
            <w:tcW w:w="630" w:type="pct"/>
            <w:tcBorders>
              <w:top w:val="single" w:sz="4" w:space="0" w:color="auto"/>
              <w:left w:val="single" w:sz="4" w:space="0" w:color="auto"/>
              <w:bottom w:val="single" w:sz="4" w:space="0" w:color="auto"/>
              <w:right w:val="single" w:sz="4" w:space="0" w:color="auto"/>
            </w:tcBorders>
            <w:vAlign w:val="center"/>
            <w:hideMark/>
          </w:tcPr>
          <w:p w:rsidR="009D68FE" w:rsidRPr="008C14D4" w:rsidRDefault="009D68FE" w:rsidP="00FE7705">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Valoarea de referință</w:t>
            </w:r>
          </w:p>
        </w:tc>
        <w:tc>
          <w:tcPr>
            <w:tcW w:w="474" w:type="pct"/>
            <w:tcBorders>
              <w:top w:val="single" w:sz="4" w:space="0" w:color="auto"/>
              <w:left w:val="single" w:sz="4" w:space="0" w:color="auto"/>
              <w:bottom w:val="single" w:sz="4" w:space="0" w:color="auto"/>
              <w:right w:val="single" w:sz="4" w:space="0" w:color="auto"/>
            </w:tcBorders>
            <w:vAlign w:val="center"/>
            <w:hideMark/>
          </w:tcPr>
          <w:p w:rsidR="009D68FE" w:rsidRPr="008C14D4" w:rsidRDefault="009D68FE" w:rsidP="00FE7705">
            <w:pPr>
              <w:snapToGrid w:val="0"/>
              <w:spacing w:line="276" w:lineRule="auto"/>
              <w:jc w:val="left"/>
              <w:rPr>
                <w:rFonts w:eastAsia="Times New Roman"/>
                <w:b/>
                <w:sz w:val="18"/>
                <w:szCs w:val="18"/>
                <w:lang w:val="en-US"/>
              </w:rPr>
            </w:pPr>
            <w:r w:rsidRPr="008C14D4">
              <w:rPr>
                <w:rFonts w:eastAsia="Times New Roman"/>
                <w:b/>
                <w:sz w:val="18"/>
                <w:szCs w:val="18"/>
                <w:lang w:val="en-US"/>
              </w:rPr>
              <w:t>Anul de referință</w:t>
            </w:r>
          </w:p>
        </w:tc>
        <w:tc>
          <w:tcPr>
            <w:tcW w:w="739" w:type="pct"/>
            <w:tcBorders>
              <w:top w:val="single" w:sz="4" w:space="0" w:color="auto"/>
              <w:left w:val="single" w:sz="4" w:space="0" w:color="auto"/>
              <w:bottom w:val="single" w:sz="4" w:space="0" w:color="auto"/>
              <w:right w:val="single" w:sz="4" w:space="0" w:color="auto"/>
            </w:tcBorders>
            <w:vAlign w:val="center"/>
            <w:hideMark/>
          </w:tcPr>
          <w:p w:rsidR="009D68FE" w:rsidRPr="008C14D4" w:rsidRDefault="009D68FE" w:rsidP="007173F3">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Valoarea-țintă (2023)</w:t>
            </w:r>
            <w:r w:rsidR="007173F3">
              <w:rPr>
                <w:rStyle w:val="FootnoteReference"/>
                <w:rFonts w:eastAsia="Times New Roman"/>
                <w:b/>
                <w:sz w:val="18"/>
                <w:szCs w:val="18"/>
                <w:lang w:val="en-US"/>
              </w:rPr>
              <w:footnoteReference w:id="10"/>
            </w:r>
          </w:p>
        </w:tc>
        <w:tc>
          <w:tcPr>
            <w:tcW w:w="585" w:type="pct"/>
            <w:tcBorders>
              <w:top w:val="single" w:sz="4" w:space="0" w:color="auto"/>
              <w:left w:val="single" w:sz="4" w:space="0" w:color="auto"/>
              <w:bottom w:val="single" w:sz="4" w:space="0" w:color="auto"/>
              <w:right w:val="single" w:sz="4" w:space="0" w:color="auto"/>
            </w:tcBorders>
            <w:vAlign w:val="center"/>
            <w:hideMark/>
          </w:tcPr>
          <w:p w:rsidR="009D68FE" w:rsidRPr="008C14D4" w:rsidRDefault="009D68FE" w:rsidP="00FE7705">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Sursa datelor</w:t>
            </w:r>
          </w:p>
        </w:tc>
        <w:tc>
          <w:tcPr>
            <w:tcW w:w="430" w:type="pct"/>
            <w:tcBorders>
              <w:top w:val="single" w:sz="4" w:space="0" w:color="auto"/>
              <w:left w:val="single" w:sz="4" w:space="0" w:color="auto"/>
              <w:bottom w:val="single" w:sz="4" w:space="0" w:color="auto"/>
              <w:right w:val="single" w:sz="4" w:space="0" w:color="auto"/>
            </w:tcBorders>
            <w:vAlign w:val="center"/>
            <w:hideMark/>
          </w:tcPr>
          <w:p w:rsidR="009D68FE" w:rsidRPr="008C14D4" w:rsidRDefault="009D68FE" w:rsidP="00FE7705">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Frecvența raportării</w:t>
            </w:r>
          </w:p>
        </w:tc>
      </w:tr>
      <w:tr w:rsidR="001331F5" w:rsidRPr="000B7282" w:rsidTr="00FE7705">
        <w:trPr>
          <w:trHeight w:val="870"/>
          <w:jc w:val="center"/>
        </w:trPr>
        <w:tc>
          <w:tcPr>
            <w:tcW w:w="259" w:type="pct"/>
            <w:tcBorders>
              <w:top w:val="single" w:sz="4" w:space="0" w:color="auto"/>
              <w:left w:val="single" w:sz="4" w:space="0" w:color="auto"/>
              <w:bottom w:val="single" w:sz="4" w:space="0" w:color="auto"/>
              <w:right w:val="single" w:sz="4" w:space="0" w:color="auto"/>
            </w:tcBorders>
            <w:vAlign w:val="center"/>
            <w:hideMark/>
          </w:tcPr>
          <w:p w:rsidR="001331F5" w:rsidRPr="00FE7705" w:rsidRDefault="0030358B" w:rsidP="00FE7705">
            <w:pPr>
              <w:tabs>
                <w:tab w:val="left" w:pos="720"/>
              </w:tabs>
              <w:spacing w:line="276" w:lineRule="auto"/>
              <w:jc w:val="left"/>
              <w:rPr>
                <w:rFonts w:eastAsia="Times New Roman"/>
                <w:b/>
                <w:sz w:val="18"/>
                <w:szCs w:val="18"/>
                <w:lang w:val="en-US"/>
              </w:rPr>
            </w:pPr>
            <w:r>
              <w:rPr>
                <w:szCs w:val="24"/>
                <w:lang w:val="en-US"/>
              </w:rPr>
              <w:t>R.</w:t>
            </w:r>
            <w:r w:rsidR="00AD5E5C" w:rsidRPr="00FE7705">
              <w:rPr>
                <w:szCs w:val="24"/>
                <w:lang w:val="en-US"/>
              </w:rPr>
              <w:t>2</w:t>
            </w:r>
            <w:r w:rsidR="009D68FE" w:rsidRPr="00FE7705">
              <w:rPr>
                <w:szCs w:val="24"/>
                <w:lang w:val="en-US"/>
              </w:rPr>
              <w:t>.2</w:t>
            </w:r>
          </w:p>
        </w:tc>
        <w:tc>
          <w:tcPr>
            <w:tcW w:w="1174" w:type="pct"/>
            <w:tcBorders>
              <w:top w:val="single" w:sz="4" w:space="0" w:color="auto"/>
              <w:left w:val="single" w:sz="4" w:space="0" w:color="auto"/>
              <w:bottom w:val="single" w:sz="4" w:space="0" w:color="auto"/>
              <w:right w:val="single" w:sz="4" w:space="0" w:color="auto"/>
            </w:tcBorders>
            <w:vAlign w:val="center"/>
          </w:tcPr>
          <w:p w:rsidR="001331F5" w:rsidRPr="00FE7705" w:rsidRDefault="00FE7705" w:rsidP="00FE7705">
            <w:pPr>
              <w:tabs>
                <w:tab w:val="left" w:pos="720"/>
              </w:tabs>
              <w:spacing w:line="276" w:lineRule="auto"/>
              <w:jc w:val="left"/>
              <w:rPr>
                <w:rFonts w:eastAsia="Times New Roman"/>
                <w:b/>
                <w:sz w:val="18"/>
                <w:szCs w:val="18"/>
                <w:lang w:val="fr-FR"/>
              </w:rPr>
            </w:pPr>
            <w:r w:rsidRPr="00EB2622">
              <w:rPr>
                <w:lang w:val="fr-FR"/>
              </w:rPr>
              <w:t>Situri NATURA 20</w:t>
            </w:r>
            <w:r>
              <w:rPr>
                <w:lang w:val="fr-FR"/>
              </w:rPr>
              <w:t>00 din regiunea transfrontalieră</w:t>
            </w:r>
            <w:r w:rsidRPr="00EB2622">
              <w:rPr>
                <w:lang w:val="fr-FR"/>
              </w:rPr>
              <w:t xml:space="preserve"> cu instrumente coordonate de management</w:t>
            </w:r>
          </w:p>
        </w:tc>
        <w:tc>
          <w:tcPr>
            <w:tcW w:w="709" w:type="pct"/>
            <w:tcBorders>
              <w:top w:val="single" w:sz="4" w:space="0" w:color="auto"/>
              <w:left w:val="single" w:sz="4" w:space="0" w:color="auto"/>
              <w:bottom w:val="single" w:sz="4" w:space="0" w:color="auto"/>
              <w:right w:val="single" w:sz="4" w:space="0" w:color="auto"/>
            </w:tcBorders>
            <w:vAlign w:val="center"/>
            <w:hideMark/>
          </w:tcPr>
          <w:p w:rsidR="001331F5" w:rsidRPr="00FE7705" w:rsidRDefault="00FE7705" w:rsidP="00FE7705">
            <w:pPr>
              <w:spacing w:before="100" w:beforeAutospacing="1" w:after="100" w:afterAutospacing="1" w:line="276" w:lineRule="auto"/>
              <w:jc w:val="left"/>
              <w:rPr>
                <w:szCs w:val="24"/>
                <w:lang w:val="en-US"/>
              </w:rPr>
            </w:pPr>
            <w:r>
              <w:rPr>
                <w:szCs w:val="24"/>
                <w:lang w:val="en-US"/>
              </w:rPr>
              <w:t>Număr</w:t>
            </w:r>
          </w:p>
        </w:tc>
        <w:tc>
          <w:tcPr>
            <w:tcW w:w="630" w:type="pct"/>
            <w:tcBorders>
              <w:top w:val="single" w:sz="4" w:space="0" w:color="auto"/>
              <w:left w:val="single" w:sz="4" w:space="0" w:color="auto"/>
              <w:bottom w:val="single" w:sz="4" w:space="0" w:color="auto"/>
              <w:right w:val="single" w:sz="4" w:space="0" w:color="auto"/>
            </w:tcBorders>
            <w:vAlign w:val="center"/>
            <w:hideMark/>
          </w:tcPr>
          <w:p w:rsidR="001331F5" w:rsidRPr="00FE7705" w:rsidRDefault="00154138" w:rsidP="00FE7705">
            <w:pPr>
              <w:spacing w:before="100" w:beforeAutospacing="1" w:after="100" w:afterAutospacing="1" w:line="276" w:lineRule="auto"/>
              <w:jc w:val="left"/>
              <w:rPr>
                <w:szCs w:val="24"/>
                <w:lang w:val="en-US"/>
              </w:rPr>
            </w:pPr>
            <w:r w:rsidRPr="00FE7705">
              <w:rPr>
                <w:szCs w:val="24"/>
                <w:lang w:val="en-US"/>
              </w:rPr>
              <w:t>2</w:t>
            </w:r>
          </w:p>
        </w:tc>
        <w:tc>
          <w:tcPr>
            <w:tcW w:w="474" w:type="pct"/>
            <w:tcBorders>
              <w:top w:val="single" w:sz="4" w:space="0" w:color="auto"/>
              <w:left w:val="single" w:sz="4" w:space="0" w:color="auto"/>
              <w:bottom w:val="single" w:sz="4" w:space="0" w:color="auto"/>
              <w:right w:val="single" w:sz="4" w:space="0" w:color="auto"/>
            </w:tcBorders>
            <w:vAlign w:val="center"/>
            <w:hideMark/>
          </w:tcPr>
          <w:p w:rsidR="001331F5" w:rsidRPr="00FE7705" w:rsidRDefault="004D08CB" w:rsidP="00FE7705">
            <w:pPr>
              <w:tabs>
                <w:tab w:val="left" w:pos="720"/>
              </w:tabs>
              <w:spacing w:line="276" w:lineRule="auto"/>
              <w:jc w:val="left"/>
              <w:rPr>
                <w:szCs w:val="24"/>
                <w:lang w:val="en-US"/>
              </w:rPr>
            </w:pPr>
            <w:r w:rsidRPr="00FE7705">
              <w:rPr>
                <w:szCs w:val="24"/>
                <w:lang w:val="en-US"/>
              </w:rPr>
              <w:t>2014</w:t>
            </w:r>
          </w:p>
        </w:tc>
        <w:tc>
          <w:tcPr>
            <w:tcW w:w="739" w:type="pct"/>
            <w:tcBorders>
              <w:top w:val="single" w:sz="4" w:space="0" w:color="auto"/>
              <w:left w:val="single" w:sz="4" w:space="0" w:color="auto"/>
              <w:bottom w:val="single" w:sz="4" w:space="0" w:color="auto"/>
              <w:right w:val="single" w:sz="4" w:space="0" w:color="auto"/>
            </w:tcBorders>
            <w:vAlign w:val="center"/>
            <w:hideMark/>
          </w:tcPr>
          <w:p w:rsidR="001331F5" w:rsidRPr="00FE7705" w:rsidRDefault="00154138" w:rsidP="00FE7705">
            <w:pPr>
              <w:spacing w:line="276" w:lineRule="auto"/>
              <w:jc w:val="left"/>
              <w:rPr>
                <w:lang w:val="en-US"/>
              </w:rPr>
            </w:pPr>
            <w:r w:rsidRPr="00FE7705">
              <w:rPr>
                <w:lang w:val="en-US"/>
              </w:rPr>
              <w:t>10</w:t>
            </w:r>
          </w:p>
        </w:tc>
        <w:tc>
          <w:tcPr>
            <w:tcW w:w="585" w:type="pct"/>
            <w:tcBorders>
              <w:top w:val="single" w:sz="4" w:space="0" w:color="auto"/>
              <w:left w:val="single" w:sz="4" w:space="0" w:color="auto"/>
              <w:bottom w:val="single" w:sz="4" w:space="0" w:color="auto"/>
              <w:right w:val="single" w:sz="4" w:space="0" w:color="auto"/>
            </w:tcBorders>
            <w:vAlign w:val="center"/>
            <w:hideMark/>
          </w:tcPr>
          <w:p w:rsidR="001331F5" w:rsidRPr="007173F3" w:rsidRDefault="007173F3" w:rsidP="007173F3">
            <w:pPr>
              <w:spacing w:before="0" w:after="0"/>
              <w:jc w:val="left"/>
              <w:rPr>
                <w:b/>
                <w:bCs/>
                <w:szCs w:val="26"/>
                <w:lang w:val="fr-FR"/>
              </w:rPr>
            </w:pPr>
            <w:r w:rsidRPr="00461E3D">
              <w:rPr>
                <w:color w:val="000000"/>
                <w:szCs w:val="24"/>
              </w:rPr>
              <w:t>Rapoarte de</w:t>
            </w:r>
            <w:r w:rsidR="00070F17">
              <w:rPr>
                <w:color w:val="000000"/>
                <w:szCs w:val="24"/>
              </w:rPr>
              <w:t xml:space="preserve"> </w:t>
            </w:r>
            <w:r w:rsidRPr="00461E3D">
              <w:rPr>
                <w:color w:val="000000"/>
                <w:szCs w:val="24"/>
              </w:rPr>
              <w:t>monitorizare</w:t>
            </w:r>
          </w:p>
        </w:tc>
        <w:tc>
          <w:tcPr>
            <w:tcW w:w="430" w:type="pct"/>
            <w:tcBorders>
              <w:top w:val="single" w:sz="4" w:space="0" w:color="auto"/>
              <w:left w:val="single" w:sz="4" w:space="0" w:color="auto"/>
              <w:bottom w:val="single" w:sz="4" w:space="0" w:color="auto"/>
              <w:right w:val="single" w:sz="4" w:space="0" w:color="auto"/>
            </w:tcBorders>
            <w:vAlign w:val="center"/>
            <w:hideMark/>
          </w:tcPr>
          <w:p w:rsidR="001331F5" w:rsidRPr="00B749E7" w:rsidRDefault="001331F5" w:rsidP="00FE7705">
            <w:pPr>
              <w:tabs>
                <w:tab w:val="left" w:pos="720"/>
              </w:tabs>
              <w:spacing w:after="240" w:line="276" w:lineRule="auto"/>
              <w:jc w:val="left"/>
              <w:rPr>
                <w:szCs w:val="24"/>
                <w:lang w:val="en-US"/>
              </w:rPr>
            </w:pPr>
            <w:r w:rsidRPr="00FE7705">
              <w:rPr>
                <w:szCs w:val="24"/>
                <w:lang w:val="en-US"/>
              </w:rPr>
              <w:t xml:space="preserve">2018 </w:t>
            </w:r>
            <w:r w:rsidR="00FE7705">
              <w:rPr>
                <w:szCs w:val="24"/>
                <w:lang w:val="en-US"/>
              </w:rPr>
              <w:t>și</w:t>
            </w:r>
            <w:r w:rsidRPr="00FE7705">
              <w:rPr>
                <w:szCs w:val="24"/>
                <w:lang w:val="en-US"/>
              </w:rPr>
              <w:t xml:space="preserve"> 2023</w:t>
            </w:r>
          </w:p>
        </w:tc>
      </w:tr>
    </w:tbl>
    <w:p w:rsidR="001331F5" w:rsidRPr="0070649D" w:rsidRDefault="001331F5" w:rsidP="001331F5">
      <w:pPr>
        <w:spacing w:before="0" w:after="0" w:line="276" w:lineRule="auto"/>
        <w:jc w:val="left"/>
        <w:rPr>
          <w:rFonts w:eastAsia="Times New Roman"/>
          <w:b/>
          <w:lang w:val="en-US"/>
        </w:rPr>
        <w:sectPr w:rsidR="001331F5" w:rsidRPr="0070649D">
          <w:pgSz w:w="16838" w:h="11906" w:orient="landscape"/>
          <w:pgMar w:top="1418" w:right="1021" w:bottom="1418" w:left="1021" w:header="601" w:footer="1077" w:gutter="0"/>
          <w:cols w:space="720"/>
        </w:sectPr>
      </w:pPr>
    </w:p>
    <w:p w:rsidR="00FE7705" w:rsidRPr="00FE7705" w:rsidRDefault="00FE7705" w:rsidP="00FE7705">
      <w:pPr>
        <w:pStyle w:val="Heading2"/>
        <w:rPr>
          <w:lang w:val="fr-FR"/>
        </w:rPr>
      </w:pPr>
      <w:bookmarkStart w:id="76" w:name="_Toc394837800"/>
      <w:proofErr w:type="gramStart"/>
      <w:r w:rsidRPr="00FE7705">
        <w:rPr>
          <w:lang w:val="fr-FR"/>
        </w:rPr>
        <w:lastRenderedPageBreak/>
        <w:t>2.A.6</w:t>
      </w:r>
      <w:proofErr w:type="gramEnd"/>
      <w:r w:rsidRPr="00FE7705">
        <w:rPr>
          <w:lang w:val="fr-FR"/>
        </w:rPr>
        <w:t>. Acțiunile care urmează să fie sprijinite în cadrul priorității de investiții (pe prioritate de investiții)</w:t>
      </w:r>
      <w:bookmarkEnd w:id="76"/>
    </w:p>
    <w:p w:rsidR="001331F5" w:rsidRPr="00396473" w:rsidRDefault="00FE7705" w:rsidP="00FE7705">
      <w:pPr>
        <w:pStyle w:val="Heading2"/>
        <w:rPr>
          <w:highlight w:val="red"/>
          <w:lang w:val="fr-FR"/>
        </w:rPr>
      </w:pPr>
      <w:bookmarkStart w:id="77" w:name="_Toc394837801"/>
      <w:proofErr w:type="gramStart"/>
      <w:r w:rsidRPr="00396473">
        <w:rPr>
          <w:lang w:val="fr-FR"/>
        </w:rPr>
        <w:t>2.A.6.1</w:t>
      </w:r>
      <w:proofErr w:type="gramEnd"/>
      <w:r w:rsidRPr="00396473">
        <w:rPr>
          <w:lang w:val="fr-FR"/>
        </w:rPr>
        <w:t>. Descrierea tipului și exemple de acțiuni care urmează să fie sprijinite și contribuțiile preconizate la obiectivele specifice, inclusiv, după caz, identificarea principalelor grupuri țintă, a teritoriilor specifice vizate și a tipurilor de beneficiari</w:t>
      </w:r>
      <w:bookmarkEnd w:id="77"/>
    </w:p>
    <w:p w:rsidR="00FE7705" w:rsidRPr="00181EB6" w:rsidRDefault="00181EB6" w:rsidP="001331F5">
      <w:pPr>
        <w:rPr>
          <w:b/>
          <w:highlight w:val="red"/>
          <w:lang w:val="fr-FR"/>
        </w:rPr>
      </w:pPr>
      <w:r w:rsidRPr="00181EB6">
        <w:rPr>
          <w:b/>
          <w:lang w:val="fr-FR"/>
        </w:rPr>
        <w:t>Acțiuni pentru î</w:t>
      </w:r>
      <w:r w:rsidR="00FE7705" w:rsidRPr="00181EB6">
        <w:rPr>
          <w:b/>
          <w:lang w:val="fr-FR"/>
        </w:rPr>
        <w:t>mbunătățirea managementului durabil al ecosistemelor din zona transfrontalieră</w:t>
      </w:r>
    </w:p>
    <w:p w:rsidR="00E96A89" w:rsidRPr="00181EB6" w:rsidRDefault="00E96A89" w:rsidP="00E96A89">
      <w:pPr>
        <w:rPr>
          <w:lang w:val="ro-RO"/>
        </w:rPr>
      </w:pPr>
      <w:r w:rsidRPr="00181EB6">
        <w:rPr>
          <w:lang w:val="ro-RO"/>
        </w:rPr>
        <w:t xml:space="preserve">Cooperarea transfrontalieră în domeniul protecției siturilor Natura 2000 poate aduce valoare adăugată deoarece multe dintre aceste situri sunt strâns conectate peste frontieră. Cooperarea transfrontalieră a diverșilor actori din domeniul protecției mediului și promovării biodiversității poate rezolva mai bine problema cheie a conectivității ecosistemelor într-o regiune în care frontiera străbate elemente naturale majore precum fluviul Dunărea și litoralul Mării Negre. </w:t>
      </w:r>
    </w:p>
    <w:p w:rsidR="00E96A89" w:rsidRPr="00181EB6" w:rsidRDefault="00E96A89" w:rsidP="00E96A89">
      <w:pPr>
        <w:rPr>
          <w:lang w:val="ro-RO"/>
        </w:rPr>
      </w:pPr>
      <w:r w:rsidRPr="00181EB6">
        <w:rPr>
          <w:lang w:val="ro-RO"/>
        </w:rPr>
        <w:t>Acțiunile ce vor fi susținute în cadrul acestui obiectiv specific vor utiliza cooperarea transfrontalieră pentru a se asigura că granițele administrative și naționale nu devin bariere în calea protecției ecosistemelor și că managementul siturilor protejate (în special Natura 2000) poate deveni mai eficace printr-o cooperare flexibilă și adaptativă. Dezvoltarea în comun, testarea (acțiuni pilot) și implementarea unor instrumente și mecanisme inovatoare pentru protecția siturilor NATURA 2000 și reconectarea ecosistemelor în zona transfrontalieră vor fi susținute pr</w:t>
      </w:r>
      <w:r w:rsidR="00070F17">
        <w:rPr>
          <w:lang w:val="ro-RO"/>
        </w:rPr>
        <w:t>in program. Astfel se va urmări obţ</w:t>
      </w:r>
      <w:r w:rsidRPr="00181EB6">
        <w:rPr>
          <w:lang w:val="ro-RO"/>
        </w:rPr>
        <w:t>inerea unei mai bune protecții transfrontaliere a ecosistemelor, într-o zonă în care co</w:t>
      </w:r>
      <w:r w:rsidR="00070F17">
        <w:rPr>
          <w:lang w:val="ro-RO"/>
        </w:rPr>
        <w:t>nștientizarea locală a importanţ</w:t>
      </w:r>
      <w:r w:rsidRPr="00181EB6">
        <w:rPr>
          <w:lang w:val="ro-RO"/>
        </w:rPr>
        <w:t>ei protecției naturii este limitată, iar managementul presiunilor an</w:t>
      </w:r>
      <w:r w:rsidR="00070F17">
        <w:rPr>
          <w:lang w:val="ro-RO"/>
        </w:rPr>
        <w:t xml:space="preserve">tropice rezultate se realizează </w:t>
      </w:r>
      <w:r w:rsidRPr="00181EB6">
        <w:rPr>
          <w:lang w:val="ro-RO"/>
        </w:rPr>
        <w:t>dificil.</w:t>
      </w:r>
    </w:p>
    <w:p w:rsidR="00E96A89" w:rsidRPr="00181EB6" w:rsidRDefault="00E96A89" w:rsidP="00E96A89">
      <w:pPr>
        <w:rPr>
          <w:lang w:val="ro-RO"/>
        </w:rPr>
      </w:pPr>
      <w:r w:rsidRPr="00181EB6">
        <w:rPr>
          <w:lang w:val="ro-RO"/>
        </w:rPr>
        <w:t>Toate acțiunile susținute caută să întărească capacitatea de management a mediului în zona transfrontalieră româno-bulgară:</w:t>
      </w:r>
    </w:p>
    <w:p w:rsidR="00E96A89" w:rsidRPr="00181EB6" w:rsidRDefault="00181EB6" w:rsidP="00E96A89">
      <w:pPr>
        <w:rPr>
          <w:b/>
          <w:u w:val="single"/>
          <w:lang w:val="ro-RO"/>
        </w:rPr>
      </w:pPr>
      <w:r w:rsidRPr="00181EB6">
        <w:rPr>
          <w:b/>
          <w:u w:val="single"/>
          <w:lang w:val="ro-RO"/>
        </w:rPr>
        <w:t>Mă</w:t>
      </w:r>
      <w:r w:rsidR="00E96A89" w:rsidRPr="00181EB6">
        <w:rPr>
          <w:b/>
          <w:u w:val="single"/>
          <w:lang w:val="ro-RO"/>
        </w:rPr>
        <w:t>suri nestructurale:</w:t>
      </w:r>
    </w:p>
    <w:p w:rsidR="00E96A89" w:rsidRPr="00181EB6" w:rsidRDefault="00E96A89" w:rsidP="00EC1DA9">
      <w:pPr>
        <w:numPr>
          <w:ilvl w:val="0"/>
          <w:numId w:val="11"/>
        </w:numPr>
        <w:rPr>
          <w:lang w:val="ro-RO"/>
        </w:rPr>
      </w:pPr>
      <w:r w:rsidRPr="00181EB6">
        <w:rPr>
          <w:lang w:val="ro-RO"/>
        </w:rPr>
        <w:t>Coordonarea transfrontalieră și schimbul de informații pentru întărirea</w:t>
      </w:r>
      <w:r w:rsidR="00070F17">
        <w:rPr>
          <w:lang w:val="ro-RO"/>
        </w:rPr>
        <w:t xml:space="preserve"> capacităţ</w:t>
      </w:r>
      <w:r w:rsidRPr="00181EB6">
        <w:rPr>
          <w:lang w:val="ro-RO"/>
        </w:rPr>
        <w:t xml:space="preserve">ii de implementare a politicilor </w:t>
      </w:r>
      <w:r w:rsidR="00070F17">
        <w:rPr>
          <w:lang w:val="ro-RO"/>
        </w:rPr>
        <w:t>relevante (Directiva Cadru Apa)</w:t>
      </w:r>
      <w:r w:rsidRPr="00181EB6">
        <w:rPr>
          <w:lang w:val="ro-RO"/>
        </w:rPr>
        <w:t xml:space="preserve">  și conservarea biodiversității (Directiva Habitate și Directiva Păsări), transferul  de cunoștințe, schimbul de exemple de bune practici, relaționarea și dezvoltarea de inovații privind protecția/ conservarea ecosistemelor </w:t>
      </w:r>
    </w:p>
    <w:p w:rsidR="00E96A89" w:rsidRPr="00181EB6" w:rsidRDefault="00E96A89" w:rsidP="00EC1DA9">
      <w:pPr>
        <w:numPr>
          <w:ilvl w:val="0"/>
          <w:numId w:val="11"/>
        </w:numPr>
        <w:rPr>
          <w:lang w:val="ro-RO"/>
        </w:rPr>
      </w:pPr>
      <w:r w:rsidRPr="00181EB6">
        <w:rPr>
          <w:lang w:val="ro-RO"/>
        </w:rPr>
        <w:t>Protejarea ecosistemelor prin utilizarea clasificării, cartografierii și planificării spațiale și a altor măsuri structurale de cooperare în domeniul protecției naturii și peisajelor</w:t>
      </w:r>
    </w:p>
    <w:p w:rsidR="00E96A89" w:rsidRPr="00181EB6" w:rsidRDefault="00E96A89" w:rsidP="00EC1DA9">
      <w:pPr>
        <w:numPr>
          <w:ilvl w:val="0"/>
          <w:numId w:val="11"/>
        </w:numPr>
        <w:rPr>
          <w:lang w:val="ro-RO"/>
        </w:rPr>
      </w:pPr>
      <w:r w:rsidRPr="00181EB6">
        <w:rPr>
          <w:lang w:val="ro-RO"/>
        </w:rPr>
        <w:t xml:space="preserve">Pregătirea și implementarea de cercetări, studii, strategii, planuri comune legate de siturile Natura 2000  </w:t>
      </w:r>
    </w:p>
    <w:p w:rsidR="00E96A89" w:rsidRPr="00181EB6" w:rsidRDefault="00E96A89" w:rsidP="00EC1DA9">
      <w:pPr>
        <w:numPr>
          <w:ilvl w:val="0"/>
          <w:numId w:val="11"/>
        </w:numPr>
        <w:rPr>
          <w:lang w:val="ro-RO"/>
        </w:rPr>
      </w:pPr>
      <w:r w:rsidRPr="00181EB6">
        <w:rPr>
          <w:lang w:val="ro-RO"/>
        </w:rPr>
        <w:t>Activitati comune de conștientizare a publicului larg prin recunoașterea și promovarea potențialelor  legate de siturile Natura 2000</w:t>
      </w:r>
    </w:p>
    <w:p w:rsidR="00E96A89" w:rsidRPr="00181EB6" w:rsidRDefault="00070F17" w:rsidP="00EC1DA9">
      <w:pPr>
        <w:numPr>
          <w:ilvl w:val="0"/>
          <w:numId w:val="11"/>
        </w:numPr>
        <w:rPr>
          <w:lang w:val="ro-RO"/>
        </w:rPr>
      </w:pPr>
      <w:r>
        <w:rPr>
          <w:lang w:val="ro-RO"/>
        </w:rPr>
        <w:t>Desemnarea în comun a managementul</w:t>
      </w:r>
      <w:r w:rsidR="00E96A89" w:rsidRPr="00181EB6">
        <w:rPr>
          <w:lang w:val="ro-RO"/>
        </w:rPr>
        <w:t xml:space="preserve"> siturilor și speciilor protejate din cadrul rețelei Natura 2000</w:t>
      </w:r>
    </w:p>
    <w:p w:rsidR="001331F5" w:rsidRPr="006F7519" w:rsidRDefault="001331F5" w:rsidP="002E1F5B">
      <w:pPr>
        <w:spacing w:before="0" w:after="200" w:line="276" w:lineRule="auto"/>
        <w:ind w:left="720"/>
        <w:contextualSpacing/>
        <w:rPr>
          <w:rFonts w:eastAsia="Times New Roman"/>
          <w:szCs w:val="24"/>
          <w:lang w:val="it-IT"/>
        </w:rPr>
      </w:pPr>
    </w:p>
    <w:p w:rsidR="001331F5" w:rsidRPr="002F5E5B" w:rsidRDefault="002F5E5B" w:rsidP="001331F5">
      <w:pPr>
        <w:rPr>
          <w:b/>
          <w:u w:val="single"/>
          <w:lang w:val="en-US"/>
        </w:rPr>
      </w:pPr>
      <w:r w:rsidRPr="002F5E5B">
        <w:rPr>
          <w:b/>
          <w:u w:val="single"/>
          <w:lang w:val="ro-RO"/>
        </w:rPr>
        <w:t>Mă</w:t>
      </w:r>
      <w:r w:rsidR="0022587E">
        <w:rPr>
          <w:b/>
          <w:u w:val="single"/>
          <w:lang w:val="ro-RO"/>
        </w:rPr>
        <w:t>suri integrate</w:t>
      </w:r>
    </w:p>
    <w:p w:rsidR="002F5E5B" w:rsidRPr="002F5E5B" w:rsidRDefault="00A01B65" w:rsidP="00EC1DA9">
      <w:pPr>
        <w:numPr>
          <w:ilvl w:val="0"/>
          <w:numId w:val="11"/>
        </w:numPr>
        <w:spacing w:before="0" w:after="200" w:line="276" w:lineRule="auto"/>
        <w:contextualSpacing/>
        <w:rPr>
          <w:rFonts w:eastAsia="Times New Roman"/>
          <w:szCs w:val="24"/>
          <w:lang w:val="fr-FR"/>
        </w:rPr>
      </w:pPr>
      <w:r>
        <w:rPr>
          <w:rFonts w:eastAsia="Times New Roman"/>
          <w:szCs w:val="24"/>
          <w:lang w:val="fr-FR"/>
        </w:rPr>
        <w:t>Sprijinirea şi promovarea investiţiilor transfrontaliere vizâ</w:t>
      </w:r>
      <w:r w:rsidR="002F5E5B" w:rsidRPr="002F5E5B">
        <w:rPr>
          <w:rFonts w:eastAsia="Times New Roman"/>
          <w:szCs w:val="24"/>
          <w:lang w:val="fr-FR"/>
        </w:rPr>
        <w:t>nd infrastruc</w:t>
      </w:r>
      <w:r>
        <w:rPr>
          <w:rFonts w:eastAsia="Times New Roman"/>
          <w:szCs w:val="24"/>
          <w:lang w:val="fr-FR"/>
        </w:rPr>
        <w:t>tura verde (ex.: canopeea urbană</w:t>
      </w:r>
      <w:r w:rsidR="002F5E5B" w:rsidRPr="002F5E5B">
        <w:rPr>
          <w:rFonts w:eastAsia="Times New Roman"/>
          <w:szCs w:val="24"/>
          <w:lang w:val="fr-FR"/>
        </w:rPr>
        <w:t xml:space="preserve">, coridoare de conectare a habitatelor, etc.) </w:t>
      </w:r>
    </w:p>
    <w:p w:rsidR="002F5E5B" w:rsidRPr="006F7519" w:rsidRDefault="002F5E5B" w:rsidP="00EC1DA9">
      <w:pPr>
        <w:numPr>
          <w:ilvl w:val="0"/>
          <w:numId w:val="11"/>
        </w:numPr>
        <w:spacing w:before="0" w:after="200" w:line="276" w:lineRule="auto"/>
        <w:contextualSpacing/>
        <w:rPr>
          <w:rFonts w:eastAsia="Times New Roman"/>
          <w:szCs w:val="24"/>
          <w:lang w:val="it-IT"/>
        </w:rPr>
      </w:pPr>
      <w:r w:rsidRPr="006F7519">
        <w:rPr>
          <w:rFonts w:eastAsia="Times New Roman"/>
          <w:szCs w:val="24"/>
          <w:lang w:val="it-IT"/>
        </w:rPr>
        <w:lastRenderedPageBreak/>
        <w:t>Protejarea/conservarea/mo</w:t>
      </w:r>
      <w:r w:rsidR="00A01B65" w:rsidRPr="006F7519">
        <w:rPr>
          <w:rFonts w:eastAsia="Times New Roman"/>
          <w:szCs w:val="24"/>
          <w:lang w:val="it-IT"/>
        </w:rPr>
        <w:t>nitorizarea ecosistemelor, în special a celor aflate î</w:t>
      </w:r>
      <w:r w:rsidRPr="006F7519">
        <w:rPr>
          <w:rFonts w:eastAsia="Times New Roman"/>
          <w:szCs w:val="24"/>
          <w:lang w:val="it-IT"/>
        </w:rPr>
        <w:t>n s</w:t>
      </w:r>
      <w:r w:rsidR="00A01B65" w:rsidRPr="006F7519">
        <w:rPr>
          <w:rFonts w:eastAsia="Times New Roman"/>
          <w:szCs w:val="24"/>
          <w:lang w:val="it-IT"/>
        </w:rPr>
        <w:t>iturile NATURA 2000 prin achiziţ</w:t>
      </w:r>
      <w:r w:rsidRPr="006F7519">
        <w:rPr>
          <w:rFonts w:eastAsia="Times New Roman"/>
          <w:szCs w:val="24"/>
          <w:lang w:val="it-IT"/>
        </w:rPr>
        <w:t>ia echipamentelor necesare.</w:t>
      </w:r>
    </w:p>
    <w:p w:rsidR="002F5E5B" w:rsidRPr="006F7519" w:rsidRDefault="00A01B65" w:rsidP="00EC1DA9">
      <w:pPr>
        <w:numPr>
          <w:ilvl w:val="0"/>
          <w:numId w:val="11"/>
        </w:numPr>
        <w:spacing w:before="0" w:after="200" w:line="276" w:lineRule="auto"/>
        <w:contextualSpacing/>
        <w:rPr>
          <w:rFonts w:eastAsia="Times New Roman"/>
          <w:szCs w:val="24"/>
          <w:lang w:val="it-IT"/>
        </w:rPr>
      </w:pPr>
      <w:r w:rsidRPr="006F7519">
        <w:rPr>
          <w:rFonts w:eastAsia="Times New Roman"/>
          <w:szCs w:val="24"/>
          <w:lang w:val="it-IT"/>
        </w:rPr>
        <w:t>Crearea/î</w:t>
      </w:r>
      <w:r w:rsidR="002F5E5B" w:rsidRPr="006F7519">
        <w:rPr>
          <w:rFonts w:eastAsia="Times New Roman"/>
          <w:szCs w:val="24"/>
          <w:lang w:val="it-IT"/>
        </w:rPr>
        <w:t>ntarirea infrastructurilor coordonate transfrontalier pentru prot</w:t>
      </w:r>
      <w:r w:rsidRPr="006F7519">
        <w:rPr>
          <w:rFonts w:eastAsia="Times New Roman"/>
          <w:szCs w:val="24"/>
          <w:lang w:val="it-IT"/>
        </w:rPr>
        <w:t>ejarea/reabilitarea biodiversităţ</w:t>
      </w:r>
      <w:r w:rsidR="002F5E5B" w:rsidRPr="006F7519">
        <w:rPr>
          <w:rFonts w:eastAsia="Times New Roman"/>
          <w:szCs w:val="24"/>
          <w:lang w:val="it-IT"/>
        </w:rPr>
        <w:t xml:space="preserve">ii/solului/promovarea serviciilor </w:t>
      </w:r>
      <w:r w:rsidRPr="006F7519">
        <w:rPr>
          <w:rFonts w:eastAsia="Times New Roman"/>
          <w:szCs w:val="24"/>
          <w:lang w:val="it-IT"/>
        </w:rPr>
        <w:t>ecosistemice, inclusive prin reţ</w:t>
      </w:r>
      <w:r w:rsidR="002F5E5B" w:rsidRPr="006F7519">
        <w:rPr>
          <w:rFonts w:eastAsia="Times New Roman"/>
          <w:szCs w:val="24"/>
          <w:lang w:val="it-IT"/>
        </w:rPr>
        <w:t>eaua NATURA 2000</w:t>
      </w:r>
    </w:p>
    <w:p w:rsidR="00E97335" w:rsidRPr="006F7519" w:rsidRDefault="00E97335" w:rsidP="00E97335">
      <w:pPr>
        <w:spacing w:before="0" w:after="200" w:line="276" w:lineRule="auto"/>
        <w:ind w:left="720"/>
        <w:contextualSpacing/>
        <w:rPr>
          <w:rFonts w:eastAsia="Times New Roman"/>
          <w:szCs w:val="24"/>
          <w:lang w:val="it-IT"/>
        </w:rPr>
      </w:pPr>
    </w:p>
    <w:p w:rsidR="001331F5" w:rsidRPr="006F7519" w:rsidRDefault="00181EB6" w:rsidP="00467E0E">
      <w:pPr>
        <w:rPr>
          <w:highlight w:val="yellow"/>
          <w:lang w:val="it-IT"/>
        </w:rPr>
      </w:pPr>
      <w:r w:rsidRPr="00F2516F">
        <w:rPr>
          <w:lang w:val="ro-RO"/>
        </w:rPr>
        <w:t>Principalul rezultat așteptat în cadrul obiectivului specific 2.2 este sprijinirea protejării</w:t>
      </w:r>
      <w:r>
        <w:rPr>
          <w:lang w:val="ro-RO"/>
        </w:rPr>
        <w:t xml:space="preserve"> comune</w:t>
      </w:r>
      <w:r w:rsidRPr="00F2516F">
        <w:rPr>
          <w:lang w:val="ro-RO"/>
        </w:rPr>
        <w:t xml:space="preserve"> a ecosistemelor și dezvoltarea coridorului de infrastructură verde într-o regiune care include ecosisteme europene importante, precum Dunărea și Marea Neagră, în principal prin îmbunătățirea și gestionarea comună a rețelei extinse (și legate peste frontieră) NATURA 2000 în </w:t>
      </w:r>
      <w:r>
        <w:rPr>
          <w:lang w:val="ro-RO"/>
        </w:rPr>
        <w:t>zona</w:t>
      </w:r>
      <w:r w:rsidRPr="00F2516F">
        <w:rPr>
          <w:lang w:val="ro-RO"/>
        </w:rPr>
        <w:t xml:space="preserve"> transfrontalieră.</w:t>
      </w:r>
    </w:p>
    <w:p w:rsidR="00181EB6" w:rsidRPr="00F2516F" w:rsidRDefault="00181EB6" w:rsidP="00181EB6">
      <w:pPr>
        <w:rPr>
          <w:rFonts w:eastAsia="Times New Roman"/>
          <w:b/>
          <w:szCs w:val="24"/>
          <w:lang w:val="ro-RO" w:eastAsia="fr-BE"/>
        </w:rPr>
      </w:pPr>
      <w:bookmarkStart w:id="78" w:name="_Toc389657975"/>
      <w:r w:rsidRPr="00F2516F">
        <w:rPr>
          <w:rFonts w:eastAsia="Times New Roman"/>
          <w:b/>
          <w:szCs w:val="24"/>
          <w:lang w:val="ro-RO" w:eastAsia="fr-BE"/>
        </w:rPr>
        <w:t xml:space="preserve">Tipuri de </w:t>
      </w:r>
      <w:r>
        <w:rPr>
          <w:rFonts w:eastAsia="Times New Roman"/>
          <w:b/>
          <w:szCs w:val="24"/>
          <w:lang w:val="ro-RO" w:eastAsia="fr-BE"/>
        </w:rPr>
        <w:t>realizări</w:t>
      </w:r>
    </w:p>
    <w:p w:rsidR="00181EB6" w:rsidRPr="00F2516F" w:rsidRDefault="00181EB6" w:rsidP="00181EB6">
      <w:pPr>
        <w:rPr>
          <w:rFonts w:eastAsia="Times New Roman"/>
          <w:szCs w:val="24"/>
          <w:lang w:val="ro-RO" w:eastAsia="fr-BE"/>
        </w:rPr>
      </w:pPr>
      <w:r w:rsidRPr="00F2516F">
        <w:rPr>
          <w:rFonts w:eastAsia="Times New Roman"/>
          <w:szCs w:val="24"/>
          <w:lang w:val="ro-RO" w:eastAsia="fr-BE"/>
        </w:rPr>
        <w:t>În cadrul acțiunilor sprijinite, tipuri diferite de re</w:t>
      </w:r>
      <w:r>
        <w:rPr>
          <w:rFonts w:eastAsia="Times New Roman"/>
          <w:szCs w:val="24"/>
          <w:lang w:val="ro-RO" w:eastAsia="fr-BE"/>
        </w:rPr>
        <w:t>alizări</w:t>
      </w:r>
      <w:r w:rsidRPr="00F2516F">
        <w:rPr>
          <w:rFonts w:eastAsia="Times New Roman"/>
          <w:szCs w:val="24"/>
          <w:lang w:val="ro-RO" w:eastAsia="fr-BE"/>
        </w:rPr>
        <w:t xml:space="preserve"> pot fi obținute. Importanța este acordată strategiilor comune, planurilor de gestionare comună a siturilor NATURA 2000 și măsurilor comune de sprijinire a infrastructurii verzi la nivel transfrontalier. Tipurile de </w:t>
      </w:r>
      <w:r>
        <w:rPr>
          <w:rFonts w:eastAsia="Times New Roman"/>
          <w:szCs w:val="24"/>
          <w:lang w:val="ro-RO" w:eastAsia="fr-BE"/>
        </w:rPr>
        <w:t>realizări</w:t>
      </w:r>
      <w:r w:rsidRPr="00F2516F">
        <w:rPr>
          <w:rFonts w:eastAsia="Times New Roman"/>
          <w:szCs w:val="24"/>
          <w:lang w:val="ro-RO" w:eastAsia="fr-BE"/>
        </w:rPr>
        <w:t xml:space="preserve"> (fără a fi limitate la acestă listă) pot fi:</w:t>
      </w:r>
    </w:p>
    <w:p w:rsidR="00181EB6" w:rsidRPr="00F2516F" w:rsidRDefault="00181EB6" w:rsidP="00EC1DA9">
      <w:pPr>
        <w:pStyle w:val="ListParagraph"/>
        <w:numPr>
          <w:ilvl w:val="0"/>
          <w:numId w:val="22"/>
        </w:numPr>
        <w:rPr>
          <w:szCs w:val="24"/>
          <w:lang w:val="ro-RO" w:eastAsia="fr-BE"/>
        </w:rPr>
      </w:pPr>
      <w:r w:rsidRPr="00F2516F">
        <w:rPr>
          <w:szCs w:val="24"/>
          <w:lang w:val="ro-RO" w:eastAsia="fr-BE"/>
        </w:rPr>
        <w:t>Hărți și planuri spațiale, schimburi de informații, transfer de cunoștințe pentru a proteja/conserva ecosistemele,</w:t>
      </w:r>
    </w:p>
    <w:p w:rsidR="00181EB6" w:rsidRPr="00F2516F" w:rsidRDefault="00181EB6" w:rsidP="00EC1DA9">
      <w:pPr>
        <w:pStyle w:val="ListParagraph"/>
        <w:numPr>
          <w:ilvl w:val="0"/>
          <w:numId w:val="22"/>
        </w:numPr>
        <w:rPr>
          <w:szCs w:val="24"/>
          <w:lang w:val="ro-RO" w:eastAsia="fr-BE"/>
        </w:rPr>
      </w:pPr>
      <w:r w:rsidRPr="00F2516F">
        <w:rPr>
          <w:szCs w:val="24"/>
          <w:lang w:val="ro-RO" w:eastAsia="fr-BE"/>
        </w:rPr>
        <w:t>Campanii de creștere a conștientizării, cercetări, studii, strategii și planuri de management comune pentru protejarea siturilor NATURA 2000</w:t>
      </w:r>
      <w:r>
        <w:rPr>
          <w:szCs w:val="24"/>
          <w:lang w:val="ro-RO" w:eastAsia="fr-BE"/>
        </w:rPr>
        <w:t>,</w:t>
      </w:r>
    </w:p>
    <w:p w:rsidR="00181EB6" w:rsidRPr="00F2516F" w:rsidRDefault="00181EB6" w:rsidP="00EC1DA9">
      <w:pPr>
        <w:pStyle w:val="ListParagraph"/>
        <w:numPr>
          <w:ilvl w:val="0"/>
          <w:numId w:val="22"/>
        </w:numPr>
        <w:rPr>
          <w:szCs w:val="24"/>
          <w:lang w:val="ro-RO" w:eastAsia="fr-BE"/>
        </w:rPr>
      </w:pPr>
      <w:r w:rsidRPr="00F2516F">
        <w:rPr>
          <w:szCs w:val="24"/>
          <w:lang w:val="ro-RO" w:eastAsia="fr-BE"/>
        </w:rPr>
        <w:t>Infrastructură transfrontalieră coordonată și infrastructură verde pentru protejarea biodiversității și siturilor NATURA 2000</w:t>
      </w:r>
      <w:r>
        <w:rPr>
          <w:szCs w:val="24"/>
          <w:lang w:val="ro-RO" w:eastAsia="fr-BE"/>
        </w:rPr>
        <w:t>,</w:t>
      </w:r>
    </w:p>
    <w:p w:rsidR="00181EB6" w:rsidRPr="00F2516F" w:rsidRDefault="00181EB6" w:rsidP="00EC1DA9">
      <w:pPr>
        <w:pStyle w:val="ListParagraph"/>
        <w:numPr>
          <w:ilvl w:val="0"/>
          <w:numId w:val="22"/>
        </w:numPr>
        <w:rPr>
          <w:szCs w:val="24"/>
          <w:lang w:val="ro-RO" w:eastAsia="fr-BE"/>
        </w:rPr>
      </w:pPr>
      <w:r w:rsidRPr="00F2516F">
        <w:rPr>
          <w:szCs w:val="24"/>
          <w:lang w:val="ro-RO" w:eastAsia="fr-BE"/>
        </w:rPr>
        <w:t>Echipament pentru protejarea biodiversității și siturilor NATURA 2000.</w:t>
      </w:r>
    </w:p>
    <w:p w:rsidR="00181EB6" w:rsidRPr="00F2516F" w:rsidRDefault="00181EB6" w:rsidP="00181EB6">
      <w:pPr>
        <w:rPr>
          <w:b/>
          <w:szCs w:val="24"/>
          <w:lang w:val="ro-RO" w:eastAsia="fr-BE"/>
        </w:rPr>
      </w:pPr>
      <w:r w:rsidRPr="00F2516F">
        <w:rPr>
          <w:b/>
          <w:szCs w:val="24"/>
          <w:lang w:val="ro-RO" w:eastAsia="fr-BE"/>
        </w:rPr>
        <w:t>Principalele grupuri țintă și tipurile de beneficiari</w:t>
      </w:r>
    </w:p>
    <w:p w:rsidR="00181EB6" w:rsidRPr="00F2516F" w:rsidRDefault="00181EB6" w:rsidP="00181EB6">
      <w:pPr>
        <w:rPr>
          <w:lang w:val="ro-RO"/>
        </w:rPr>
      </w:pPr>
      <w:r w:rsidRPr="007047DA">
        <w:rPr>
          <w:b/>
          <w:lang w:val="ro-RO"/>
        </w:rPr>
        <w:t>Grupurile țintă</w:t>
      </w:r>
      <w:r w:rsidRPr="00F2516F">
        <w:rPr>
          <w:lang w:val="ro-RO"/>
        </w:rPr>
        <w:t xml:space="preserve"> reprezintă practic toți actorii implicați în protejarea mediului transfrontalier și în promovarea serviciilor ecosistemice, de la administrați</w:t>
      </w:r>
      <w:r>
        <w:rPr>
          <w:lang w:val="ro-RO"/>
        </w:rPr>
        <w:t>ile publice la companiile privat</w:t>
      </w:r>
      <w:r w:rsidRPr="00F2516F">
        <w:rPr>
          <w:lang w:val="ro-RO"/>
        </w:rPr>
        <w:t>e înregistrate sau care își au activitatea în aceste zone</w:t>
      </w:r>
      <w:r>
        <w:rPr>
          <w:lang w:val="ro-RO"/>
        </w:rPr>
        <w:t>,</w:t>
      </w:r>
      <w:r w:rsidRPr="00F2516F">
        <w:rPr>
          <w:lang w:val="ro-RO"/>
        </w:rPr>
        <w:t xml:space="preserve"> de la ONG-uri la rezidenți sau vizitatori (turiști). </w:t>
      </w:r>
    </w:p>
    <w:p w:rsidR="00181EB6" w:rsidRPr="00F2516F" w:rsidRDefault="00181EB6" w:rsidP="00181EB6">
      <w:pPr>
        <w:rPr>
          <w:lang w:val="ro-RO"/>
        </w:rPr>
      </w:pPr>
      <w:r w:rsidRPr="007047DA">
        <w:rPr>
          <w:b/>
          <w:lang w:val="ro-RO"/>
        </w:rPr>
        <w:t>Beneficiarii</w:t>
      </w:r>
      <w:r w:rsidRPr="00F2516F">
        <w:rPr>
          <w:lang w:val="ro-RO"/>
        </w:rPr>
        <w:t xml:space="preserve"> acțiunilor sprijinite vor fi toate organizațiile publice sau non-profit care pot contribui în mod eficient la îmbunătățirea gestionării și protejării zonelor naturale transfrontaliere, în special a celor NATURA 2000. Acestea includ agenții sau instituții ce se ocupă cu protejarea naturii la nivel național sau județean sau de district, ONG-uri implica</w:t>
      </w:r>
      <w:r>
        <w:rPr>
          <w:lang w:val="ro-RO"/>
        </w:rPr>
        <w:t>te</w:t>
      </w:r>
      <w:r w:rsidRPr="00F2516F">
        <w:rPr>
          <w:lang w:val="ro-RO"/>
        </w:rPr>
        <w:t xml:space="preserve"> în protejarea naturii, universității și centre de cercetare și dezvoltare implicate în cercetare privind mediul și/sau inovați</w:t>
      </w:r>
      <w:r>
        <w:rPr>
          <w:lang w:val="ro-RO"/>
        </w:rPr>
        <w:t>a</w:t>
      </w:r>
      <w:r w:rsidRPr="00F2516F">
        <w:rPr>
          <w:lang w:val="ro-RO"/>
        </w:rPr>
        <w:t xml:space="preserve"> verde, etc. </w:t>
      </w:r>
    </w:p>
    <w:p w:rsidR="00181EB6" w:rsidRPr="00F2516F" w:rsidRDefault="00181EB6" w:rsidP="00181EB6">
      <w:pPr>
        <w:rPr>
          <w:b/>
          <w:lang w:val="ro-RO"/>
        </w:rPr>
      </w:pPr>
      <w:r w:rsidRPr="00F2516F">
        <w:rPr>
          <w:b/>
          <w:lang w:val="ro-RO"/>
        </w:rPr>
        <w:t>Regiunile specifice vizate</w:t>
      </w:r>
    </w:p>
    <w:p w:rsidR="00181EB6" w:rsidRPr="00F2516F" w:rsidRDefault="00181EB6" w:rsidP="00181EB6">
      <w:pPr>
        <w:rPr>
          <w:lang w:val="ro-RO"/>
        </w:rPr>
      </w:pPr>
      <w:r w:rsidRPr="00F2516F">
        <w:rPr>
          <w:lang w:val="ro-RO"/>
        </w:rPr>
        <w:t>Deși toată</w:t>
      </w:r>
      <w:r>
        <w:rPr>
          <w:lang w:val="ro-RO"/>
        </w:rPr>
        <w:t xml:space="preserve"> zona</w:t>
      </w:r>
      <w:r w:rsidRPr="00F2516F">
        <w:rPr>
          <w:lang w:val="ro-RO"/>
        </w:rPr>
        <w:t xml:space="preserve"> transfrontalieră este vizată de acest obiectiv specific, de o importanță specială sunt siturile NATURA 2000 incluse în zona transfrontalieră România – Bulgaria și zonele naturale de risc particular datorat unor presiuni mai p</w:t>
      </w:r>
      <w:r>
        <w:rPr>
          <w:lang w:val="ro-RO"/>
        </w:rPr>
        <w:t>uternice ale activității umane d</w:t>
      </w:r>
      <w:r w:rsidRPr="00F2516F">
        <w:rPr>
          <w:lang w:val="ro-RO"/>
        </w:rPr>
        <w:t>ecât în zonele naturale strict protejate.</w:t>
      </w:r>
    </w:p>
    <w:p w:rsidR="001331F5" w:rsidRPr="006F7519" w:rsidRDefault="001331F5" w:rsidP="00311248">
      <w:pPr>
        <w:pStyle w:val="Heading2"/>
        <w:rPr>
          <w:highlight w:val="red"/>
          <w:lang w:val="it-IT"/>
        </w:rPr>
      </w:pPr>
      <w:bookmarkStart w:id="79" w:name="_Toc394837802"/>
      <w:r w:rsidRPr="006F7519">
        <w:rPr>
          <w:lang w:val="it-IT"/>
        </w:rPr>
        <w:t xml:space="preserve">2.A.6.2. </w:t>
      </w:r>
      <w:r w:rsidR="00181EB6" w:rsidRPr="006F7519">
        <w:rPr>
          <w:lang w:val="it-IT"/>
        </w:rPr>
        <w:t>Principiile directoare pentru selectarea operațiunilor</w:t>
      </w:r>
      <w:bookmarkEnd w:id="78"/>
      <w:bookmarkEnd w:id="79"/>
    </w:p>
    <w:p w:rsidR="001331F5" w:rsidRPr="006F7519" w:rsidRDefault="00181EB6" w:rsidP="001331F5">
      <w:pPr>
        <w:rPr>
          <w:i/>
          <w:highlight w:val="red"/>
          <w:lang w:val="it-IT"/>
        </w:rPr>
      </w:pPr>
      <w:r w:rsidRPr="006F7519">
        <w:rPr>
          <w:i/>
          <w:lang w:val="it-IT"/>
        </w:rPr>
        <w:t>Prioritate de investiții</w:t>
      </w:r>
      <w:r w:rsidR="001331F5" w:rsidRPr="006F7519">
        <w:rPr>
          <w:i/>
          <w:lang w:val="it-IT"/>
        </w:rPr>
        <w:t xml:space="preserve"> 6.d</w:t>
      </w:r>
    </w:p>
    <w:p w:rsidR="009A5EB1" w:rsidRPr="00F2516F" w:rsidRDefault="009A5EB1" w:rsidP="009A5EB1">
      <w:pPr>
        <w:rPr>
          <w:szCs w:val="24"/>
          <w:lang w:val="ro-RO"/>
        </w:rPr>
      </w:pPr>
      <w:r w:rsidRPr="00F2516F">
        <w:rPr>
          <w:szCs w:val="24"/>
          <w:lang w:val="ro-RO"/>
        </w:rPr>
        <w:lastRenderedPageBreak/>
        <w:t>Selectarea operațiunilor va fi realizată într-o manieră similară pentru toate axele prioritare. O atenție specială va fi acordată asigurării că investițiile sprijinite sub acest obiectiv specific nu se vor suprapune cu orice alte activități/</w:t>
      </w:r>
      <w:r>
        <w:rPr>
          <w:szCs w:val="24"/>
          <w:lang w:val="ro-RO"/>
        </w:rPr>
        <w:t>realizări</w:t>
      </w:r>
      <w:r w:rsidRPr="00F2516F">
        <w:rPr>
          <w:szCs w:val="24"/>
          <w:lang w:val="ro-RO"/>
        </w:rPr>
        <w:t xml:space="preserve"> finanțate prin alte instrumente de intervenție. </w:t>
      </w:r>
    </w:p>
    <w:p w:rsidR="009A5EB1" w:rsidRPr="00F2516F" w:rsidRDefault="009A5EB1" w:rsidP="009A5EB1">
      <w:pPr>
        <w:rPr>
          <w:szCs w:val="24"/>
          <w:lang w:val="ro-RO"/>
        </w:rPr>
      </w:pPr>
      <w:r w:rsidRPr="00F2516F">
        <w:rPr>
          <w:szCs w:val="24"/>
          <w:lang w:val="ro-RO"/>
        </w:rPr>
        <w:t xml:space="preserve">Evaluarea va avea două faze. O fază va privi criteriile administrative și de eligibilitate, realizată într-un mod strict de către Secretariatul Comun (SC). A doua fază va privi evaluarea tehnică, realizată, dacă este necesar, cu ajutorul experților externi contractați. </w:t>
      </w:r>
    </w:p>
    <w:p w:rsidR="009A5EB1" w:rsidRPr="00F2516F" w:rsidRDefault="009A5EB1" w:rsidP="009A5EB1">
      <w:pPr>
        <w:rPr>
          <w:szCs w:val="24"/>
          <w:lang w:val="ro-RO"/>
        </w:rPr>
      </w:pPr>
      <w:r w:rsidRPr="00F2516F">
        <w:rPr>
          <w:szCs w:val="24"/>
          <w:lang w:val="ro-RO"/>
        </w:rPr>
        <w:t xml:space="preserve">Criteriile de eligibilitate vor verifica atât eligibilitatea operațiunilor, cât și a beneficiarilor și a cheltuielilor. </w:t>
      </w:r>
    </w:p>
    <w:p w:rsidR="009A5EB1" w:rsidRPr="00F2516F" w:rsidRDefault="009A5EB1" w:rsidP="009A5EB1">
      <w:pPr>
        <w:rPr>
          <w:rFonts w:eastAsia="Times New Roman"/>
          <w:szCs w:val="24"/>
          <w:lang w:val="ro-RO" w:eastAsia="fr-BE"/>
        </w:rPr>
      </w:pPr>
      <w:r w:rsidRPr="00F2516F">
        <w:rPr>
          <w:rFonts w:eastAsia="Times New Roman"/>
          <w:szCs w:val="24"/>
          <w:lang w:val="ro-RO" w:eastAsia="fr-BE"/>
        </w:rPr>
        <w:t xml:space="preserve">Operațiunile sunt eligibile dacă sunt cuprinse în obiectivele specifice ale Programului și dacă ele contribuie la măcar unul din rezultatele programului. </w:t>
      </w:r>
    </w:p>
    <w:p w:rsidR="009A5EB1" w:rsidRPr="00F2516F" w:rsidRDefault="009A5EB1" w:rsidP="009A5EB1">
      <w:pPr>
        <w:rPr>
          <w:rFonts w:eastAsia="Times New Roman"/>
          <w:szCs w:val="24"/>
          <w:lang w:val="ro-RO" w:eastAsia="fr-BE"/>
        </w:rPr>
      </w:pPr>
      <w:r w:rsidRPr="00F2516F">
        <w:rPr>
          <w:rFonts w:eastAsia="Times New Roman"/>
          <w:szCs w:val="24"/>
          <w:lang w:val="ro-RO" w:eastAsia="fr-BE"/>
        </w:rPr>
        <w:t xml:space="preserve">În cazul în care o operațiune nu contribuie la obiectivul specific și la unul din rezultatele programului, ea va fi respinsă în prima fază (evaluarea administrativă și de eligibilitate). Gradul în care o operațiune contribuie la obiectivele specifice și </w:t>
      </w:r>
      <w:r>
        <w:rPr>
          <w:rFonts w:eastAsia="Times New Roman"/>
          <w:szCs w:val="24"/>
          <w:lang w:val="ro-RO" w:eastAsia="fr-BE"/>
        </w:rPr>
        <w:t xml:space="preserve">la </w:t>
      </w:r>
      <w:r w:rsidRPr="00F2516F">
        <w:rPr>
          <w:rFonts w:eastAsia="Times New Roman"/>
          <w:szCs w:val="24"/>
          <w:lang w:val="ro-RO" w:eastAsia="fr-BE"/>
        </w:rPr>
        <w:t xml:space="preserve">rezultate va fi punctată în cadrul evaluării tehnice. </w:t>
      </w:r>
    </w:p>
    <w:p w:rsidR="009A5EB1" w:rsidRPr="00F2516F" w:rsidRDefault="009A5EB1" w:rsidP="009A5EB1">
      <w:pPr>
        <w:rPr>
          <w:rFonts w:eastAsia="Times New Roman"/>
          <w:szCs w:val="24"/>
          <w:lang w:val="ro-RO" w:eastAsia="fr-BE"/>
        </w:rPr>
      </w:pPr>
      <w:r w:rsidRPr="00F2516F">
        <w:rPr>
          <w:rFonts w:eastAsia="Times New Roman"/>
          <w:szCs w:val="24"/>
          <w:lang w:val="ro-RO" w:eastAsia="fr-BE"/>
        </w:rPr>
        <w:t>Beneficiarii eligibil</w:t>
      </w:r>
      <w:r>
        <w:rPr>
          <w:rFonts w:eastAsia="Times New Roman"/>
          <w:szCs w:val="24"/>
          <w:lang w:val="ro-RO" w:eastAsia="fr-BE"/>
        </w:rPr>
        <w:t>i</w:t>
      </w:r>
      <w:r w:rsidRPr="00F2516F">
        <w:rPr>
          <w:rFonts w:eastAsia="Times New Roman"/>
          <w:szCs w:val="24"/>
          <w:lang w:val="ro-RO" w:eastAsia="fr-BE"/>
        </w:rPr>
        <w:t xml:space="preserve"> sunt instituțiile publice și private responsabile pentru inițierea sau inițierea și implementarea operațiunilor ce respectă condițiile specifice din cererile de propuneri. </w:t>
      </w:r>
    </w:p>
    <w:p w:rsidR="009A5EB1" w:rsidRPr="00F2516F" w:rsidRDefault="009A5EB1" w:rsidP="009A5EB1">
      <w:pPr>
        <w:rPr>
          <w:rFonts w:eastAsia="Times New Roman"/>
          <w:szCs w:val="24"/>
          <w:lang w:val="ro-RO" w:eastAsia="fr-BE"/>
        </w:rPr>
      </w:pPr>
      <w:r w:rsidRPr="00F2516F">
        <w:rPr>
          <w:rFonts w:eastAsia="Times New Roman"/>
          <w:szCs w:val="24"/>
          <w:lang w:val="ro-RO" w:eastAsia="fr-BE"/>
        </w:rPr>
        <w:t xml:space="preserve">În ceea ce privește cheltuielile eligibile, lista va fi aprobată de către Comitetul de Monitorizare. </w:t>
      </w:r>
      <w:r w:rsidRPr="00AB6AD7">
        <w:rPr>
          <w:rFonts w:eastAsia="Times New Roman"/>
          <w:szCs w:val="24"/>
          <w:lang w:val="ro-RO" w:eastAsia="fr-BE"/>
        </w:rPr>
        <w:t>Niciun alt act legal național nu este necesar</w:t>
      </w:r>
      <w:r w:rsidRPr="00F2516F">
        <w:rPr>
          <w:rFonts w:eastAsia="Times New Roman"/>
          <w:color w:val="FF0000"/>
          <w:szCs w:val="24"/>
          <w:lang w:val="ro-RO" w:eastAsia="fr-BE"/>
        </w:rPr>
        <w:t xml:space="preserve">. </w:t>
      </w:r>
      <w:r w:rsidRPr="00F2516F">
        <w:rPr>
          <w:rFonts w:eastAsia="Times New Roman"/>
          <w:szCs w:val="24"/>
          <w:lang w:val="ro-RO" w:eastAsia="fr-BE"/>
        </w:rPr>
        <w:t>În cadrul fazei administrative va fi verificată doar conformitatea tipurilor de cheltuieli.</w:t>
      </w:r>
    </w:p>
    <w:p w:rsidR="009A5EB1" w:rsidRPr="00F2516F" w:rsidRDefault="009A5EB1" w:rsidP="009A5EB1">
      <w:pPr>
        <w:rPr>
          <w:rFonts w:eastAsia="Times New Roman"/>
          <w:szCs w:val="24"/>
          <w:lang w:val="ro-RO" w:eastAsia="fr-BE"/>
        </w:rPr>
      </w:pPr>
      <w:r w:rsidRPr="00F2516F">
        <w:rPr>
          <w:rFonts w:eastAsia="Times New Roman"/>
          <w:szCs w:val="24"/>
          <w:lang w:val="ro-RO" w:eastAsia="fr-BE"/>
        </w:rPr>
        <w:t xml:space="preserve">După ce SC </w:t>
      </w:r>
      <w:r>
        <w:rPr>
          <w:rFonts w:eastAsia="Times New Roman"/>
          <w:szCs w:val="24"/>
          <w:lang w:val="ro-RO" w:eastAsia="fr-BE"/>
        </w:rPr>
        <w:t>evaluează</w:t>
      </w:r>
      <w:r w:rsidRPr="00F2516F">
        <w:rPr>
          <w:rFonts w:eastAsia="Times New Roman"/>
          <w:szCs w:val="24"/>
          <w:lang w:val="ro-RO" w:eastAsia="fr-BE"/>
        </w:rPr>
        <w:t xml:space="preserve"> proiectele, lista va fi înaintată Comitetului de Monitorizare pentru decizia privind selectarea.</w:t>
      </w:r>
    </w:p>
    <w:p w:rsidR="009A5EB1" w:rsidRPr="009A5EB1" w:rsidRDefault="009A5EB1" w:rsidP="009A5EB1">
      <w:pPr>
        <w:pStyle w:val="Heading2"/>
        <w:rPr>
          <w:lang w:val="ro-RO"/>
        </w:rPr>
      </w:pPr>
      <w:bookmarkStart w:id="80" w:name="_Toc394837803"/>
      <w:r w:rsidRPr="009A5EB1">
        <w:rPr>
          <w:lang w:val="ro-RO"/>
        </w:rPr>
        <w:t>2.A.6.3. Utilizarea planificată a instrumentelor financiare (după caz)</w:t>
      </w:r>
      <w:bookmarkEnd w:id="80"/>
    </w:p>
    <w:p w:rsidR="009A5EB1" w:rsidRPr="009A5EB1" w:rsidRDefault="009A5EB1" w:rsidP="009A5EB1">
      <w:pPr>
        <w:rPr>
          <w:lang w:val="ro-RO"/>
        </w:rPr>
      </w:pPr>
      <w:r w:rsidRPr="009A5EB1">
        <w:rPr>
          <w:lang w:val="ro-RO"/>
        </w:rPr>
        <w:t>Nu se aplică</w:t>
      </w:r>
    </w:p>
    <w:p w:rsidR="009A5EB1" w:rsidRPr="009A5EB1" w:rsidRDefault="009A5EB1" w:rsidP="009A5EB1">
      <w:pPr>
        <w:pStyle w:val="Heading2"/>
        <w:rPr>
          <w:lang w:val="ro-RO"/>
        </w:rPr>
      </w:pPr>
      <w:bookmarkStart w:id="81" w:name="_Toc394837804"/>
      <w:r w:rsidRPr="009A5EB1">
        <w:rPr>
          <w:lang w:val="ro-RO"/>
        </w:rPr>
        <w:t>2.A.6.4. Utilizarea planificată a proiectelor majore (după caz)</w:t>
      </w:r>
      <w:bookmarkEnd w:id="81"/>
    </w:p>
    <w:p w:rsidR="009A5EB1" w:rsidRPr="009A5EB1" w:rsidRDefault="009A5EB1" w:rsidP="009A5EB1">
      <w:pPr>
        <w:rPr>
          <w:lang w:val="ro-RO"/>
        </w:rPr>
      </w:pPr>
      <w:r w:rsidRPr="009A5EB1">
        <w:rPr>
          <w:lang w:val="ro-RO"/>
        </w:rPr>
        <w:t>Nu se aplică</w:t>
      </w:r>
    </w:p>
    <w:p w:rsidR="009A5EB1" w:rsidRPr="009A5EB1" w:rsidRDefault="009A5EB1" w:rsidP="009A5EB1">
      <w:pPr>
        <w:pStyle w:val="Heading2"/>
        <w:rPr>
          <w:lang w:val="fr-FR"/>
        </w:rPr>
      </w:pPr>
      <w:bookmarkStart w:id="82" w:name="_Toc394837805"/>
      <w:proofErr w:type="gramStart"/>
      <w:r w:rsidRPr="009A5EB1">
        <w:rPr>
          <w:lang w:val="fr-FR"/>
        </w:rPr>
        <w:t>2.A.6.5</w:t>
      </w:r>
      <w:proofErr w:type="gramEnd"/>
      <w:r w:rsidRPr="009A5EB1">
        <w:rPr>
          <w:lang w:val="fr-FR"/>
        </w:rPr>
        <w:t>. Indicatori de realizare (pe prioritate de investiții)</w:t>
      </w:r>
      <w:bookmarkEnd w:id="82"/>
    </w:p>
    <w:p w:rsidR="001331F5" w:rsidRPr="009A5EB1" w:rsidRDefault="009A5EB1" w:rsidP="009A5EB1">
      <w:pPr>
        <w:pStyle w:val="Heading2"/>
        <w:rPr>
          <w:lang w:val="fr-FR"/>
        </w:rPr>
      </w:pPr>
      <w:bookmarkStart w:id="83" w:name="_Toc394837806"/>
      <w:r w:rsidRPr="009A5EB1">
        <w:rPr>
          <w:lang w:val="fr-FR"/>
        </w:rPr>
        <w:t>Tabelul 4: Indicatori de realizare comuni și specifici programului</w:t>
      </w:r>
      <w:bookmarkEnd w:id="83"/>
    </w:p>
    <w:tbl>
      <w:tblPr>
        <w:tblW w:w="551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3"/>
        <w:gridCol w:w="3708"/>
        <w:gridCol w:w="1393"/>
        <w:gridCol w:w="1162"/>
        <w:gridCol w:w="1518"/>
        <w:gridCol w:w="1510"/>
      </w:tblGrid>
      <w:tr w:rsidR="009A5EB1" w:rsidRPr="008C14D4" w:rsidTr="009A5EB1">
        <w:trPr>
          <w:trHeight w:val="706"/>
          <w:jc w:val="center"/>
        </w:trPr>
        <w:tc>
          <w:tcPr>
            <w:tcW w:w="465" w:type="pct"/>
            <w:tcBorders>
              <w:top w:val="single" w:sz="4" w:space="0" w:color="000000"/>
              <w:left w:val="single" w:sz="4" w:space="0" w:color="000000"/>
              <w:bottom w:val="single" w:sz="4" w:space="0" w:color="000000"/>
              <w:right w:val="single" w:sz="4" w:space="0" w:color="000000"/>
            </w:tcBorders>
            <w:vAlign w:val="center"/>
            <w:hideMark/>
          </w:tcPr>
          <w:p w:rsidR="009A5EB1" w:rsidRPr="008C14D4" w:rsidRDefault="009A5EB1" w:rsidP="009A5EB1">
            <w:pPr>
              <w:spacing w:before="0" w:after="0" w:line="276" w:lineRule="auto"/>
              <w:ind w:left="283" w:hanging="283"/>
              <w:jc w:val="left"/>
              <w:rPr>
                <w:rFonts w:eastAsia="Times New Roman"/>
                <w:b/>
                <w:sz w:val="20"/>
                <w:lang w:val="en-US"/>
              </w:rPr>
            </w:pPr>
            <w:r w:rsidRPr="008C14D4">
              <w:rPr>
                <w:rFonts w:eastAsia="Times New Roman"/>
                <w:b/>
                <w:sz w:val="20"/>
                <w:lang w:val="en-US"/>
              </w:rPr>
              <w:t>ID</w:t>
            </w:r>
          </w:p>
        </w:tc>
        <w:tc>
          <w:tcPr>
            <w:tcW w:w="1810" w:type="pct"/>
            <w:tcBorders>
              <w:top w:val="single" w:sz="4" w:space="0" w:color="000000"/>
              <w:left w:val="single" w:sz="4" w:space="0" w:color="000000"/>
              <w:bottom w:val="single" w:sz="4" w:space="0" w:color="000000"/>
              <w:right w:val="single" w:sz="4" w:space="0" w:color="000000"/>
            </w:tcBorders>
            <w:vAlign w:val="center"/>
            <w:hideMark/>
          </w:tcPr>
          <w:p w:rsidR="009A5EB1" w:rsidRPr="008C14D4" w:rsidRDefault="009A5EB1" w:rsidP="009A5EB1">
            <w:pPr>
              <w:spacing w:before="0" w:after="0" w:line="276" w:lineRule="auto"/>
              <w:ind w:left="283" w:hanging="283"/>
              <w:jc w:val="left"/>
              <w:rPr>
                <w:rFonts w:eastAsia="Times New Roman"/>
                <w:b/>
                <w:sz w:val="20"/>
                <w:lang w:val="en-US"/>
              </w:rPr>
            </w:pPr>
            <w:r w:rsidRPr="008C14D4">
              <w:rPr>
                <w:rFonts w:eastAsia="Times New Roman"/>
                <w:b/>
                <w:sz w:val="20"/>
                <w:lang w:val="en-US"/>
              </w:rPr>
              <w:t>Indicator (denumirea indicatorului)</w:t>
            </w:r>
          </w:p>
        </w:tc>
        <w:tc>
          <w:tcPr>
            <w:tcW w:w="680" w:type="pct"/>
            <w:tcBorders>
              <w:top w:val="single" w:sz="4" w:space="0" w:color="000000"/>
              <w:left w:val="single" w:sz="4" w:space="0" w:color="000000"/>
              <w:bottom w:val="single" w:sz="4" w:space="0" w:color="000000"/>
              <w:right w:val="single" w:sz="4" w:space="0" w:color="000000"/>
            </w:tcBorders>
            <w:vAlign w:val="center"/>
            <w:hideMark/>
          </w:tcPr>
          <w:p w:rsidR="009A5EB1" w:rsidRPr="008C14D4" w:rsidRDefault="009A5EB1" w:rsidP="009A5EB1">
            <w:pPr>
              <w:spacing w:before="0" w:after="0" w:line="276" w:lineRule="auto"/>
              <w:jc w:val="left"/>
              <w:rPr>
                <w:rFonts w:eastAsia="Times New Roman"/>
                <w:b/>
                <w:sz w:val="20"/>
                <w:lang w:val="en-US"/>
              </w:rPr>
            </w:pPr>
            <w:r w:rsidRPr="008C14D4">
              <w:rPr>
                <w:rFonts w:eastAsia="Times New Roman"/>
                <w:b/>
                <w:sz w:val="20"/>
                <w:lang w:val="en-US"/>
              </w:rPr>
              <w:t>Unitate de măsură</w:t>
            </w:r>
          </w:p>
        </w:tc>
        <w:tc>
          <w:tcPr>
            <w:tcW w:w="567" w:type="pct"/>
            <w:tcBorders>
              <w:top w:val="single" w:sz="4" w:space="0" w:color="000000"/>
              <w:left w:val="single" w:sz="4" w:space="0" w:color="000000"/>
              <w:bottom w:val="single" w:sz="4" w:space="0" w:color="000000"/>
              <w:right w:val="single" w:sz="4" w:space="0" w:color="000000"/>
            </w:tcBorders>
            <w:vAlign w:val="center"/>
            <w:hideMark/>
          </w:tcPr>
          <w:p w:rsidR="009A5EB1" w:rsidRPr="008C14D4" w:rsidRDefault="009A5EB1" w:rsidP="009A5EB1">
            <w:pPr>
              <w:spacing w:before="0" w:after="0" w:line="276" w:lineRule="auto"/>
              <w:jc w:val="left"/>
              <w:rPr>
                <w:rFonts w:eastAsia="Times New Roman"/>
                <w:b/>
                <w:sz w:val="20"/>
                <w:lang w:val="en-US"/>
              </w:rPr>
            </w:pPr>
            <w:r w:rsidRPr="008C14D4">
              <w:rPr>
                <w:rFonts w:eastAsia="Times New Roman"/>
                <w:b/>
                <w:sz w:val="20"/>
                <w:lang w:val="en-US"/>
              </w:rPr>
              <w:t>Valoarea-țintă (2023)</w:t>
            </w:r>
          </w:p>
        </w:tc>
        <w:tc>
          <w:tcPr>
            <w:tcW w:w="741" w:type="pct"/>
            <w:tcBorders>
              <w:top w:val="single" w:sz="4" w:space="0" w:color="000000"/>
              <w:left w:val="single" w:sz="4" w:space="0" w:color="000000"/>
              <w:bottom w:val="single" w:sz="4" w:space="0" w:color="000000"/>
              <w:right w:val="single" w:sz="4" w:space="0" w:color="000000"/>
            </w:tcBorders>
            <w:vAlign w:val="center"/>
            <w:hideMark/>
          </w:tcPr>
          <w:p w:rsidR="009A5EB1" w:rsidRPr="008C14D4" w:rsidRDefault="009A5EB1" w:rsidP="009A5EB1">
            <w:pPr>
              <w:spacing w:before="0" w:after="0" w:line="276" w:lineRule="auto"/>
              <w:jc w:val="left"/>
              <w:rPr>
                <w:rFonts w:eastAsia="Times New Roman"/>
                <w:b/>
                <w:sz w:val="20"/>
                <w:lang w:val="en-US"/>
              </w:rPr>
            </w:pPr>
            <w:r w:rsidRPr="008C14D4">
              <w:rPr>
                <w:rFonts w:eastAsia="Times New Roman"/>
                <w:b/>
                <w:sz w:val="20"/>
                <w:lang w:val="en-US"/>
              </w:rPr>
              <w:t>Sursa datelor</w:t>
            </w:r>
          </w:p>
        </w:tc>
        <w:tc>
          <w:tcPr>
            <w:tcW w:w="737" w:type="pct"/>
            <w:tcBorders>
              <w:top w:val="single" w:sz="4" w:space="0" w:color="000000"/>
              <w:left w:val="single" w:sz="4" w:space="0" w:color="000000"/>
              <w:bottom w:val="single" w:sz="4" w:space="0" w:color="000000"/>
              <w:right w:val="single" w:sz="4" w:space="0" w:color="000000"/>
            </w:tcBorders>
            <w:vAlign w:val="center"/>
            <w:hideMark/>
          </w:tcPr>
          <w:p w:rsidR="009A5EB1" w:rsidRPr="008C14D4" w:rsidRDefault="009A5EB1" w:rsidP="009A5EB1">
            <w:pPr>
              <w:spacing w:before="0" w:after="0" w:line="276" w:lineRule="auto"/>
              <w:jc w:val="left"/>
              <w:rPr>
                <w:rFonts w:eastAsia="Times New Roman"/>
                <w:b/>
                <w:sz w:val="20"/>
                <w:lang w:val="en-US"/>
              </w:rPr>
            </w:pPr>
            <w:r w:rsidRPr="008C14D4">
              <w:rPr>
                <w:rFonts w:eastAsia="Times New Roman"/>
                <w:b/>
                <w:sz w:val="20"/>
                <w:lang w:val="en-US"/>
              </w:rPr>
              <w:t>Frecvența raportării</w:t>
            </w:r>
          </w:p>
        </w:tc>
      </w:tr>
      <w:tr w:rsidR="001331F5" w:rsidRPr="00C90B9D" w:rsidTr="009A5EB1">
        <w:trPr>
          <w:trHeight w:val="1057"/>
          <w:jc w:val="center"/>
        </w:trPr>
        <w:tc>
          <w:tcPr>
            <w:tcW w:w="465" w:type="pct"/>
            <w:tcBorders>
              <w:top w:val="single" w:sz="4" w:space="0" w:color="000000"/>
              <w:left w:val="single" w:sz="4" w:space="0" w:color="000000"/>
              <w:bottom w:val="single" w:sz="4" w:space="0" w:color="000000"/>
              <w:right w:val="single" w:sz="4" w:space="0" w:color="000000"/>
            </w:tcBorders>
            <w:vAlign w:val="center"/>
            <w:hideMark/>
          </w:tcPr>
          <w:p w:rsidR="001331F5" w:rsidRPr="00C90B9D" w:rsidRDefault="0030358B" w:rsidP="009A5EB1">
            <w:pPr>
              <w:spacing w:before="0" w:after="0" w:line="276" w:lineRule="auto"/>
              <w:jc w:val="left"/>
              <w:rPr>
                <w:rFonts w:eastAsia="Times New Roman"/>
                <w:b/>
                <w:szCs w:val="24"/>
                <w:lang w:val="en-US"/>
              </w:rPr>
            </w:pPr>
            <w:r>
              <w:rPr>
                <w:szCs w:val="24"/>
                <w:lang w:val="en-US" w:eastAsia="en-US"/>
              </w:rPr>
              <w:t>CO23</w:t>
            </w:r>
          </w:p>
        </w:tc>
        <w:tc>
          <w:tcPr>
            <w:tcW w:w="1810" w:type="pct"/>
            <w:tcBorders>
              <w:top w:val="single" w:sz="4" w:space="0" w:color="000000"/>
              <w:left w:val="single" w:sz="4" w:space="0" w:color="000000"/>
              <w:bottom w:val="single" w:sz="4" w:space="0" w:color="000000"/>
              <w:right w:val="single" w:sz="4" w:space="0" w:color="000000"/>
            </w:tcBorders>
            <w:vAlign w:val="center"/>
          </w:tcPr>
          <w:p w:rsidR="00E96A89" w:rsidRPr="001B679A" w:rsidRDefault="00E96A89" w:rsidP="001B679A">
            <w:pPr>
              <w:jc w:val="left"/>
              <w:rPr>
                <w:szCs w:val="24"/>
                <w:lang w:val="ro-RO"/>
              </w:rPr>
            </w:pPr>
            <w:r w:rsidRPr="00C90B9D">
              <w:rPr>
                <w:szCs w:val="24"/>
                <w:lang w:val="ro-RO"/>
              </w:rPr>
              <w:t>Suprafața ocupată de habitate pentru a ajunge la o ma</w:t>
            </w:r>
            <w:r w:rsidR="001B679A">
              <w:rPr>
                <w:szCs w:val="24"/>
                <w:lang w:val="ro-RO"/>
              </w:rPr>
              <w:t>i bună stare de conservare (ha)</w:t>
            </w:r>
          </w:p>
        </w:tc>
        <w:tc>
          <w:tcPr>
            <w:tcW w:w="680" w:type="pct"/>
            <w:tcBorders>
              <w:top w:val="single" w:sz="4" w:space="0" w:color="000000"/>
              <w:left w:val="single" w:sz="4" w:space="0" w:color="000000"/>
              <w:bottom w:val="single" w:sz="4" w:space="0" w:color="000000"/>
              <w:right w:val="single" w:sz="4" w:space="0" w:color="000000"/>
            </w:tcBorders>
            <w:vAlign w:val="center"/>
            <w:hideMark/>
          </w:tcPr>
          <w:p w:rsidR="001331F5" w:rsidRPr="00C90B9D" w:rsidRDefault="001331F5" w:rsidP="009A5EB1">
            <w:pPr>
              <w:spacing w:before="0" w:after="0" w:line="276" w:lineRule="auto"/>
              <w:jc w:val="left"/>
              <w:rPr>
                <w:szCs w:val="24"/>
                <w:lang w:val="en-US"/>
              </w:rPr>
            </w:pPr>
            <w:r w:rsidRPr="00C90B9D">
              <w:rPr>
                <w:szCs w:val="24"/>
                <w:lang w:val="en-US"/>
              </w:rPr>
              <w:t>ha</w:t>
            </w:r>
          </w:p>
        </w:tc>
        <w:tc>
          <w:tcPr>
            <w:tcW w:w="567" w:type="pct"/>
            <w:tcBorders>
              <w:top w:val="single" w:sz="4" w:space="0" w:color="000000"/>
              <w:left w:val="single" w:sz="4" w:space="0" w:color="000000"/>
              <w:bottom w:val="single" w:sz="4" w:space="0" w:color="000000"/>
              <w:right w:val="single" w:sz="4" w:space="0" w:color="000000"/>
            </w:tcBorders>
            <w:vAlign w:val="center"/>
          </w:tcPr>
          <w:p w:rsidR="001331F5" w:rsidRPr="00C90B9D" w:rsidRDefault="00154138" w:rsidP="009A5EB1">
            <w:pPr>
              <w:spacing w:before="0" w:after="0" w:line="276" w:lineRule="auto"/>
              <w:jc w:val="left"/>
              <w:rPr>
                <w:rFonts w:eastAsia="Times New Roman"/>
                <w:szCs w:val="24"/>
                <w:lang w:val="en-US"/>
              </w:rPr>
            </w:pPr>
            <w:r w:rsidRPr="00C90B9D">
              <w:rPr>
                <w:color w:val="000000"/>
                <w:szCs w:val="24"/>
                <w:lang w:val="en-US"/>
              </w:rPr>
              <w:t>20 000</w:t>
            </w:r>
          </w:p>
        </w:tc>
        <w:tc>
          <w:tcPr>
            <w:tcW w:w="741" w:type="pct"/>
            <w:tcBorders>
              <w:top w:val="single" w:sz="4" w:space="0" w:color="000000"/>
              <w:left w:val="single" w:sz="4" w:space="0" w:color="000000"/>
              <w:bottom w:val="single" w:sz="4" w:space="0" w:color="000000"/>
              <w:right w:val="single" w:sz="4" w:space="0" w:color="000000"/>
            </w:tcBorders>
            <w:vAlign w:val="center"/>
            <w:hideMark/>
          </w:tcPr>
          <w:p w:rsidR="001331F5" w:rsidRPr="00C90B9D" w:rsidRDefault="00F07BD1" w:rsidP="00F07BD1">
            <w:pPr>
              <w:spacing w:before="0" w:after="0"/>
              <w:jc w:val="left"/>
              <w:rPr>
                <w:b/>
                <w:bCs/>
                <w:szCs w:val="24"/>
                <w:lang w:val="fr-FR"/>
              </w:rPr>
            </w:pPr>
            <w:r w:rsidRPr="00C90B9D">
              <w:rPr>
                <w:color w:val="000000"/>
                <w:szCs w:val="24"/>
              </w:rPr>
              <w:t>Rapoarte de monitorizare</w:t>
            </w:r>
          </w:p>
        </w:tc>
        <w:tc>
          <w:tcPr>
            <w:tcW w:w="737" w:type="pct"/>
            <w:tcBorders>
              <w:top w:val="single" w:sz="4" w:space="0" w:color="000000"/>
              <w:left w:val="single" w:sz="4" w:space="0" w:color="000000"/>
              <w:bottom w:val="single" w:sz="4" w:space="0" w:color="000000"/>
              <w:right w:val="single" w:sz="4" w:space="0" w:color="000000"/>
            </w:tcBorders>
            <w:vAlign w:val="center"/>
            <w:hideMark/>
          </w:tcPr>
          <w:p w:rsidR="001331F5" w:rsidRPr="00C90B9D" w:rsidRDefault="009A5EB1" w:rsidP="009A5EB1">
            <w:pPr>
              <w:spacing w:before="0" w:after="0" w:line="276" w:lineRule="auto"/>
              <w:jc w:val="left"/>
              <w:rPr>
                <w:rFonts w:eastAsia="Times New Roman"/>
                <w:i/>
                <w:color w:val="8DB3E2"/>
                <w:szCs w:val="24"/>
                <w:lang w:val="en-US"/>
              </w:rPr>
            </w:pPr>
            <w:r w:rsidRPr="00C90B9D">
              <w:rPr>
                <w:rFonts w:eastAsia="Times New Roman"/>
                <w:szCs w:val="24"/>
                <w:lang w:val="en-US"/>
              </w:rPr>
              <w:t>An</w:t>
            </w:r>
            <w:r w:rsidR="001331F5" w:rsidRPr="00C90B9D">
              <w:rPr>
                <w:rFonts w:eastAsia="Times New Roman"/>
                <w:szCs w:val="24"/>
                <w:lang w:val="en-US"/>
              </w:rPr>
              <w:t>ual</w:t>
            </w:r>
          </w:p>
        </w:tc>
      </w:tr>
    </w:tbl>
    <w:p w:rsidR="009139B4" w:rsidRPr="0070649D" w:rsidRDefault="009139B4" w:rsidP="001331F5">
      <w:pPr>
        <w:spacing w:after="240" w:line="276" w:lineRule="auto"/>
        <w:rPr>
          <w:rFonts w:eastAsia="Times New Roman"/>
          <w:lang w:val="en-US"/>
        </w:rPr>
        <w:sectPr w:rsidR="009139B4" w:rsidRPr="0070649D">
          <w:pgSz w:w="11906" w:h="16838"/>
          <w:pgMar w:top="1021" w:right="1418" w:bottom="1021" w:left="1418" w:header="601" w:footer="1077" w:gutter="0"/>
          <w:cols w:space="720"/>
        </w:sectPr>
      </w:pPr>
    </w:p>
    <w:p w:rsidR="009139B4" w:rsidRDefault="009139B4" w:rsidP="00311248">
      <w:pPr>
        <w:pStyle w:val="Heading2"/>
        <w:rPr>
          <w:lang w:val="en-US"/>
        </w:rPr>
      </w:pPr>
      <w:bookmarkStart w:id="84" w:name="_Toc394837807"/>
      <w:proofErr w:type="gramStart"/>
      <w:r w:rsidRPr="009A5EB1">
        <w:rPr>
          <w:lang w:val="en-US"/>
        </w:rPr>
        <w:lastRenderedPageBreak/>
        <w:t>2.A.7</w:t>
      </w:r>
      <w:proofErr w:type="gramEnd"/>
      <w:r w:rsidRPr="009A5EB1">
        <w:rPr>
          <w:lang w:val="en-US"/>
        </w:rPr>
        <w:t xml:space="preserve">. </w:t>
      </w:r>
      <w:r w:rsidR="009A5EB1" w:rsidRPr="009A5EB1">
        <w:rPr>
          <w:lang w:val="en-US"/>
        </w:rPr>
        <w:t>Cadrul de performanță</w:t>
      </w:r>
      <w:bookmarkEnd w:id="84"/>
    </w:p>
    <w:p w:rsidR="009A5EB1" w:rsidRPr="006F7519" w:rsidRDefault="009A5EB1" w:rsidP="009A5EB1">
      <w:pPr>
        <w:rPr>
          <w:sz w:val="18"/>
          <w:szCs w:val="18"/>
          <w:highlight w:val="red"/>
          <w:lang w:val="it-IT"/>
        </w:rPr>
      </w:pPr>
      <w:r w:rsidRPr="006F7519">
        <w:rPr>
          <w:sz w:val="18"/>
          <w:szCs w:val="18"/>
          <w:lang w:val="it-IT"/>
        </w:rPr>
        <w:t>[Referință: articolul 8 alineatul (2) litera (b) punctul (iv) din Regulamentul (UE) nr. 1299/2013 și anexa II la Regulamentul (UE) nr. 1303/2013]</w:t>
      </w:r>
    </w:p>
    <w:p w:rsidR="009139B4" w:rsidRPr="009A5EB1" w:rsidRDefault="009A5EB1" w:rsidP="00311248">
      <w:pPr>
        <w:pStyle w:val="Heading2"/>
        <w:rPr>
          <w:lang w:val="fr-FR"/>
        </w:rPr>
      </w:pPr>
      <w:bookmarkStart w:id="85" w:name="_Toc394837808"/>
      <w:r w:rsidRPr="009A5EB1">
        <w:rPr>
          <w:lang w:val="fr-FR"/>
        </w:rPr>
        <w:t>Tabelul</w:t>
      </w:r>
      <w:r w:rsidR="009139B4" w:rsidRPr="009A5EB1">
        <w:rPr>
          <w:lang w:val="fr-FR"/>
        </w:rPr>
        <w:t xml:space="preserve"> 5: </w:t>
      </w:r>
      <w:r w:rsidRPr="009A5EB1">
        <w:rPr>
          <w:lang w:val="fr-FR"/>
        </w:rPr>
        <w:t>Cadrul de performanță al axei prioritare</w:t>
      </w:r>
      <w:r w:rsidR="00467C3C" w:rsidRPr="009A5EB1">
        <w:rPr>
          <w:lang w:val="fr-FR"/>
        </w:rPr>
        <w:t>2</w:t>
      </w:r>
      <w:r w:rsidR="009139B4" w:rsidRPr="009A5EB1">
        <w:rPr>
          <w:lang w:val="fr-FR"/>
        </w:rPr>
        <w:t xml:space="preserve"> – </w:t>
      </w:r>
      <w:r w:rsidRPr="009A5EB1">
        <w:rPr>
          <w:lang w:val="fr-FR"/>
        </w:rPr>
        <w:t>O regiune verde</w:t>
      </w:r>
      <w:bookmarkEnd w:id="85"/>
    </w:p>
    <w:tbl>
      <w:tblPr>
        <w:tblW w:w="4494" w:type="pct"/>
        <w:jc w:val="center"/>
        <w:tblLayout w:type="fixed"/>
        <w:tblCellMar>
          <w:left w:w="10" w:type="dxa"/>
          <w:right w:w="10" w:type="dxa"/>
        </w:tblCellMar>
        <w:tblLook w:val="04A0" w:firstRow="1" w:lastRow="0" w:firstColumn="1" w:lastColumn="0" w:noHBand="0" w:noVBand="1"/>
      </w:tblPr>
      <w:tblGrid>
        <w:gridCol w:w="1156"/>
        <w:gridCol w:w="2098"/>
        <w:gridCol w:w="864"/>
        <w:gridCol w:w="1814"/>
        <w:gridCol w:w="1701"/>
        <w:gridCol w:w="1418"/>
        <w:gridCol w:w="1417"/>
        <w:gridCol w:w="1571"/>
        <w:gridCol w:w="1454"/>
      </w:tblGrid>
      <w:tr w:rsidR="002F5E5B" w:rsidRPr="00A158A9" w:rsidTr="00376C40">
        <w:trPr>
          <w:trHeight w:val="2064"/>
          <w:jc w:val="center"/>
        </w:trPr>
        <w:tc>
          <w:tcPr>
            <w:tcW w:w="11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F5E5B" w:rsidRPr="00461E3D" w:rsidRDefault="002F5E5B" w:rsidP="00376C40">
            <w:pPr>
              <w:suppressAutoHyphens/>
              <w:autoSpaceDN w:val="0"/>
              <w:spacing w:before="0" w:after="0" w:line="276" w:lineRule="auto"/>
              <w:jc w:val="left"/>
              <w:rPr>
                <w:rFonts w:eastAsia="Times New Roman"/>
                <w:b/>
                <w:sz w:val="20"/>
                <w:lang w:val="en-US"/>
              </w:rPr>
            </w:pPr>
            <w:r w:rsidRPr="00461E3D">
              <w:rPr>
                <w:rFonts w:eastAsia="Times New Roman"/>
                <w:b/>
                <w:sz w:val="20"/>
                <w:lang w:val="en-US"/>
              </w:rPr>
              <w:t>Axa prioritară</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F5E5B" w:rsidRPr="00461E3D" w:rsidRDefault="002F5E5B" w:rsidP="00376C40">
            <w:pPr>
              <w:suppressAutoHyphens/>
              <w:autoSpaceDN w:val="0"/>
              <w:spacing w:before="0" w:after="0" w:line="276" w:lineRule="auto"/>
              <w:jc w:val="left"/>
              <w:rPr>
                <w:b/>
                <w:sz w:val="20"/>
                <w:lang w:val="fr-FR"/>
              </w:rPr>
            </w:pPr>
            <w:r w:rsidRPr="00461E3D">
              <w:rPr>
                <w:b/>
                <w:sz w:val="20"/>
                <w:lang w:val="fr-FR"/>
              </w:rPr>
              <w:t xml:space="preserve">Tipul Indicatorului (Etapa cheie </w:t>
            </w:r>
            <w:proofErr w:type="gramStart"/>
            <w:r w:rsidRPr="00461E3D">
              <w:rPr>
                <w:b/>
                <w:sz w:val="20"/>
                <w:lang w:val="fr-FR"/>
              </w:rPr>
              <w:t>de implementare</w:t>
            </w:r>
            <w:proofErr w:type="gramEnd"/>
            <w:r w:rsidRPr="00461E3D">
              <w:rPr>
                <w:b/>
                <w:sz w:val="20"/>
                <w:lang w:val="fr-FR"/>
              </w:rPr>
              <w:t>, indicatorul financiar, indicatorul de realizare sau, dacă este cazul, indicatorul de rezultat)</w:t>
            </w:r>
          </w:p>
        </w:tc>
        <w:tc>
          <w:tcPr>
            <w:tcW w:w="8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F5E5B" w:rsidRPr="00461E3D" w:rsidRDefault="002F5E5B" w:rsidP="00376C40">
            <w:pPr>
              <w:suppressAutoHyphens/>
              <w:autoSpaceDN w:val="0"/>
              <w:spacing w:before="0" w:after="0" w:line="276" w:lineRule="auto"/>
              <w:jc w:val="left"/>
              <w:rPr>
                <w:rFonts w:eastAsia="Times New Roman"/>
                <w:b/>
                <w:sz w:val="20"/>
                <w:lang w:val="en-US"/>
              </w:rPr>
            </w:pPr>
            <w:r w:rsidRPr="00461E3D">
              <w:rPr>
                <w:rFonts w:eastAsia="Times New Roman"/>
                <w:b/>
                <w:sz w:val="20"/>
                <w:lang w:val="en-US"/>
              </w:rPr>
              <w:t>ID</w:t>
            </w:r>
          </w:p>
        </w:tc>
        <w:tc>
          <w:tcPr>
            <w:tcW w:w="1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F5E5B" w:rsidRPr="00461E3D" w:rsidRDefault="002F5E5B" w:rsidP="00376C40">
            <w:pPr>
              <w:suppressAutoHyphens/>
              <w:autoSpaceDN w:val="0"/>
              <w:spacing w:before="0" w:after="0" w:line="276" w:lineRule="auto"/>
              <w:jc w:val="left"/>
              <w:rPr>
                <w:b/>
                <w:sz w:val="20"/>
                <w:lang w:val="fr-FR"/>
              </w:rPr>
            </w:pPr>
            <w:r w:rsidRPr="00461E3D">
              <w:rPr>
                <w:b/>
                <w:sz w:val="20"/>
                <w:lang w:val="fr-FR"/>
              </w:rPr>
              <w:t xml:space="preserve">Indicator sau etapă cheie </w:t>
            </w:r>
            <w:proofErr w:type="gramStart"/>
            <w:r w:rsidRPr="00461E3D">
              <w:rPr>
                <w:b/>
                <w:sz w:val="20"/>
                <w:lang w:val="fr-FR"/>
              </w:rPr>
              <w:t>de implementare</w:t>
            </w:r>
            <w:proofErr w:type="gramEnd"/>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F5E5B" w:rsidRPr="00461E3D" w:rsidRDefault="002F5E5B" w:rsidP="00376C40">
            <w:pPr>
              <w:suppressAutoHyphens/>
              <w:autoSpaceDN w:val="0"/>
              <w:spacing w:before="0" w:after="0" w:line="276" w:lineRule="auto"/>
              <w:jc w:val="left"/>
              <w:rPr>
                <w:rFonts w:eastAsia="Times New Roman"/>
                <w:b/>
                <w:sz w:val="20"/>
                <w:lang w:val="fr-FR"/>
              </w:rPr>
            </w:pPr>
            <w:r w:rsidRPr="00461E3D">
              <w:rPr>
                <w:rFonts w:eastAsia="Times New Roman"/>
                <w:b/>
                <w:sz w:val="20"/>
                <w:lang w:val="fr-FR"/>
              </w:rPr>
              <w:t>Unitate de măsură, dacă este cazul</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F5E5B" w:rsidRPr="00461E3D" w:rsidRDefault="002F5E5B" w:rsidP="00376C40">
            <w:pPr>
              <w:suppressAutoHyphens/>
              <w:autoSpaceDN w:val="0"/>
              <w:spacing w:before="0" w:after="0" w:line="276" w:lineRule="auto"/>
              <w:jc w:val="left"/>
              <w:rPr>
                <w:rFonts w:eastAsia="Times New Roman"/>
                <w:b/>
                <w:sz w:val="20"/>
                <w:lang w:val="en-US"/>
              </w:rPr>
            </w:pPr>
            <w:r w:rsidRPr="00461E3D">
              <w:rPr>
                <w:rFonts w:eastAsia="Times New Roman"/>
                <w:b/>
                <w:sz w:val="20"/>
                <w:lang w:val="en-US"/>
              </w:rPr>
              <w:t>Punctul de referință pentru 2018</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F5E5B" w:rsidRPr="00461E3D" w:rsidRDefault="002F5E5B" w:rsidP="00376C40">
            <w:pPr>
              <w:suppressAutoHyphens/>
              <w:autoSpaceDN w:val="0"/>
              <w:spacing w:before="0" w:after="0" w:line="276" w:lineRule="auto"/>
              <w:jc w:val="left"/>
              <w:rPr>
                <w:rFonts w:eastAsia="Times New Roman"/>
                <w:b/>
                <w:sz w:val="20"/>
                <w:lang w:val="en-US"/>
              </w:rPr>
            </w:pPr>
            <w:r w:rsidRPr="00461E3D">
              <w:rPr>
                <w:rFonts w:eastAsia="Times New Roman"/>
                <w:b/>
                <w:sz w:val="20"/>
                <w:lang w:val="en-US"/>
              </w:rPr>
              <w:t>Obiectivul final (2023)</w:t>
            </w:r>
          </w:p>
        </w:tc>
        <w:tc>
          <w:tcPr>
            <w:tcW w:w="1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F5E5B" w:rsidRPr="00461E3D" w:rsidRDefault="002F5E5B" w:rsidP="00376C40">
            <w:pPr>
              <w:suppressAutoHyphens/>
              <w:autoSpaceDN w:val="0"/>
              <w:spacing w:before="0" w:after="0" w:line="276" w:lineRule="auto"/>
              <w:jc w:val="left"/>
              <w:rPr>
                <w:rFonts w:eastAsia="Times New Roman"/>
                <w:b/>
                <w:sz w:val="20"/>
                <w:lang w:val="en-US"/>
              </w:rPr>
            </w:pPr>
            <w:r w:rsidRPr="00461E3D">
              <w:rPr>
                <w:rFonts w:eastAsia="Times New Roman"/>
                <w:b/>
                <w:sz w:val="20"/>
                <w:lang w:val="en-US"/>
              </w:rPr>
              <w:t>Sursa datelor</w:t>
            </w:r>
          </w:p>
        </w:tc>
        <w:tc>
          <w:tcPr>
            <w:tcW w:w="14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F5E5B" w:rsidRPr="00461E3D" w:rsidRDefault="002F5E5B" w:rsidP="00376C40">
            <w:pPr>
              <w:suppressAutoHyphens/>
              <w:autoSpaceDN w:val="0"/>
              <w:spacing w:before="0" w:after="0" w:line="276" w:lineRule="auto"/>
              <w:jc w:val="left"/>
              <w:rPr>
                <w:rFonts w:eastAsia="Times New Roman"/>
                <w:b/>
                <w:sz w:val="20"/>
                <w:lang w:val="fr-FR"/>
              </w:rPr>
            </w:pPr>
            <w:r w:rsidRPr="00461E3D">
              <w:rPr>
                <w:rFonts w:eastAsia="Times New Roman"/>
                <w:b/>
                <w:sz w:val="20"/>
                <w:lang w:val="fr-FR"/>
              </w:rPr>
              <w:t>Explicarea relevanței indicatorului, dacă este cazul</w:t>
            </w:r>
          </w:p>
        </w:tc>
      </w:tr>
      <w:tr w:rsidR="002F5E5B" w:rsidRPr="00E638FA" w:rsidTr="00376C40">
        <w:trPr>
          <w:jc w:val="center"/>
        </w:trPr>
        <w:tc>
          <w:tcPr>
            <w:tcW w:w="11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F5E5B" w:rsidRPr="00FE5D4A" w:rsidRDefault="002F5E5B" w:rsidP="00376C40">
            <w:pPr>
              <w:suppressAutoHyphens/>
              <w:autoSpaceDN w:val="0"/>
              <w:spacing w:before="0" w:after="0" w:line="276" w:lineRule="auto"/>
              <w:jc w:val="left"/>
              <w:rPr>
                <w:rFonts w:eastAsia="Times New Roman"/>
                <w:szCs w:val="24"/>
                <w:lang w:val="en-US"/>
              </w:rPr>
            </w:pPr>
            <w:r w:rsidRPr="00FE5D4A">
              <w:rPr>
                <w:rFonts w:eastAsia="Times New Roman"/>
                <w:szCs w:val="24"/>
                <w:lang w:val="en-US"/>
              </w:rPr>
              <w:t>2</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207A26" w:rsidRDefault="002F5E5B" w:rsidP="00376C40">
            <w:pPr>
              <w:spacing w:before="0" w:after="0"/>
              <w:jc w:val="left"/>
              <w:rPr>
                <w:color w:val="000000"/>
                <w:szCs w:val="24"/>
                <w:lang w:val="en-US"/>
              </w:rPr>
            </w:pPr>
            <w:r w:rsidRPr="00207A26">
              <w:rPr>
                <w:color w:val="000000"/>
                <w:lang w:val="en-US"/>
              </w:rPr>
              <w:t>Indicator de realizare</w:t>
            </w:r>
          </w:p>
        </w:tc>
        <w:tc>
          <w:tcPr>
            <w:tcW w:w="8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207A26" w:rsidRDefault="0030358B" w:rsidP="00376C40">
            <w:pPr>
              <w:suppressAutoHyphens/>
              <w:autoSpaceDN w:val="0"/>
              <w:spacing w:before="0" w:after="0" w:line="276" w:lineRule="auto"/>
              <w:jc w:val="left"/>
              <w:rPr>
                <w:rFonts w:eastAsia="Times New Roman"/>
                <w:szCs w:val="24"/>
                <w:lang w:val="en-US"/>
              </w:rPr>
            </w:pPr>
            <w:r>
              <w:rPr>
                <w:rFonts w:eastAsia="Times New Roman"/>
                <w:szCs w:val="24"/>
                <w:lang w:val="en-US"/>
              </w:rPr>
              <w:t>CO09</w:t>
            </w:r>
          </w:p>
        </w:tc>
        <w:tc>
          <w:tcPr>
            <w:tcW w:w="1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C96676" w:rsidRDefault="002F5E5B" w:rsidP="00376C40">
            <w:pPr>
              <w:spacing w:before="0" w:after="0"/>
              <w:jc w:val="left"/>
              <w:rPr>
                <w:color w:val="000000"/>
                <w:szCs w:val="24"/>
                <w:highlight w:val="red"/>
                <w:lang w:val="fr-FR"/>
              </w:rPr>
            </w:pPr>
            <w:r w:rsidRPr="00C96676">
              <w:rPr>
                <w:color w:val="000000"/>
                <w:lang w:val="fr-FR"/>
              </w:rPr>
              <w:t xml:space="preserve">Creșterea numărului preconizat de vizite la obiectivele de patrimoniu cultural și natural și </w:t>
            </w:r>
            <w:proofErr w:type="gramStart"/>
            <w:r w:rsidRPr="00C96676">
              <w:rPr>
                <w:color w:val="000000"/>
                <w:lang w:val="fr-FR"/>
              </w:rPr>
              <w:t>la atracțiile</w:t>
            </w:r>
            <w:proofErr w:type="gramEnd"/>
            <w:r w:rsidRPr="00C96676">
              <w:rPr>
                <w:color w:val="000000"/>
                <w:lang w:val="fr-FR"/>
              </w:rPr>
              <w:t xml:space="preserve"> care beneficiază de sprijin</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207A26" w:rsidRDefault="002F5E5B" w:rsidP="00376C40">
            <w:pPr>
              <w:spacing w:before="0" w:after="0"/>
              <w:jc w:val="left"/>
              <w:rPr>
                <w:color w:val="000000"/>
                <w:szCs w:val="24"/>
                <w:lang w:val="en-US"/>
              </w:rPr>
            </w:pPr>
            <w:r w:rsidRPr="00207A26">
              <w:rPr>
                <w:color w:val="000000"/>
                <w:lang w:val="en-US"/>
              </w:rPr>
              <w:t>Număr</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207A26" w:rsidRDefault="002F5E5B" w:rsidP="00376C40">
            <w:pPr>
              <w:spacing w:before="0" w:after="0"/>
              <w:jc w:val="left"/>
              <w:rPr>
                <w:color w:val="000000"/>
                <w:szCs w:val="24"/>
                <w:lang w:val="en-US"/>
              </w:rPr>
            </w:pPr>
            <w:r w:rsidRPr="00207A26">
              <w:rPr>
                <w:color w:val="000000"/>
                <w:lang w:val="en-US"/>
              </w:rPr>
              <w:t>20 000</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207A26" w:rsidRDefault="002F5E5B" w:rsidP="00376C40">
            <w:pPr>
              <w:spacing w:before="0" w:after="0"/>
              <w:jc w:val="left"/>
              <w:rPr>
                <w:color w:val="000000"/>
                <w:szCs w:val="24"/>
                <w:lang w:val="en-US"/>
              </w:rPr>
            </w:pPr>
            <w:r w:rsidRPr="00207A26">
              <w:rPr>
                <w:color w:val="000000"/>
                <w:lang w:val="en-US"/>
              </w:rPr>
              <w:t>100 000</w:t>
            </w:r>
          </w:p>
        </w:tc>
        <w:tc>
          <w:tcPr>
            <w:tcW w:w="1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207A26" w:rsidRDefault="002F5E5B" w:rsidP="00376C40">
            <w:pPr>
              <w:spacing w:before="0" w:after="0"/>
              <w:jc w:val="left"/>
              <w:rPr>
                <w:color w:val="000000"/>
                <w:szCs w:val="24"/>
                <w:lang w:val="en-US"/>
              </w:rPr>
            </w:pPr>
            <w:r w:rsidRPr="00207A26">
              <w:rPr>
                <w:color w:val="000000"/>
                <w:szCs w:val="24"/>
                <w:lang w:val="en-US"/>
              </w:rPr>
              <w:t>Rapoarte de</w:t>
            </w:r>
          </w:p>
          <w:p w:rsidR="002F5E5B" w:rsidRPr="00207A26" w:rsidRDefault="002F5E5B" w:rsidP="00376C40">
            <w:pPr>
              <w:spacing w:before="0" w:after="0"/>
              <w:jc w:val="left"/>
              <w:rPr>
                <w:color w:val="000000"/>
                <w:szCs w:val="24"/>
                <w:lang w:val="en-US"/>
              </w:rPr>
            </w:pPr>
            <w:r w:rsidRPr="00207A26">
              <w:rPr>
                <w:color w:val="000000"/>
                <w:szCs w:val="24"/>
                <w:lang w:val="en-US"/>
              </w:rPr>
              <w:t>monitorizare</w:t>
            </w:r>
          </w:p>
        </w:tc>
        <w:tc>
          <w:tcPr>
            <w:tcW w:w="14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E638FA" w:rsidRDefault="002F5E5B" w:rsidP="00376C40">
            <w:pPr>
              <w:suppressAutoHyphens/>
              <w:autoSpaceDN w:val="0"/>
              <w:spacing w:before="0" w:after="0" w:line="276" w:lineRule="auto"/>
              <w:jc w:val="left"/>
              <w:rPr>
                <w:rFonts w:eastAsia="Times New Roman"/>
                <w:szCs w:val="24"/>
                <w:highlight w:val="red"/>
                <w:lang w:val="en-US"/>
              </w:rPr>
            </w:pPr>
          </w:p>
        </w:tc>
      </w:tr>
      <w:tr w:rsidR="002F5E5B" w:rsidRPr="00E638FA" w:rsidTr="00376C40">
        <w:trPr>
          <w:jc w:val="center"/>
        </w:trPr>
        <w:tc>
          <w:tcPr>
            <w:tcW w:w="11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FE5D4A" w:rsidRDefault="002F5E5B" w:rsidP="00376C40">
            <w:pPr>
              <w:suppressAutoHyphens/>
              <w:autoSpaceDN w:val="0"/>
              <w:spacing w:before="0" w:after="0" w:line="276" w:lineRule="auto"/>
              <w:jc w:val="left"/>
              <w:rPr>
                <w:rFonts w:eastAsia="Times New Roman"/>
                <w:szCs w:val="24"/>
                <w:lang w:val="en-US"/>
              </w:rPr>
            </w:pPr>
            <w:r w:rsidRPr="00FE5D4A">
              <w:rPr>
                <w:rFonts w:eastAsia="Times New Roman"/>
                <w:szCs w:val="24"/>
                <w:lang w:val="en-US"/>
              </w:rPr>
              <w:t>2</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207A26" w:rsidRDefault="002F5E5B" w:rsidP="00376C40">
            <w:pPr>
              <w:spacing w:before="0" w:after="0"/>
              <w:jc w:val="left"/>
              <w:rPr>
                <w:color w:val="000000"/>
                <w:szCs w:val="24"/>
                <w:lang w:val="en-US"/>
              </w:rPr>
            </w:pPr>
            <w:r w:rsidRPr="00207A26">
              <w:rPr>
                <w:color w:val="000000"/>
                <w:lang w:val="en-US"/>
              </w:rPr>
              <w:t>Indicator de realizare</w:t>
            </w:r>
          </w:p>
        </w:tc>
        <w:tc>
          <w:tcPr>
            <w:tcW w:w="8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207A26" w:rsidRDefault="0030358B" w:rsidP="00376C40">
            <w:pPr>
              <w:suppressAutoHyphens/>
              <w:autoSpaceDN w:val="0"/>
              <w:spacing w:before="0" w:after="0" w:line="276" w:lineRule="auto"/>
              <w:jc w:val="left"/>
              <w:rPr>
                <w:rFonts w:eastAsia="Times New Roman"/>
                <w:szCs w:val="24"/>
                <w:lang w:val="en-US"/>
              </w:rPr>
            </w:pPr>
            <w:r>
              <w:rPr>
                <w:rFonts w:eastAsia="Times New Roman"/>
                <w:szCs w:val="24"/>
                <w:lang w:val="en-US"/>
              </w:rPr>
              <w:t>6.c.1</w:t>
            </w:r>
          </w:p>
        </w:tc>
        <w:tc>
          <w:tcPr>
            <w:tcW w:w="1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F80445" w:rsidRDefault="002F5E5B" w:rsidP="00376C40">
            <w:pPr>
              <w:spacing w:before="0" w:after="0"/>
              <w:jc w:val="left"/>
              <w:rPr>
                <w:color w:val="000000"/>
                <w:lang w:val="fr-FR"/>
              </w:rPr>
            </w:pPr>
            <w:r w:rsidRPr="00F80445">
              <w:rPr>
                <w:color w:val="000000"/>
                <w:lang w:val="fr-FR"/>
              </w:rPr>
              <w:t>Numarul de produse/servicii turistice integrate create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207A26" w:rsidRDefault="002F5E5B" w:rsidP="00376C40">
            <w:pPr>
              <w:spacing w:before="0" w:after="0"/>
              <w:jc w:val="left"/>
              <w:rPr>
                <w:color w:val="000000"/>
                <w:szCs w:val="24"/>
                <w:lang w:val="en-US"/>
              </w:rPr>
            </w:pPr>
            <w:r w:rsidRPr="00207A26">
              <w:rPr>
                <w:color w:val="000000"/>
                <w:lang w:val="en-US"/>
              </w:rPr>
              <w:t>Număr</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207A26" w:rsidRDefault="002F5E5B" w:rsidP="00376C40">
            <w:pPr>
              <w:spacing w:before="0" w:after="0"/>
              <w:jc w:val="left"/>
              <w:rPr>
                <w:color w:val="000000"/>
                <w:szCs w:val="24"/>
                <w:lang w:val="en-US"/>
              </w:rPr>
            </w:pPr>
            <w:r w:rsidRPr="00207A26">
              <w:rPr>
                <w:color w:val="000000"/>
                <w:lang w:val="en-US"/>
              </w:rPr>
              <w:t>10</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207A26" w:rsidRDefault="002F5E5B" w:rsidP="00376C40">
            <w:pPr>
              <w:spacing w:before="0" w:after="0"/>
              <w:jc w:val="left"/>
              <w:rPr>
                <w:color w:val="000000"/>
                <w:szCs w:val="24"/>
                <w:lang w:val="en-US"/>
              </w:rPr>
            </w:pPr>
            <w:r w:rsidRPr="00207A26">
              <w:rPr>
                <w:color w:val="000000"/>
                <w:lang w:val="en-US"/>
              </w:rPr>
              <w:t>100</w:t>
            </w:r>
          </w:p>
        </w:tc>
        <w:tc>
          <w:tcPr>
            <w:tcW w:w="1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207A26" w:rsidRDefault="002F5E5B" w:rsidP="00376C40">
            <w:pPr>
              <w:spacing w:before="0" w:after="0"/>
              <w:jc w:val="left"/>
              <w:rPr>
                <w:color w:val="000000"/>
                <w:szCs w:val="24"/>
                <w:lang w:val="en-US"/>
              </w:rPr>
            </w:pPr>
            <w:r w:rsidRPr="00207A26">
              <w:rPr>
                <w:color w:val="000000"/>
                <w:szCs w:val="24"/>
                <w:lang w:val="en-US"/>
              </w:rPr>
              <w:t>Rapoarte de</w:t>
            </w:r>
          </w:p>
          <w:p w:rsidR="002F5E5B" w:rsidRPr="00207A26" w:rsidRDefault="002F5E5B" w:rsidP="00376C40">
            <w:pPr>
              <w:spacing w:before="0" w:after="0"/>
              <w:jc w:val="left"/>
              <w:rPr>
                <w:color w:val="000000"/>
                <w:szCs w:val="24"/>
                <w:lang w:val="en-US"/>
              </w:rPr>
            </w:pPr>
            <w:r w:rsidRPr="00207A26">
              <w:rPr>
                <w:color w:val="000000"/>
                <w:szCs w:val="24"/>
                <w:lang w:val="en-US"/>
              </w:rPr>
              <w:t>monitorizare</w:t>
            </w:r>
          </w:p>
        </w:tc>
        <w:tc>
          <w:tcPr>
            <w:tcW w:w="14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E638FA" w:rsidRDefault="002F5E5B" w:rsidP="00376C40">
            <w:pPr>
              <w:suppressAutoHyphens/>
              <w:autoSpaceDN w:val="0"/>
              <w:spacing w:before="0" w:after="0" w:line="276" w:lineRule="auto"/>
              <w:jc w:val="left"/>
              <w:rPr>
                <w:rFonts w:eastAsia="Times New Roman"/>
                <w:szCs w:val="24"/>
                <w:highlight w:val="red"/>
                <w:lang w:val="en-US"/>
              </w:rPr>
            </w:pPr>
          </w:p>
        </w:tc>
      </w:tr>
      <w:tr w:rsidR="002F5E5B" w:rsidRPr="000B7282" w:rsidTr="00376C40">
        <w:trPr>
          <w:jc w:val="center"/>
        </w:trPr>
        <w:tc>
          <w:tcPr>
            <w:tcW w:w="11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FE5D4A" w:rsidRDefault="002F5E5B" w:rsidP="00376C40">
            <w:pPr>
              <w:suppressAutoHyphens/>
              <w:autoSpaceDN w:val="0"/>
              <w:spacing w:before="0" w:after="0" w:line="276" w:lineRule="auto"/>
              <w:jc w:val="left"/>
              <w:rPr>
                <w:rFonts w:eastAsia="Times New Roman"/>
                <w:szCs w:val="24"/>
                <w:lang w:val="en-US"/>
              </w:rPr>
            </w:pPr>
            <w:r w:rsidRPr="00FE5D4A">
              <w:rPr>
                <w:rFonts w:eastAsia="Times New Roman"/>
                <w:szCs w:val="24"/>
                <w:lang w:val="en-US"/>
              </w:rPr>
              <w:t>2</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E638FA" w:rsidRDefault="002F5E5B" w:rsidP="00376C40">
            <w:pPr>
              <w:spacing w:before="0" w:after="0"/>
              <w:jc w:val="left"/>
              <w:rPr>
                <w:color w:val="000000"/>
                <w:szCs w:val="24"/>
                <w:highlight w:val="red"/>
                <w:lang w:val="en-US"/>
              </w:rPr>
            </w:pPr>
            <w:r w:rsidRPr="00207A26">
              <w:rPr>
                <w:color w:val="000000"/>
                <w:lang w:val="en-US"/>
              </w:rPr>
              <w:t>Indicator financiar</w:t>
            </w:r>
          </w:p>
        </w:tc>
        <w:tc>
          <w:tcPr>
            <w:tcW w:w="8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207A26" w:rsidRDefault="0030358B" w:rsidP="00376C40">
            <w:pPr>
              <w:suppressAutoHyphens/>
              <w:autoSpaceDN w:val="0"/>
              <w:spacing w:before="0" w:after="0" w:line="276" w:lineRule="auto"/>
              <w:jc w:val="left"/>
              <w:rPr>
                <w:rFonts w:eastAsia="Times New Roman"/>
                <w:szCs w:val="24"/>
                <w:lang w:val="en-US"/>
              </w:rPr>
            </w:pPr>
            <w:r>
              <w:rPr>
                <w:rFonts w:eastAsia="Times New Roman"/>
                <w:szCs w:val="24"/>
                <w:lang w:val="en-US"/>
              </w:rPr>
              <w:t>2F1</w:t>
            </w:r>
          </w:p>
        </w:tc>
        <w:tc>
          <w:tcPr>
            <w:tcW w:w="1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F80445" w:rsidRDefault="002F5E5B" w:rsidP="00376C40">
            <w:pPr>
              <w:spacing w:before="0" w:after="0"/>
              <w:jc w:val="left"/>
              <w:rPr>
                <w:color w:val="000000"/>
                <w:lang w:val="fr-FR"/>
              </w:rPr>
            </w:pPr>
            <w:r w:rsidRPr="00F80445">
              <w:rPr>
                <w:color w:val="000000"/>
                <w:lang w:val="fr-FR"/>
              </w:rPr>
              <w:t>Cheltuieli (certificate)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F5E5B" w:rsidRPr="00207A26" w:rsidRDefault="002F5E5B" w:rsidP="00376C40">
            <w:pPr>
              <w:spacing w:before="0" w:after="0"/>
              <w:jc w:val="left"/>
              <w:rPr>
                <w:color w:val="000000"/>
                <w:szCs w:val="24"/>
                <w:lang w:val="en-US"/>
              </w:rPr>
            </w:pPr>
            <w:r w:rsidRPr="00207A26">
              <w:rPr>
                <w:color w:val="000000"/>
                <w:lang w:val="en-US"/>
              </w:rPr>
              <w:t>EUR</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F5E5B" w:rsidRPr="00207A26" w:rsidRDefault="002F5E5B" w:rsidP="00376C40">
            <w:pPr>
              <w:spacing w:before="0" w:after="0"/>
              <w:jc w:val="left"/>
              <w:rPr>
                <w:color w:val="000000"/>
                <w:szCs w:val="24"/>
                <w:lang w:val="en-US"/>
              </w:rPr>
            </w:pPr>
            <w:r w:rsidRPr="00207A26">
              <w:rPr>
                <w:color w:val="000000"/>
                <w:lang w:val="en-US"/>
              </w:rPr>
              <w:t>4 500 000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F5E5B" w:rsidRPr="00207A26" w:rsidRDefault="002F5E5B" w:rsidP="00376C40">
            <w:pPr>
              <w:spacing w:before="0" w:after="0"/>
              <w:jc w:val="left"/>
              <w:rPr>
                <w:color w:val="000000"/>
                <w:szCs w:val="24"/>
                <w:lang w:val="en-US"/>
              </w:rPr>
            </w:pPr>
            <w:r w:rsidRPr="00207A26">
              <w:rPr>
                <w:color w:val="000000"/>
                <w:szCs w:val="24"/>
                <w:lang w:val="en-US"/>
              </w:rPr>
              <w:t>52</w:t>
            </w:r>
            <w:r w:rsidR="00A57461">
              <w:rPr>
                <w:color w:val="000000"/>
                <w:szCs w:val="24"/>
                <w:lang w:val="en-US"/>
              </w:rPr>
              <w:t xml:space="preserve"> </w:t>
            </w:r>
            <w:r w:rsidRPr="00207A26">
              <w:rPr>
                <w:color w:val="000000"/>
                <w:szCs w:val="24"/>
                <w:lang w:val="en-US"/>
              </w:rPr>
              <w:t>000 000</w:t>
            </w:r>
          </w:p>
        </w:tc>
        <w:tc>
          <w:tcPr>
            <w:tcW w:w="1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207A26" w:rsidRDefault="002F5E5B" w:rsidP="00376C40">
            <w:pPr>
              <w:spacing w:before="0" w:after="0"/>
              <w:jc w:val="left"/>
              <w:rPr>
                <w:color w:val="000000"/>
                <w:szCs w:val="24"/>
                <w:lang w:val="en-US"/>
              </w:rPr>
            </w:pPr>
            <w:r>
              <w:rPr>
                <w:color w:val="000000"/>
                <w:lang w:val="en-US"/>
              </w:rPr>
              <w:t>Cereri</w:t>
            </w:r>
            <w:r w:rsidRPr="00207A26">
              <w:rPr>
                <w:color w:val="000000"/>
                <w:lang w:val="en-US"/>
              </w:rPr>
              <w:t xml:space="preserve"> de plată</w:t>
            </w:r>
          </w:p>
        </w:tc>
        <w:tc>
          <w:tcPr>
            <w:tcW w:w="14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E5B" w:rsidRPr="00B749E7" w:rsidRDefault="002F5E5B" w:rsidP="00376C40">
            <w:pPr>
              <w:suppressAutoHyphens/>
              <w:autoSpaceDN w:val="0"/>
              <w:spacing w:before="0" w:after="0" w:line="276" w:lineRule="auto"/>
              <w:jc w:val="left"/>
              <w:rPr>
                <w:rFonts w:eastAsia="Times New Roman"/>
                <w:szCs w:val="24"/>
                <w:lang w:val="en-US"/>
              </w:rPr>
            </w:pPr>
          </w:p>
        </w:tc>
      </w:tr>
    </w:tbl>
    <w:p w:rsidR="009139B4" w:rsidRPr="0070649D" w:rsidRDefault="001331F5" w:rsidP="002F5E5B">
      <w:pPr>
        <w:spacing w:after="240" w:line="276" w:lineRule="auto"/>
        <w:jc w:val="center"/>
        <w:rPr>
          <w:rFonts w:eastAsia="Times New Roman"/>
          <w:lang w:val="en-US"/>
        </w:rPr>
        <w:sectPr w:rsidR="009139B4" w:rsidRPr="0070649D" w:rsidSect="009139B4">
          <w:pgSz w:w="16838" w:h="11906" w:orient="landscape"/>
          <w:pgMar w:top="1418" w:right="1021" w:bottom="1418" w:left="1021" w:header="601" w:footer="1077" w:gutter="0"/>
          <w:cols w:space="720"/>
          <w:docGrid w:linePitch="326"/>
        </w:sectPr>
      </w:pPr>
      <w:r w:rsidRPr="00B749E7">
        <w:rPr>
          <w:rFonts w:eastAsia="Times New Roman"/>
          <w:lang w:val="en-US"/>
        </w:rPr>
        <w:br w:type="page"/>
      </w:r>
    </w:p>
    <w:p w:rsidR="001331F5" w:rsidRPr="00876F4D" w:rsidRDefault="001331F5" w:rsidP="00311248">
      <w:pPr>
        <w:pStyle w:val="Heading2"/>
        <w:rPr>
          <w:highlight w:val="red"/>
          <w:lang w:val="fr-FR"/>
        </w:rPr>
      </w:pPr>
      <w:bookmarkStart w:id="86" w:name="_Toc394837809"/>
      <w:proofErr w:type="gramStart"/>
      <w:r w:rsidRPr="00A77C97">
        <w:rPr>
          <w:lang w:val="fr-FR"/>
        </w:rPr>
        <w:lastRenderedPageBreak/>
        <w:t>2.A.1</w:t>
      </w:r>
      <w:proofErr w:type="gramEnd"/>
      <w:r w:rsidRPr="00A77C97">
        <w:rPr>
          <w:lang w:val="fr-FR"/>
        </w:rPr>
        <w:t xml:space="preserve">. </w:t>
      </w:r>
      <w:r w:rsidR="00876F4D" w:rsidRPr="00876F4D">
        <w:rPr>
          <w:lang w:val="fr-FR"/>
        </w:rPr>
        <w:t>Axa prioritară (se repetă pentru fiecare axă prioritară)</w:t>
      </w:r>
      <w:bookmarkEnd w:id="86"/>
    </w:p>
    <w:tbl>
      <w:tblPr>
        <w:tblStyle w:val="TableGrid"/>
        <w:tblW w:w="0" w:type="auto"/>
        <w:tblLook w:val="04A0" w:firstRow="1" w:lastRow="0" w:firstColumn="1" w:lastColumn="0" w:noHBand="0" w:noVBand="1"/>
      </w:tblPr>
      <w:tblGrid>
        <w:gridCol w:w="9210"/>
      </w:tblGrid>
      <w:tr w:rsidR="001331F5" w:rsidRPr="00A158A9" w:rsidTr="005221A8">
        <w:tc>
          <w:tcPr>
            <w:tcW w:w="9210" w:type="dxa"/>
          </w:tcPr>
          <w:p w:rsidR="001331F5" w:rsidRPr="006F7519" w:rsidRDefault="00876F4D" w:rsidP="00876F4D">
            <w:pPr>
              <w:pStyle w:val="Heading4"/>
              <w:outlineLvl w:val="3"/>
              <w:rPr>
                <w:lang w:val="it-IT"/>
              </w:rPr>
            </w:pPr>
            <w:bookmarkStart w:id="87" w:name="_Toc394837810"/>
            <w:r w:rsidRPr="006F7519">
              <w:rPr>
                <w:lang w:val="it-IT"/>
              </w:rPr>
              <w:t xml:space="preserve">Axa prioritară </w:t>
            </w:r>
            <w:r w:rsidR="001331F5" w:rsidRPr="006F7519">
              <w:rPr>
                <w:lang w:val="it-IT"/>
              </w:rPr>
              <w:t xml:space="preserve">3: </w:t>
            </w:r>
            <w:r w:rsidRPr="006F7519">
              <w:rPr>
                <w:lang w:val="it-IT"/>
              </w:rPr>
              <w:t>O regiune sigură</w:t>
            </w:r>
            <w:bookmarkEnd w:id="87"/>
          </w:p>
        </w:tc>
      </w:tr>
    </w:tbl>
    <w:p w:rsidR="001331F5" w:rsidRPr="006F7519" w:rsidRDefault="001331F5" w:rsidP="001331F5">
      <w:pPr>
        <w:spacing w:after="240" w:line="276" w:lineRule="auto"/>
        <w:rPr>
          <w:rFonts w:eastAsia="Times New Roman"/>
          <w:highlight w:val="red"/>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7"/>
      </w:tblGrid>
      <w:tr w:rsidR="001331F5" w:rsidRPr="00A158A9" w:rsidTr="005221A8">
        <w:trPr>
          <w:jc w:val="center"/>
        </w:trPr>
        <w:tc>
          <w:tcPr>
            <w:tcW w:w="7937" w:type="dxa"/>
            <w:tcBorders>
              <w:top w:val="single" w:sz="4" w:space="0" w:color="auto"/>
              <w:left w:val="single" w:sz="4" w:space="0" w:color="auto"/>
              <w:bottom w:val="single" w:sz="4" w:space="0" w:color="auto"/>
              <w:right w:val="single" w:sz="4" w:space="0" w:color="auto"/>
            </w:tcBorders>
            <w:hideMark/>
          </w:tcPr>
          <w:p w:rsidR="001331F5" w:rsidRPr="00876F4D" w:rsidRDefault="00FF412A" w:rsidP="00876F4D">
            <w:pPr>
              <w:spacing w:after="240" w:line="276" w:lineRule="auto"/>
              <w:ind w:left="480" w:hanging="480"/>
              <w:rPr>
                <w:rFonts w:eastAsia="Times New Roman"/>
                <w:lang w:val="fr-FR"/>
              </w:rPr>
            </w:pPr>
            <w:r w:rsidRPr="00876F4D">
              <w:rPr>
                <w:rFonts w:eastAsia="Times New Roman"/>
                <w:lang w:val="en-US"/>
              </w:rPr>
              <w:fldChar w:fldCharType="begin">
                <w:ffData>
                  <w:name w:val="Check1"/>
                  <w:enabled/>
                  <w:calcOnExit w:val="0"/>
                  <w:checkBox>
                    <w:sizeAuto/>
                    <w:default w:val="0"/>
                  </w:checkBox>
                </w:ffData>
              </w:fldChar>
            </w:r>
            <w:r w:rsidR="00C12B77" w:rsidRPr="00876F4D">
              <w:rPr>
                <w:rFonts w:eastAsia="Times New Roman"/>
                <w:lang w:val="fr-FR"/>
              </w:rPr>
              <w:instrText xml:space="preserve"> FORMCHECKBOX </w:instrText>
            </w:r>
            <w:r w:rsidR="006D5DA0">
              <w:rPr>
                <w:rFonts w:eastAsia="Times New Roman"/>
                <w:lang w:val="en-US"/>
              </w:rPr>
            </w:r>
            <w:r w:rsidR="006D5DA0">
              <w:rPr>
                <w:rFonts w:eastAsia="Times New Roman"/>
                <w:lang w:val="en-US"/>
              </w:rPr>
              <w:fldChar w:fldCharType="separate"/>
            </w:r>
            <w:r w:rsidRPr="00876F4D">
              <w:rPr>
                <w:rFonts w:eastAsia="Times New Roman"/>
                <w:lang w:val="en-US"/>
              </w:rPr>
              <w:fldChar w:fldCharType="end"/>
            </w:r>
            <w:r w:rsidR="001331F5" w:rsidRPr="00876F4D">
              <w:rPr>
                <w:rFonts w:eastAsia="Times New Roman"/>
                <w:lang w:val="fr-FR"/>
              </w:rPr>
              <w:tab/>
            </w:r>
            <w:r w:rsidR="00876F4D" w:rsidRPr="00876F4D">
              <w:rPr>
                <w:rFonts w:eastAsia="Times New Roman"/>
                <w:lang w:val="fr-FR"/>
              </w:rPr>
              <w:t>Întreaga axă prioritară se va implementa exclusiv prin instrumente financiare</w:t>
            </w:r>
          </w:p>
        </w:tc>
      </w:tr>
      <w:tr w:rsidR="001331F5" w:rsidRPr="00A158A9" w:rsidTr="005221A8">
        <w:trPr>
          <w:jc w:val="center"/>
        </w:trPr>
        <w:tc>
          <w:tcPr>
            <w:tcW w:w="7937" w:type="dxa"/>
            <w:tcBorders>
              <w:top w:val="single" w:sz="4" w:space="0" w:color="auto"/>
              <w:left w:val="single" w:sz="4" w:space="0" w:color="auto"/>
              <w:bottom w:val="single" w:sz="4" w:space="0" w:color="auto"/>
              <w:right w:val="single" w:sz="4" w:space="0" w:color="auto"/>
            </w:tcBorders>
            <w:hideMark/>
          </w:tcPr>
          <w:p w:rsidR="001331F5" w:rsidRPr="00876F4D" w:rsidRDefault="006D5DA0" w:rsidP="00876F4D">
            <w:pPr>
              <w:tabs>
                <w:tab w:val="left" w:pos="2302"/>
              </w:tabs>
              <w:spacing w:after="240" w:line="276" w:lineRule="auto"/>
              <w:ind w:left="480" w:hanging="480"/>
              <w:rPr>
                <w:rFonts w:eastAsia="Times New Roman"/>
                <w:lang w:val="fr-FR"/>
              </w:rPr>
            </w:pPr>
            <w:r>
              <w:rPr>
                <w:lang w:val="en-US"/>
              </w:rPr>
              <w:fldChar w:fldCharType="begin">
                <w:ffData>
                  <w:name w:val=""/>
                  <w:enabled/>
                  <w:calcOnExit w:val="0"/>
                  <w:checkBox>
                    <w:sizeAuto/>
                    <w:default w:val="0"/>
                  </w:checkBox>
                </w:ffData>
              </w:fldChar>
            </w:r>
            <w:r>
              <w:rPr>
                <w:lang w:val="en-US"/>
              </w:rPr>
              <w:instrText xml:space="preserve"> FORMCHECKBOX </w:instrText>
            </w:r>
            <w:r>
              <w:rPr>
                <w:lang w:val="en-US"/>
              </w:rPr>
            </w:r>
            <w:r>
              <w:rPr>
                <w:lang w:val="en-US"/>
              </w:rPr>
              <w:fldChar w:fldCharType="end"/>
            </w:r>
            <w:r w:rsidR="001331F5" w:rsidRPr="00876F4D">
              <w:rPr>
                <w:rFonts w:eastAsia="Times New Roman"/>
                <w:lang w:val="fr-FR"/>
              </w:rPr>
              <w:tab/>
            </w:r>
            <w:r w:rsidR="00876F4D" w:rsidRPr="00876F4D">
              <w:rPr>
                <w:rFonts w:eastAsia="Times New Roman"/>
                <w:lang w:val="fr-FR"/>
              </w:rPr>
              <w:t>Întreaga axă prioritară se va implementa exclusiv prin instrumente financiare stabilite la nivelul Uniunii</w:t>
            </w:r>
          </w:p>
        </w:tc>
      </w:tr>
      <w:tr w:rsidR="001331F5" w:rsidRPr="00A158A9" w:rsidTr="005221A8">
        <w:trPr>
          <w:jc w:val="center"/>
        </w:trPr>
        <w:tc>
          <w:tcPr>
            <w:tcW w:w="7937" w:type="dxa"/>
            <w:tcBorders>
              <w:top w:val="single" w:sz="4" w:space="0" w:color="auto"/>
              <w:left w:val="single" w:sz="4" w:space="0" w:color="auto"/>
              <w:bottom w:val="single" w:sz="4" w:space="0" w:color="auto"/>
              <w:right w:val="single" w:sz="4" w:space="0" w:color="auto"/>
            </w:tcBorders>
            <w:hideMark/>
          </w:tcPr>
          <w:p w:rsidR="001331F5" w:rsidRPr="00876F4D" w:rsidRDefault="00FF412A" w:rsidP="00876F4D">
            <w:pPr>
              <w:tabs>
                <w:tab w:val="left" w:pos="2302"/>
              </w:tabs>
              <w:spacing w:after="240" w:line="276" w:lineRule="auto"/>
              <w:ind w:left="480" w:hanging="480"/>
              <w:rPr>
                <w:rFonts w:eastAsia="Times New Roman"/>
                <w:lang w:val="fr-FR"/>
              </w:rPr>
            </w:pPr>
            <w:r w:rsidRPr="00876F4D">
              <w:rPr>
                <w:rFonts w:eastAsia="Times New Roman"/>
                <w:lang w:val="en-US"/>
              </w:rPr>
              <w:fldChar w:fldCharType="begin">
                <w:ffData>
                  <w:name w:val="Check3"/>
                  <w:enabled/>
                  <w:calcOnExit w:val="0"/>
                  <w:checkBox>
                    <w:sizeAuto/>
                    <w:default w:val="0"/>
                  </w:checkBox>
                </w:ffData>
              </w:fldChar>
            </w:r>
            <w:r w:rsidR="00C12B77" w:rsidRPr="00876F4D">
              <w:rPr>
                <w:rFonts w:eastAsia="Times New Roman"/>
                <w:lang w:val="fr-FR"/>
              </w:rPr>
              <w:instrText xml:space="preserve"> FORMCHECKBOX </w:instrText>
            </w:r>
            <w:r w:rsidR="006D5DA0">
              <w:rPr>
                <w:rFonts w:eastAsia="Times New Roman"/>
                <w:lang w:val="en-US"/>
              </w:rPr>
            </w:r>
            <w:r w:rsidR="006D5DA0">
              <w:rPr>
                <w:rFonts w:eastAsia="Times New Roman"/>
                <w:lang w:val="en-US"/>
              </w:rPr>
              <w:fldChar w:fldCharType="separate"/>
            </w:r>
            <w:r w:rsidRPr="00876F4D">
              <w:rPr>
                <w:rFonts w:eastAsia="Times New Roman"/>
                <w:lang w:val="en-US"/>
              </w:rPr>
              <w:fldChar w:fldCharType="end"/>
            </w:r>
            <w:r w:rsidR="001331F5" w:rsidRPr="00876F4D">
              <w:rPr>
                <w:rFonts w:eastAsia="Times New Roman"/>
                <w:lang w:val="fr-FR"/>
              </w:rPr>
              <w:tab/>
            </w:r>
            <w:r w:rsidR="00876F4D" w:rsidRPr="00876F4D">
              <w:rPr>
                <w:rFonts w:eastAsia="Times New Roman"/>
                <w:lang w:val="fr-FR"/>
              </w:rPr>
              <w:t>Întreaga axă prioritară se va implementa prin dezvoltare locală plasată sub responsabilitatea comunității</w:t>
            </w:r>
          </w:p>
        </w:tc>
      </w:tr>
    </w:tbl>
    <w:p w:rsidR="001331F5" w:rsidRPr="00876F4D" w:rsidRDefault="001331F5" w:rsidP="00311248">
      <w:pPr>
        <w:pStyle w:val="Heading2"/>
        <w:rPr>
          <w:lang w:val="fr-FR"/>
        </w:rPr>
      </w:pPr>
      <w:bookmarkStart w:id="88" w:name="_Toc389657978"/>
      <w:bookmarkStart w:id="89" w:name="_Toc394837811"/>
      <w:proofErr w:type="gramStart"/>
      <w:r w:rsidRPr="00A77C97">
        <w:rPr>
          <w:lang w:val="fr-FR"/>
        </w:rPr>
        <w:t>2.A.2</w:t>
      </w:r>
      <w:proofErr w:type="gramEnd"/>
      <w:r w:rsidRPr="00A77C97">
        <w:rPr>
          <w:lang w:val="fr-FR"/>
        </w:rPr>
        <w:t xml:space="preserve">. </w:t>
      </w:r>
      <w:bookmarkEnd w:id="88"/>
      <w:r w:rsidR="00876F4D" w:rsidRPr="00876F4D">
        <w:rPr>
          <w:lang w:val="fr-FR"/>
        </w:rPr>
        <w:t>Justificarea stabilirii unei axe prioritare care acoperă mai mult de un obiectiv tematic (dacă este cazul)</w:t>
      </w:r>
      <w:bookmarkEnd w:id="8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1331F5" w:rsidRPr="00E638FA" w:rsidTr="005221A8">
        <w:trPr>
          <w:jc w:val="center"/>
        </w:trPr>
        <w:tc>
          <w:tcPr>
            <w:tcW w:w="9293" w:type="dxa"/>
            <w:tcBorders>
              <w:top w:val="single" w:sz="4" w:space="0" w:color="auto"/>
              <w:left w:val="single" w:sz="4" w:space="0" w:color="auto"/>
              <w:bottom w:val="single" w:sz="4" w:space="0" w:color="auto"/>
              <w:right w:val="single" w:sz="4" w:space="0" w:color="auto"/>
            </w:tcBorders>
            <w:hideMark/>
          </w:tcPr>
          <w:p w:rsidR="001331F5" w:rsidRPr="00876F4D" w:rsidRDefault="00876F4D" w:rsidP="005221A8">
            <w:pPr>
              <w:tabs>
                <w:tab w:val="left" w:pos="1787"/>
              </w:tabs>
              <w:spacing w:line="276" w:lineRule="auto"/>
              <w:rPr>
                <w:i/>
                <w:lang w:val="en-US"/>
              </w:rPr>
            </w:pPr>
            <w:r w:rsidRPr="00876F4D">
              <w:rPr>
                <w:rFonts w:eastAsia="Times New Roman"/>
                <w:i/>
                <w:szCs w:val="24"/>
                <w:lang w:val="en-US"/>
              </w:rPr>
              <w:t>Nu se aplică</w:t>
            </w:r>
          </w:p>
        </w:tc>
      </w:tr>
    </w:tbl>
    <w:p w:rsidR="00876F4D" w:rsidRDefault="00876F4D" w:rsidP="001331F5">
      <w:pPr>
        <w:spacing w:line="276" w:lineRule="auto"/>
        <w:rPr>
          <w:rStyle w:val="Heading2Char"/>
          <w:rFonts w:eastAsia="Calibri"/>
          <w:lang w:val="fr-FR"/>
        </w:rPr>
      </w:pPr>
    </w:p>
    <w:p w:rsidR="001331F5" w:rsidRPr="00876F4D" w:rsidRDefault="001331F5" w:rsidP="001331F5">
      <w:pPr>
        <w:spacing w:line="276" w:lineRule="auto"/>
        <w:rPr>
          <w:b/>
          <w:highlight w:val="red"/>
          <w:lang w:val="fr-FR"/>
        </w:rPr>
      </w:pPr>
      <w:bookmarkStart w:id="90" w:name="_Toc394837812"/>
      <w:proofErr w:type="gramStart"/>
      <w:r w:rsidRPr="00876F4D">
        <w:rPr>
          <w:rStyle w:val="Heading2Char"/>
          <w:rFonts w:eastAsia="Calibri"/>
          <w:lang w:val="fr-FR"/>
        </w:rPr>
        <w:t>2.A.3</w:t>
      </w:r>
      <w:r w:rsidR="00876F4D" w:rsidRPr="00876F4D">
        <w:rPr>
          <w:rStyle w:val="Heading2Char"/>
          <w:rFonts w:eastAsia="Calibri"/>
          <w:lang w:val="fr-FR"/>
        </w:rPr>
        <w:t>Fondul</w:t>
      </w:r>
      <w:proofErr w:type="gramEnd"/>
      <w:r w:rsidR="00876F4D" w:rsidRPr="00876F4D">
        <w:rPr>
          <w:rStyle w:val="Heading2Char"/>
          <w:rFonts w:eastAsia="Calibri"/>
          <w:lang w:val="fr-FR"/>
        </w:rPr>
        <w:t xml:space="preserve"> și baza de calcul pentru sprijinul Uniunii</w:t>
      </w:r>
      <w:bookmarkEnd w:id="90"/>
      <w:r w:rsidR="00876F4D" w:rsidRPr="00876F4D">
        <w:rPr>
          <w:lang w:val="fr-FR"/>
        </w:rPr>
        <w:t xml:space="preserve"> (se repetă pentru fiecare fond acoperit de axa prioritară)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4962"/>
      </w:tblGrid>
      <w:tr w:rsidR="001331F5" w:rsidRPr="00876F4D" w:rsidTr="005221A8">
        <w:trPr>
          <w:jc w:val="center"/>
        </w:trPr>
        <w:tc>
          <w:tcPr>
            <w:tcW w:w="2070" w:type="dxa"/>
            <w:tcBorders>
              <w:top w:val="single" w:sz="4" w:space="0" w:color="auto"/>
              <w:left w:val="single" w:sz="4" w:space="0" w:color="auto"/>
              <w:bottom w:val="single" w:sz="4" w:space="0" w:color="auto"/>
              <w:right w:val="single" w:sz="4" w:space="0" w:color="auto"/>
            </w:tcBorders>
            <w:hideMark/>
          </w:tcPr>
          <w:p w:rsidR="001331F5" w:rsidRPr="00876F4D" w:rsidRDefault="001331F5" w:rsidP="001B679A">
            <w:pPr>
              <w:spacing w:before="0" w:after="0" w:line="276" w:lineRule="auto"/>
              <w:rPr>
                <w:rFonts w:eastAsia="Times New Roman"/>
                <w:i/>
                <w:lang w:val="en-US"/>
              </w:rPr>
            </w:pPr>
            <w:r w:rsidRPr="00876F4D">
              <w:rPr>
                <w:rFonts w:eastAsia="Times New Roman"/>
                <w:i/>
                <w:lang w:val="en-US"/>
              </w:rPr>
              <w:t>F</w:t>
            </w:r>
            <w:r w:rsidR="00876F4D">
              <w:rPr>
                <w:rFonts w:eastAsia="Times New Roman"/>
                <w:i/>
                <w:lang w:val="en-US"/>
              </w:rPr>
              <w:t>o</w:t>
            </w:r>
            <w:r w:rsidRPr="00876F4D">
              <w:rPr>
                <w:rFonts w:eastAsia="Times New Roman"/>
                <w:i/>
                <w:lang w:val="en-US"/>
              </w:rPr>
              <w:t>nd</w:t>
            </w:r>
          </w:p>
        </w:tc>
        <w:tc>
          <w:tcPr>
            <w:tcW w:w="4962" w:type="dxa"/>
            <w:tcBorders>
              <w:top w:val="single" w:sz="4" w:space="0" w:color="auto"/>
              <w:left w:val="single" w:sz="4" w:space="0" w:color="auto"/>
              <w:bottom w:val="single" w:sz="4" w:space="0" w:color="auto"/>
              <w:right w:val="single" w:sz="4" w:space="0" w:color="auto"/>
            </w:tcBorders>
            <w:hideMark/>
          </w:tcPr>
          <w:p w:rsidR="001331F5" w:rsidRPr="00876F4D" w:rsidRDefault="001B679A" w:rsidP="001B679A">
            <w:pPr>
              <w:spacing w:before="0" w:after="0" w:line="276" w:lineRule="auto"/>
              <w:rPr>
                <w:rFonts w:eastAsia="Times New Roman"/>
                <w:i/>
                <w:szCs w:val="24"/>
                <w:lang w:val="en-US"/>
              </w:rPr>
            </w:pPr>
            <w:r>
              <w:rPr>
                <w:rFonts w:eastAsia="Times New Roman"/>
                <w:i/>
                <w:szCs w:val="24"/>
                <w:lang w:val="en-US"/>
              </w:rPr>
              <w:t>FEDR</w:t>
            </w:r>
          </w:p>
        </w:tc>
      </w:tr>
      <w:tr w:rsidR="001331F5" w:rsidRPr="00E638FA" w:rsidTr="005221A8">
        <w:trPr>
          <w:jc w:val="center"/>
        </w:trPr>
        <w:tc>
          <w:tcPr>
            <w:tcW w:w="2070" w:type="dxa"/>
            <w:tcBorders>
              <w:top w:val="single" w:sz="4" w:space="0" w:color="auto"/>
              <w:left w:val="single" w:sz="4" w:space="0" w:color="auto"/>
              <w:bottom w:val="single" w:sz="4" w:space="0" w:color="auto"/>
              <w:right w:val="single" w:sz="4" w:space="0" w:color="auto"/>
            </w:tcBorders>
            <w:hideMark/>
          </w:tcPr>
          <w:p w:rsidR="001331F5" w:rsidRPr="006F7519" w:rsidRDefault="00876F4D" w:rsidP="001B679A">
            <w:pPr>
              <w:spacing w:before="0" w:after="0" w:line="276" w:lineRule="auto"/>
              <w:rPr>
                <w:rFonts w:eastAsia="Times New Roman"/>
                <w:i/>
                <w:lang w:val="it-IT"/>
              </w:rPr>
            </w:pPr>
            <w:r w:rsidRPr="006F7519">
              <w:rPr>
                <w:rFonts w:eastAsia="Times New Roman"/>
                <w:i/>
                <w:lang w:val="it-IT"/>
              </w:rPr>
              <w:t>Baza de calcul (totalul cheltuielilor eligibile sau al cheltuielilor publice eligibile)</w:t>
            </w:r>
          </w:p>
        </w:tc>
        <w:tc>
          <w:tcPr>
            <w:tcW w:w="4962" w:type="dxa"/>
            <w:tcBorders>
              <w:top w:val="single" w:sz="4" w:space="0" w:color="auto"/>
              <w:left w:val="single" w:sz="4" w:space="0" w:color="auto"/>
              <w:bottom w:val="single" w:sz="4" w:space="0" w:color="auto"/>
              <w:right w:val="single" w:sz="4" w:space="0" w:color="auto"/>
            </w:tcBorders>
            <w:hideMark/>
          </w:tcPr>
          <w:p w:rsidR="001331F5" w:rsidRPr="00876F4D" w:rsidRDefault="001331F5" w:rsidP="001B679A">
            <w:pPr>
              <w:spacing w:before="0" w:after="0" w:line="276" w:lineRule="auto"/>
              <w:rPr>
                <w:rFonts w:eastAsia="Times New Roman"/>
                <w:i/>
                <w:color w:val="8DB3E2"/>
                <w:sz w:val="18"/>
                <w:szCs w:val="18"/>
                <w:lang w:val="en-US"/>
              </w:rPr>
            </w:pPr>
            <w:r w:rsidRPr="00876F4D">
              <w:rPr>
                <w:rFonts w:eastAsia="Times New Roman"/>
                <w:i/>
                <w:szCs w:val="24"/>
                <w:lang w:val="en-US"/>
              </w:rPr>
              <w:t>Total</w:t>
            </w:r>
            <w:r w:rsidR="00876F4D">
              <w:rPr>
                <w:rFonts w:eastAsia="Times New Roman"/>
                <w:i/>
                <w:szCs w:val="24"/>
                <w:lang w:val="en-US"/>
              </w:rPr>
              <w:t>ul</w:t>
            </w:r>
            <w:r w:rsidR="00FE3E83">
              <w:rPr>
                <w:rFonts w:eastAsia="Times New Roman"/>
                <w:i/>
                <w:szCs w:val="24"/>
                <w:lang w:val="en-US"/>
              </w:rPr>
              <w:t xml:space="preserve"> </w:t>
            </w:r>
            <w:r w:rsidR="00876F4D" w:rsidRPr="00876F4D">
              <w:rPr>
                <w:rFonts w:eastAsia="Times New Roman"/>
                <w:i/>
                <w:lang w:val="en-US"/>
              </w:rPr>
              <w:t>cheltuielilor eligibile</w:t>
            </w:r>
          </w:p>
        </w:tc>
      </w:tr>
    </w:tbl>
    <w:p w:rsidR="00467E0E" w:rsidRPr="00E638FA" w:rsidRDefault="00467E0E" w:rsidP="001331F5">
      <w:pPr>
        <w:rPr>
          <w:b/>
          <w:highlight w:val="red"/>
          <w:lang w:val="en-US"/>
        </w:rPr>
      </w:pPr>
    </w:p>
    <w:p w:rsidR="001331F5" w:rsidRPr="00876F4D" w:rsidRDefault="001331F5" w:rsidP="00311248">
      <w:pPr>
        <w:pStyle w:val="Heading2"/>
        <w:rPr>
          <w:lang w:val="en-US"/>
        </w:rPr>
      </w:pPr>
      <w:bookmarkStart w:id="91" w:name="_Toc394837813"/>
      <w:proofErr w:type="gramStart"/>
      <w:r w:rsidRPr="00876F4D">
        <w:rPr>
          <w:lang w:val="en-US"/>
        </w:rPr>
        <w:t>2.A.4</w:t>
      </w:r>
      <w:proofErr w:type="gramEnd"/>
      <w:r w:rsidRPr="00876F4D">
        <w:rPr>
          <w:lang w:val="en-US"/>
        </w:rPr>
        <w:t xml:space="preserve">. </w:t>
      </w:r>
      <w:r w:rsidR="00876F4D" w:rsidRPr="00876F4D">
        <w:rPr>
          <w:lang w:val="en-US"/>
        </w:rPr>
        <w:t>Prioritatea de investiții</w:t>
      </w:r>
      <w:bookmarkEnd w:id="91"/>
    </w:p>
    <w:p w:rsidR="001331F5" w:rsidRPr="006F7519" w:rsidRDefault="00876F4D" w:rsidP="00876F4D">
      <w:pPr>
        <w:pStyle w:val="Heading4"/>
        <w:rPr>
          <w:lang w:val="it-IT"/>
        </w:rPr>
      </w:pPr>
      <w:bookmarkStart w:id="92" w:name="_Toc394837814"/>
      <w:r w:rsidRPr="006F7519">
        <w:rPr>
          <w:lang w:val="it-IT"/>
        </w:rPr>
        <w:t xml:space="preserve">Prioritatea de investiții </w:t>
      </w:r>
      <w:r w:rsidR="001331F5" w:rsidRPr="006F7519">
        <w:rPr>
          <w:lang w:val="it-IT"/>
        </w:rPr>
        <w:t>5b</w:t>
      </w:r>
      <w:r w:rsidRPr="006F7519">
        <w:rPr>
          <w:lang w:val="it-IT"/>
        </w:rPr>
        <w:t>:Promovarea investițiilor destinate abordării unor riscuri specifice, asigurarea rezistenței în fața dezastrelor și dezvoltarea unor sisteme de gestionare a dezastrelor</w:t>
      </w:r>
      <w:bookmarkEnd w:id="92"/>
    </w:p>
    <w:p w:rsidR="00EF614F" w:rsidRPr="006F7519" w:rsidRDefault="00EF614F" w:rsidP="00311248">
      <w:pPr>
        <w:pStyle w:val="Heading2"/>
        <w:rPr>
          <w:lang w:val="it-IT"/>
        </w:rPr>
        <w:sectPr w:rsidR="00EF614F" w:rsidRPr="006F7519">
          <w:pgSz w:w="11906" w:h="16838"/>
          <w:pgMar w:top="1021" w:right="1418" w:bottom="1021" w:left="1418" w:header="601" w:footer="1077" w:gutter="0"/>
          <w:cols w:space="720"/>
        </w:sectPr>
      </w:pPr>
    </w:p>
    <w:p w:rsidR="001331F5" w:rsidRPr="006F7519" w:rsidRDefault="001331F5" w:rsidP="00311248">
      <w:pPr>
        <w:pStyle w:val="Heading2"/>
        <w:rPr>
          <w:lang w:val="it-IT"/>
        </w:rPr>
      </w:pPr>
      <w:bookmarkStart w:id="93" w:name="_Toc394837815"/>
      <w:r w:rsidRPr="006F7519">
        <w:rPr>
          <w:lang w:val="it-IT"/>
        </w:rPr>
        <w:lastRenderedPageBreak/>
        <w:t xml:space="preserve">2.A.5. </w:t>
      </w:r>
      <w:r w:rsidR="00876F4D" w:rsidRPr="006F7519">
        <w:rPr>
          <w:lang w:val="it-IT"/>
        </w:rPr>
        <w:t>Obiective specifice corespunzătoare priorității de investiții și rezultate preconizate</w:t>
      </w:r>
      <w:bookmarkEnd w:id="93"/>
    </w:p>
    <w:tbl>
      <w:tblPr>
        <w:tblStyle w:val="TableGrid2"/>
        <w:tblW w:w="10944" w:type="dxa"/>
        <w:jc w:val="center"/>
        <w:tblLook w:val="04A0" w:firstRow="1" w:lastRow="0" w:firstColumn="1" w:lastColumn="0" w:noHBand="0" w:noVBand="1"/>
      </w:tblPr>
      <w:tblGrid>
        <w:gridCol w:w="2736"/>
        <w:gridCol w:w="8208"/>
      </w:tblGrid>
      <w:tr w:rsidR="00736205" w:rsidRPr="00EF614F" w:rsidTr="00BC5673">
        <w:trPr>
          <w:jc w:val="center"/>
        </w:trPr>
        <w:tc>
          <w:tcPr>
            <w:tcW w:w="2736" w:type="dxa"/>
          </w:tcPr>
          <w:p w:rsidR="00736205" w:rsidRPr="00EF614F" w:rsidRDefault="00736205" w:rsidP="00BC5673">
            <w:pPr>
              <w:spacing w:before="60" w:after="0"/>
              <w:rPr>
                <w:rFonts w:eastAsia="Times New Roman"/>
                <w:b/>
                <w:i/>
                <w:sz w:val="22"/>
                <w:szCs w:val="22"/>
                <w:lang w:val="en-US" w:eastAsia="en-US"/>
              </w:rPr>
            </w:pPr>
            <w:r w:rsidRPr="00EF614F">
              <w:rPr>
                <w:rFonts w:eastAsia="Times New Roman"/>
                <w:b/>
                <w:i/>
                <w:sz w:val="22"/>
                <w:szCs w:val="22"/>
                <w:lang w:val="en-US" w:eastAsia="en-US"/>
              </w:rPr>
              <w:t>ID</w:t>
            </w:r>
          </w:p>
        </w:tc>
        <w:tc>
          <w:tcPr>
            <w:tcW w:w="8208" w:type="dxa"/>
          </w:tcPr>
          <w:p w:rsidR="00736205" w:rsidRPr="00EF614F" w:rsidRDefault="00736205" w:rsidP="00BC5673">
            <w:pPr>
              <w:spacing w:before="60" w:after="0"/>
              <w:rPr>
                <w:rFonts w:eastAsia="Times New Roman"/>
                <w:b/>
                <w:sz w:val="22"/>
                <w:szCs w:val="22"/>
                <w:lang w:val="en-US" w:eastAsia="en-US"/>
              </w:rPr>
            </w:pPr>
          </w:p>
        </w:tc>
      </w:tr>
      <w:tr w:rsidR="00736205" w:rsidRPr="00A158A9" w:rsidTr="00BC5673">
        <w:trPr>
          <w:jc w:val="center"/>
        </w:trPr>
        <w:tc>
          <w:tcPr>
            <w:tcW w:w="2736" w:type="dxa"/>
          </w:tcPr>
          <w:p w:rsidR="00736205" w:rsidRPr="00EF614F" w:rsidRDefault="00876F4D" w:rsidP="00736205">
            <w:pPr>
              <w:spacing w:before="60" w:after="0"/>
              <w:rPr>
                <w:rFonts w:eastAsia="Times New Roman"/>
                <w:b/>
                <w:i/>
                <w:sz w:val="22"/>
                <w:szCs w:val="22"/>
                <w:lang w:val="en-US" w:eastAsia="en-US"/>
              </w:rPr>
            </w:pPr>
            <w:r w:rsidRPr="00EF614F">
              <w:rPr>
                <w:rFonts w:eastAsia="Times New Roman"/>
                <w:b/>
                <w:i/>
                <w:sz w:val="22"/>
                <w:szCs w:val="22"/>
                <w:lang w:val="en-US" w:eastAsia="en-US"/>
              </w:rPr>
              <w:t>Obiectiv Specific</w:t>
            </w:r>
            <w:r w:rsidR="00736205" w:rsidRPr="00EF614F">
              <w:rPr>
                <w:rFonts w:eastAsia="Times New Roman"/>
                <w:b/>
                <w:i/>
                <w:sz w:val="22"/>
                <w:szCs w:val="22"/>
                <w:lang w:val="en-US" w:eastAsia="en-US"/>
              </w:rPr>
              <w:t xml:space="preserve"> 3.1</w:t>
            </w:r>
          </w:p>
        </w:tc>
        <w:tc>
          <w:tcPr>
            <w:tcW w:w="8208" w:type="dxa"/>
          </w:tcPr>
          <w:p w:rsidR="00736205" w:rsidRPr="00EF614F" w:rsidRDefault="00876F4D" w:rsidP="00BC5673">
            <w:pPr>
              <w:spacing w:before="60" w:after="0"/>
              <w:rPr>
                <w:rFonts w:eastAsia="Times New Roman"/>
                <w:b/>
                <w:sz w:val="22"/>
                <w:szCs w:val="22"/>
                <w:lang w:val="fr-FR" w:eastAsia="en-US"/>
              </w:rPr>
            </w:pPr>
            <w:r w:rsidRPr="00EF614F">
              <w:rPr>
                <w:rFonts w:eastAsia="Times New Roman"/>
                <w:b/>
                <w:sz w:val="22"/>
                <w:szCs w:val="22"/>
                <w:lang w:val="fr-FR" w:eastAsia="en-US"/>
              </w:rPr>
              <w:t>Îmbunătățirea managementului comun al riscului în aria transfrontalieră</w:t>
            </w:r>
          </w:p>
        </w:tc>
      </w:tr>
      <w:tr w:rsidR="00736205" w:rsidRPr="00A158A9" w:rsidTr="00BC5673">
        <w:trPr>
          <w:jc w:val="center"/>
        </w:trPr>
        <w:tc>
          <w:tcPr>
            <w:tcW w:w="2736" w:type="dxa"/>
          </w:tcPr>
          <w:p w:rsidR="00736205" w:rsidRPr="006F7519" w:rsidRDefault="00876F4D" w:rsidP="00BC5673">
            <w:pPr>
              <w:spacing w:before="60" w:after="0"/>
              <w:rPr>
                <w:rFonts w:eastAsia="Times New Roman"/>
                <w:b/>
                <w:i/>
                <w:sz w:val="22"/>
                <w:szCs w:val="22"/>
                <w:lang w:val="it-IT" w:eastAsia="en-US"/>
              </w:rPr>
            </w:pPr>
            <w:r w:rsidRPr="006F7519">
              <w:rPr>
                <w:rFonts w:eastAsia="Times New Roman"/>
                <w:b/>
                <w:i/>
                <w:sz w:val="22"/>
                <w:szCs w:val="22"/>
                <w:lang w:val="it-IT" w:eastAsia="en-US"/>
              </w:rPr>
              <w:t>Rezultatele pe care statul membru caută să le obțină prin sprijinul din partea Uniunii</w:t>
            </w:r>
          </w:p>
        </w:tc>
        <w:tc>
          <w:tcPr>
            <w:tcW w:w="8208" w:type="dxa"/>
          </w:tcPr>
          <w:p w:rsidR="00E81F0F" w:rsidRDefault="00E81F0F" w:rsidP="00E81F0F">
            <w:pPr>
              <w:spacing w:before="60" w:after="0"/>
              <w:rPr>
                <w:rFonts w:eastAsia="Times New Roman"/>
                <w:sz w:val="22"/>
                <w:szCs w:val="22"/>
                <w:lang w:val="fr-FR"/>
              </w:rPr>
            </w:pPr>
            <w:r w:rsidRPr="006F7519">
              <w:rPr>
                <w:rFonts w:eastAsia="Times New Roman"/>
                <w:sz w:val="22"/>
                <w:szCs w:val="22"/>
                <w:lang w:val="it-IT"/>
              </w:rPr>
              <w:t xml:space="preserve">Efectele schimbărilor climatice se simt în zona transfrontalieră: veri secetoase, caniculare şi ierni cu cantităţi mari de zăpadă; zone cu tendinţe de deşertificare sau inundaţii, alunecări de teren. Lipsa intervenţiilor şi investiţiilor strategice din ultimele decenii în multe zone (gestionarea malurilor râurilor, îmbunătăţiri funciare, renaturalizarea zonelor umede, planificare urbană pentru zone cu grad mare de risc natural şi/sau antropic) a condus la un impact din ce în ce mai mare al hazardelor naturale indicate mai sus asupra comunităţilor şi mediului transfrontalier. </w:t>
            </w:r>
            <w:r>
              <w:rPr>
                <w:rFonts w:eastAsia="Times New Roman"/>
                <w:sz w:val="22"/>
                <w:szCs w:val="22"/>
                <w:lang w:val="fr-FR"/>
              </w:rPr>
              <w:t>Astăzi acestea se confruntă cu un risc crescut de a fi afectate de dezastrele naturale generate de schimbarile climatice. În plus, deşi poluarea industrială a sc</w:t>
            </w:r>
            <w:r w:rsidR="00D96160">
              <w:rPr>
                <w:rFonts w:eastAsia="Times New Roman"/>
                <w:sz w:val="22"/>
                <w:szCs w:val="22"/>
                <w:lang w:val="fr-FR"/>
              </w:rPr>
              <w:t xml:space="preserve">ăzut, </w:t>
            </w:r>
            <w:r w:rsidR="00D96160" w:rsidRPr="00FE3E83">
              <w:rPr>
                <w:rFonts w:eastAsia="Times New Roman"/>
                <w:sz w:val="22"/>
                <w:szCs w:val="22"/>
                <w:lang w:val="fr-FR"/>
              </w:rPr>
              <w:t>siturile poluate</w:t>
            </w:r>
            <w:r w:rsidR="00FE3E83">
              <w:rPr>
                <w:rFonts w:eastAsia="Times New Roman"/>
                <w:sz w:val="22"/>
                <w:szCs w:val="22"/>
                <w:lang w:val="fr-FR"/>
              </w:rPr>
              <w:t xml:space="preserve"> istoric</w:t>
            </w:r>
            <w:r w:rsidR="00D96160">
              <w:rPr>
                <w:rFonts w:eastAsia="Times New Roman"/>
                <w:sz w:val="22"/>
                <w:szCs w:val="22"/>
                <w:lang w:val="fr-FR"/>
              </w:rPr>
              <w:t xml:space="preserve"> ş</w:t>
            </w:r>
            <w:r>
              <w:rPr>
                <w:rFonts w:eastAsia="Times New Roman"/>
                <w:sz w:val="22"/>
                <w:szCs w:val="22"/>
                <w:lang w:val="fr-FR"/>
              </w:rPr>
              <w:t xml:space="preserve">i abandonate precum şi multiplicarea surselor mici de poluare reprezintă factori de risc antropic care sunt gestionaţi doar marginal şi devin aproape hazarde având în vedere efectele schimbării climatice în zonă (riscurile antropice devin hazarde, de exemplu situl unei mari fabrici de oţel care este abandonat reprezintă un risc de poluare pentru pânza freatică care este greu de gestionat pe termen scurt, devenind astfel un semi-hazard). </w:t>
            </w:r>
          </w:p>
          <w:p w:rsidR="00E81F0F" w:rsidRDefault="00E81F0F" w:rsidP="00E81F0F">
            <w:pPr>
              <w:spacing w:before="60" w:after="0"/>
              <w:rPr>
                <w:rFonts w:eastAsia="Times New Roman"/>
                <w:sz w:val="22"/>
                <w:szCs w:val="22"/>
                <w:lang w:val="fr-FR"/>
              </w:rPr>
            </w:pPr>
            <w:r>
              <w:rPr>
                <w:rFonts w:eastAsia="Times New Roman"/>
                <w:sz w:val="22"/>
                <w:szCs w:val="22"/>
                <w:lang w:val="fr-FR"/>
              </w:rPr>
              <w:t>Având în vedere ca pe langa situaţia prezentată mai sus, există o capacitate de diminuare a efectelor dezastrelor mică (infrastructuri, echipament, norme, capacitate administrativă, cooperare transfrontalieră pentru gestionarea hazardelor de mediu)</w:t>
            </w:r>
            <w:r w:rsidR="00BB568A">
              <w:rPr>
                <w:rFonts w:eastAsia="Times New Roman"/>
                <w:sz w:val="22"/>
                <w:szCs w:val="22"/>
                <w:lang w:val="fr-FR"/>
              </w:rPr>
              <w:t>, nevoia de a consolida atât managementul hazardului cât şi capacitatea actuală</w:t>
            </w:r>
            <w:r>
              <w:rPr>
                <w:rFonts w:eastAsia="Times New Roman"/>
                <w:sz w:val="22"/>
                <w:szCs w:val="22"/>
                <w:lang w:val="fr-FR"/>
              </w:rPr>
              <w:t xml:space="preserve"> </w:t>
            </w:r>
            <w:proofErr w:type="gramStart"/>
            <w:r>
              <w:rPr>
                <w:rFonts w:eastAsia="Times New Roman"/>
                <w:sz w:val="22"/>
                <w:szCs w:val="22"/>
                <w:lang w:val="fr-FR"/>
              </w:rPr>
              <w:t>a</w:t>
            </w:r>
            <w:proofErr w:type="gramEnd"/>
            <w:r>
              <w:rPr>
                <w:rFonts w:eastAsia="Times New Roman"/>
                <w:sz w:val="22"/>
                <w:szCs w:val="22"/>
                <w:lang w:val="fr-FR"/>
              </w:rPr>
              <w:t xml:space="preserve"> serviciilor de ur</w:t>
            </w:r>
            <w:r w:rsidR="00BB568A">
              <w:rPr>
                <w:rFonts w:eastAsia="Times New Roman"/>
                <w:sz w:val="22"/>
                <w:szCs w:val="22"/>
                <w:lang w:val="fr-FR"/>
              </w:rPr>
              <w:t>genţ</w:t>
            </w:r>
            <w:r>
              <w:rPr>
                <w:rFonts w:eastAsia="Times New Roman"/>
                <w:sz w:val="22"/>
                <w:szCs w:val="22"/>
                <w:lang w:val="fr-FR"/>
              </w:rPr>
              <w:t>a este evidentă şi presantă. Continuarea implementării pro</w:t>
            </w:r>
            <w:r w:rsidR="00BB568A">
              <w:rPr>
                <w:rFonts w:eastAsia="Times New Roman"/>
                <w:sz w:val="22"/>
                <w:szCs w:val="22"/>
                <w:lang w:val="fr-FR"/>
              </w:rPr>
              <w:t>iectelor din perioada anterioară</w:t>
            </w:r>
            <w:r>
              <w:rPr>
                <w:rFonts w:eastAsia="Times New Roman"/>
                <w:sz w:val="22"/>
                <w:szCs w:val="22"/>
                <w:lang w:val="fr-FR"/>
              </w:rPr>
              <w:t xml:space="preserve"> de  programare (cum ar fi măsuri de prevenire a inundaţiilor şi zonificarea de hazard, dezvoltarea sistemului de management al riscului şi serviciile/sistemul transfrontalier de salvare/urgenta) este o bună oportunitate pentru îmbunătăţirea eficienta şi rapidă a unor aspecte cheie din domeniul managementului hazardului şi a reactiei in conditii de urgenţă. </w:t>
            </w:r>
          </w:p>
          <w:p w:rsidR="00E81F0F" w:rsidRDefault="00E81F0F" w:rsidP="00E81F0F">
            <w:pPr>
              <w:spacing w:before="60" w:after="0"/>
              <w:rPr>
                <w:rFonts w:eastAsia="Times New Roman"/>
                <w:sz w:val="22"/>
                <w:szCs w:val="22"/>
                <w:lang w:val="fr-FR"/>
              </w:rPr>
            </w:pPr>
            <w:r>
              <w:rPr>
                <w:rFonts w:eastAsia="Times New Roman"/>
                <w:sz w:val="22"/>
                <w:szCs w:val="22"/>
                <w:lang w:val="fr-FR"/>
              </w:rPr>
              <w:t>Prin urmare, prevenirea şi gestionarea comună a riscului de dezastru este una din principalele priorităţi transfrontaliere. Părţile interesate publice şi private transfrontaliere, precum şi societatea civilă</w:t>
            </w:r>
            <w:r w:rsidR="00BB568A">
              <w:rPr>
                <w:rFonts w:eastAsia="Times New Roman"/>
                <w:sz w:val="22"/>
                <w:szCs w:val="22"/>
                <w:lang w:val="fr-FR"/>
              </w:rPr>
              <w:t>,</w:t>
            </w:r>
            <w:r>
              <w:rPr>
                <w:rFonts w:eastAsia="Times New Roman"/>
                <w:sz w:val="22"/>
                <w:szCs w:val="22"/>
                <w:lang w:val="fr-FR"/>
              </w:rPr>
              <w:t xml:space="preserve"> au deja, prin rezultatele perioadei anterioare de programare, o perspectivă directă a beneficiilor colabo</w:t>
            </w:r>
            <w:r w:rsidR="00BB568A">
              <w:rPr>
                <w:rFonts w:eastAsia="Times New Roman"/>
                <w:sz w:val="22"/>
                <w:szCs w:val="22"/>
                <w:lang w:val="fr-FR"/>
              </w:rPr>
              <w:t>rării transfrontaliere î</w:t>
            </w:r>
            <w:r>
              <w:rPr>
                <w:rFonts w:eastAsia="Times New Roman"/>
                <w:sz w:val="22"/>
                <w:szCs w:val="22"/>
                <w:lang w:val="fr-FR"/>
              </w:rPr>
              <w:t>n acest domeniu şi promovează implementarea de m</w:t>
            </w:r>
            <w:r w:rsidR="00BB568A">
              <w:rPr>
                <w:rFonts w:eastAsia="Times New Roman"/>
                <w:sz w:val="22"/>
                <w:szCs w:val="22"/>
                <w:lang w:val="fr-FR"/>
              </w:rPr>
              <w:t>ăsuri şi proiecte comune care să</w:t>
            </w:r>
            <w:r>
              <w:rPr>
                <w:rFonts w:eastAsia="Times New Roman"/>
                <w:sz w:val="22"/>
                <w:szCs w:val="22"/>
                <w:lang w:val="fr-FR"/>
              </w:rPr>
              <w:t xml:space="preserve"> asigure un management eficient al problemelor comune. Într-adevăr, regiunea transfrontalieră RO-BG este extrem de expusa la schimbarea climatică şi la dezastre naturale precum seceta şi</w:t>
            </w:r>
            <w:r w:rsidR="00BB568A">
              <w:rPr>
                <w:rFonts w:eastAsia="Times New Roman"/>
                <w:sz w:val="22"/>
                <w:szCs w:val="22"/>
                <w:lang w:val="fr-FR"/>
              </w:rPr>
              <w:t xml:space="preserve"> inundaţiile, eroziunea costieră ş</w:t>
            </w:r>
            <w:r>
              <w:rPr>
                <w:rFonts w:eastAsia="Times New Roman"/>
                <w:sz w:val="22"/>
                <w:szCs w:val="22"/>
                <w:lang w:val="fr-FR"/>
              </w:rPr>
              <w:t xml:space="preserve">i a malurilor râurilor, alunecări de teren, cutremure, incendii, etc.. Un nivel mai crescut de prevenire a riscului de dezastre poate rezulta din cooperarea şi coordonarea răspunsurilor trans-sectoriale, dezvoltări tehnologice şi norme agreate </w:t>
            </w:r>
            <w:proofErr w:type="gramStart"/>
            <w:r>
              <w:rPr>
                <w:rFonts w:eastAsia="Times New Roman"/>
                <w:sz w:val="22"/>
                <w:szCs w:val="22"/>
                <w:lang w:val="fr-FR"/>
              </w:rPr>
              <w:t>de ambele</w:t>
            </w:r>
            <w:proofErr w:type="gramEnd"/>
            <w:r>
              <w:rPr>
                <w:rFonts w:eastAsia="Times New Roman"/>
                <w:sz w:val="22"/>
                <w:szCs w:val="22"/>
                <w:lang w:val="fr-FR"/>
              </w:rPr>
              <w:t xml:space="preserve"> ţări la nivel public local şi naţional. Mai mult, după cum regulamentul CTE a menţionat de mai multe ori, se recomandă sporirea managementului comun al riscurilor comune la nivel transfrontalier. Aceasta va necesita, printre altele, sprijin pentru a dezvolta planificarea stra</w:t>
            </w:r>
            <w:r w:rsidR="00BB568A">
              <w:rPr>
                <w:rFonts w:eastAsia="Times New Roman"/>
                <w:sz w:val="22"/>
                <w:szCs w:val="22"/>
                <w:lang w:val="fr-FR"/>
              </w:rPr>
              <w:t>tegică transfrontalieră adaptată</w:t>
            </w:r>
            <w:r>
              <w:rPr>
                <w:rFonts w:eastAsia="Times New Roman"/>
                <w:sz w:val="22"/>
                <w:szCs w:val="22"/>
                <w:lang w:val="fr-FR"/>
              </w:rPr>
              <w:t xml:space="preserve"> la context şi </w:t>
            </w:r>
            <w:r w:rsidR="00BB568A">
              <w:rPr>
                <w:rFonts w:eastAsia="Times New Roman"/>
                <w:sz w:val="22"/>
                <w:szCs w:val="22"/>
                <w:lang w:val="fr-FR"/>
              </w:rPr>
              <w:t xml:space="preserve">asigurarea serviciilor </w:t>
            </w:r>
            <w:proofErr w:type="gramStart"/>
            <w:r w:rsidR="00BB568A">
              <w:rPr>
                <w:rFonts w:eastAsia="Times New Roman"/>
                <w:sz w:val="22"/>
                <w:szCs w:val="22"/>
                <w:lang w:val="fr-FR"/>
              </w:rPr>
              <w:t>de urgenţă</w:t>
            </w:r>
            <w:proofErr w:type="gramEnd"/>
            <w:r>
              <w:rPr>
                <w:rFonts w:eastAsia="Times New Roman"/>
                <w:sz w:val="22"/>
                <w:szCs w:val="22"/>
                <w:lang w:val="fr-FR"/>
              </w:rPr>
              <w:t xml:space="preserve">. </w:t>
            </w:r>
          </w:p>
          <w:p w:rsidR="00E81F0F" w:rsidRDefault="00E81F0F" w:rsidP="00E81F0F">
            <w:pPr>
              <w:spacing w:before="60" w:after="0"/>
              <w:rPr>
                <w:rFonts w:eastAsia="Times New Roman"/>
                <w:sz w:val="22"/>
                <w:szCs w:val="22"/>
                <w:lang w:val="fr-FR"/>
              </w:rPr>
            </w:pPr>
            <w:r>
              <w:rPr>
                <w:rFonts w:eastAsia="Times New Roman"/>
                <w:sz w:val="22"/>
                <w:szCs w:val="22"/>
                <w:lang w:val="fr-FR"/>
              </w:rPr>
              <w:t xml:space="preserve">Având în vedere cele menţionate mai sus, statele membre intenţionează să obţină, prin această Axă, un rezultat dublu: sprijinirea identificării acelor măsuri comune care pot trata cel mai bine hazardurile şi riscurile comune şi sprijinirea unor investiţii/măsuri pentru gestionarea comună a hazardelor şi prevenirea riscului. </w:t>
            </w:r>
          </w:p>
          <w:p w:rsidR="00736205" w:rsidRPr="00EF614F" w:rsidRDefault="00E81F0F" w:rsidP="00E81F0F">
            <w:pPr>
              <w:spacing w:before="60" w:after="0"/>
              <w:rPr>
                <w:rFonts w:eastAsia="Times New Roman"/>
                <w:sz w:val="22"/>
                <w:szCs w:val="22"/>
                <w:lang w:val="fr-FR"/>
              </w:rPr>
            </w:pPr>
            <w:r>
              <w:rPr>
                <w:rFonts w:eastAsia="Times New Roman"/>
                <w:sz w:val="22"/>
                <w:szCs w:val="22"/>
                <w:lang w:val="fr-FR"/>
              </w:rPr>
              <w:t xml:space="preserve">Rezultatul pe care statele membre doresc să îl obţină prin acest obiectiv specific este o regiune transfrontalieră mai bine pregătită şi </w:t>
            </w:r>
            <w:r w:rsidR="00BB568A">
              <w:rPr>
                <w:rFonts w:eastAsia="Times New Roman"/>
                <w:sz w:val="22"/>
                <w:szCs w:val="22"/>
                <w:lang w:val="fr-FR"/>
              </w:rPr>
              <w:t>integrată în termenii de prevenţ</w:t>
            </w:r>
            <w:r>
              <w:rPr>
                <w:rFonts w:eastAsia="Times New Roman"/>
                <w:sz w:val="22"/>
                <w:szCs w:val="22"/>
                <w:lang w:val="fr-FR"/>
              </w:rPr>
              <w:t xml:space="preserve">ie şi  capacitate de management </w:t>
            </w:r>
            <w:proofErr w:type="gramStart"/>
            <w:r>
              <w:rPr>
                <w:rFonts w:eastAsia="Times New Roman"/>
                <w:sz w:val="22"/>
                <w:szCs w:val="22"/>
                <w:lang w:val="fr-FR"/>
              </w:rPr>
              <w:t>a</w:t>
            </w:r>
            <w:proofErr w:type="gramEnd"/>
            <w:r>
              <w:rPr>
                <w:rFonts w:eastAsia="Times New Roman"/>
                <w:sz w:val="22"/>
                <w:szCs w:val="22"/>
                <w:lang w:val="fr-FR"/>
              </w:rPr>
              <w:t xml:space="preserve"> riscurilor de dezastru.</w:t>
            </w:r>
          </w:p>
        </w:tc>
      </w:tr>
    </w:tbl>
    <w:p w:rsidR="00736205" w:rsidRPr="00EF614F" w:rsidRDefault="00736205" w:rsidP="00736205">
      <w:pPr>
        <w:rPr>
          <w:lang w:val="fr-FR"/>
        </w:rPr>
      </w:pPr>
    </w:p>
    <w:p w:rsidR="00736205" w:rsidRPr="00EF614F" w:rsidRDefault="00736205" w:rsidP="00736205">
      <w:pPr>
        <w:rPr>
          <w:lang w:val="fr-FR"/>
        </w:rPr>
      </w:pPr>
    </w:p>
    <w:p w:rsidR="001331F5" w:rsidRPr="00EF614F" w:rsidRDefault="001331F5" w:rsidP="001331F5">
      <w:pPr>
        <w:spacing w:before="0" w:after="0" w:line="276" w:lineRule="auto"/>
        <w:jc w:val="left"/>
        <w:rPr>
          <w:rFonts w:eastAsia="Times New Roman"/>
          <w:sz w:val="32"/>
          <w:szCs w:val="24"/>
          <w:lang w:val="fr-FR" w:eastAsia="ar-SA"/>
        </w:rPr>
        <w:sectPr w:rsidR="001331F5" w:rsidRPr="00EF614F">
          <w:pgSz w:w="11906" w:h="16838"/>
          <w:pgMar w:top="1021" w:right="1418" w:bottom="1021" w:left="1418" w:header="601" w:footer="1077" w:gutter="0"/>
          <w:cols w:space="720"/>
        </w:sectPr>
      </w:pPr>
    </w:p>
    <w:p w:rsidR="001331F5" w:rsidRPr="00396528" w:rsidRDefault="00396528" w:rsidP="00311248">
      <w:pPr>
        <w:pStyle w:val="Heading2"/>
        <w:rPr>
          <w:highlight w:val="red"/>
          <w:lang w:val="fr-FR"/>
        </w:rPr>
      </w:pPr>
      <w:bookmarkStart w:id="94" w:name="_Toc394837816"/>
      <w:r w:rsidRPr="00396528">
        <w:rPr>
          <w:lang w:val="fr-FR"/>
        </w:rPr>
        <w:lastRenderedPageBreak/>
        <w:t>Tabelul</w:t>
      </w:r>
      <w:r w:rsidR="001331F5" w:rsidRPr="00396528">
        <w:rPr>
          <w:lang w:val="fr-FR"/>
        </w:rPr>
        <w:t xml:space="preserve"> 3: </w:t>
      </w:r>
      <w:r w:rsidRPr="00396528">
        <w:rPr>
          <w:lang w:val="fr-FR"/>
        </w:rPr>
        <w:t>Indicatori de rezultat specifici programului (pe obiectiv specific)</w:t>
      </w:r>
      <w:bookmarkEnd w:id="94"/>
    </w:p>
    <w:p w:rsidR="001331F5" w:rsidRPr="00396528" w:rsidRDefault="001331F5" w:rsidP="001331F5">
      <w:pPr>
        <w:rPr>
          <w:highlight w:val="red"/>
          <w:lang w:val="fr-FR"/>
        </w:rPr>
      </w:pPr>
    </w:p>
    <w:tbl>
      <w:tblPr>
        <w:tblW w:w="45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
        <w:gridCol w:w="2280"/>
        <w:gridCol w:w="1905"/>
        <w:gridCol w:w="1670"/>
        <w:gridCol w:w="1393"/>
        <w:gridCol w:w="2117"/>
        <w:gridCol w:w="1694"/>
        <w:gridCol w:w="1273"/>
      </w:tblGrid>
      <w:tr w:rsidR="00396528" w:rsidRPr="008C14D4" w:rsidTr="00396528">
        <w:trPr>
          <w:trHeight w:val="531"/>
          <w:jc w:val="center"/>
        </w:trPr>
        <w:tc>
          <w:tcPr>
            <w:tcW w:w="486" w:type="pct"/>
            <w:tcBorders>
              <w:top w:val="single" w:sz="4" w:space="0" w:color="auto"/>
              <w:left w:val="single" w:sz="4" w:space="0" w:color="auto"/>
              <w:bottom w:val="single" w:sz="4" w:space="0" w:color="auto"/>
              <w:right w:val="single" w:sz="4" w:space="0" w:color="auto"/>
            </w:tcBorders>
            <w:vAlign w:val="center"/>
            <w:hideMark/>
          </w:tcPr>
          <w:p w:rsidR="00396528" w:rsidRPr="008C14D4" w:rsidRDefault="00396528" w:rsidP="00396528">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ID</w:t>
            </w:r>
          </w:p>
        </w:tc>
        <w:tc>
          <w:tcPr>
            <w:tcW w:w="834" w:type="pct"/>
            <w:tcBorders>
              <w:top w:val="single" w:sz="4" w:space="0" w:color="auto"/>
              <w:left w:val="single" w:sz="4" w:space="0" w:color="auto"/>
              <w:bottom w:val="single" w:sz="4" w:space="0" w:color="auto"/>
              <w:right w:val="single" w:sz="4" w:space="0" w:color="auto"/>
            </w:tcBorders>
            <w:vAlign w:val="center"/>
            <w:hideMark/>
          </w:tcPr>
          <w:p w:rsidR="00396528" w:rsidRPr="008C14D4" w:rsidRDefault="00396528" w:rsidP="00396528">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 xml:space="preserve">Indicator </w:t>
            </w:r>
          </w:p>
        </w:tc>
        <w:tc>
          <w:tcPr>
            <w:tcW w:w="697" w:type="pct"/>
            <w:tcBorders>
              <w:top w:val="single" w:sz="4" w:space="0" w:color="auto"/>
              <w:left w:val="single" w:sz="4" w:space="0" w:color="auto"/>
              <w:bottom w:val="single" w:sz="4" w:space="0" w:color="auto"/>
              <w:right w:val="single" w:sz="4" w:space="0" w:color="auto"/>
            </w:tcBorders>
            <w:vAlign w:val="center"/>
            <w:hideMark/>
          </w:tcPr>
          <w:p w:rsidR="00396528" w:rsidRPr="008C14D4" w:rsidRDefault="00396528" w:rsidP="00396528">
            <w:pPr>
              <w:snapToGrid w:val="0"/>
              <w:spacing w:line="276" w:lineRule="auto"/>
              <w:jc w:val="left"/>
              <w:rPr>
                <w:rFonts w:eastAsia="Times New Roman"/>
                <w:b/>
                <w:sz w:val="18"/>
                <w:szCs w:val="18"/>
                <w:lang w:val="en-US"/>
              </w:rPr>
            </w:pPr>
            <w:r w:rsidRPr="008C14D4">
              <w:rPr>
                <w:rFonts w:eastAsia="Times New Roman"/>
                <w:b/>
                <w:sz w:val="18"/>
                <w:szCs w:val="18"/>
                <w:lang w:val="en-US"/>
              </w:rPr>
              <w:t>Unitate de măsură</w:t>
            </w:r>
          </w:p>
        </w:tc>
        <w:tc>
          <w:tcPr>
            <w:tcW w:w="611" w:type="pct"/>
            <w:tcBorders>
              <w:top w:val="single" w:sz="4" w:space="0" w:color="auto"/>
              <w:left w:val="single" w:sz="4" w:space="0" w:color="auto"/>
              <w:bottom w:val="single" w:sz="4" w:space="0" w:color="auto"/>
              <w:right w:val="single" w:sz="4" w:space="0" w:color="auto"/>
            </w:tcBorders>
            <w:vAlign w:val="center"/>
            <w:hideMark/>
          </w:tcPr>
          <w:p w:rsidR="00396528" w:rsidRPr="008C14D4" w:rsidRDefault="00396528" w:rsidP="00396528">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Valoarea de referință</w:t>
            </w:r>
          </w:p>
        </w:tc>
        <w:tc>
          <w:tcPr>
            <w:tcW w:w="510" w:type="pct"/>
            <w:tcBorders>
              <w:top w:val="single" w:sz="4" w:space="0" w:color="auto"/>
              <w:left w:val="single" w:sz="4" w:space="0" w:color="auto"/>
              <w:bottom w:val="single" w:sz="4" w:space="0" w:color="auto"/>
              <w:right w:val="single" w:sz="4" w:space="0" w:color="auto"/>
            </w:tcBorders>
            <w:vAlign w:val="center"/>
            <w:hideMark/>
          </w:tcPr>
          <w:p w:rsidR="00396528" w:rsidRPr="008C14D4" w:rsidRDefault="00396528" w:rsidP="00396528">
            <w:pPr>
              <w:snapToGrid w:val="0"/>
              <w:spacing w:line="276" w:lineRule="auto"/>
              <w:jc w:val="left"/>
              <w:rPr>
                <w:rFonts w:eastAsia="Times New Roman"/>
                <w:b/>
                <w:sz w:val="18"/>
                <w:szCs w:val="18"/>
                <w:lang w:val="en-US"/>
              </w:rPr>
            </w:pPr>
            <w:r w:rsidRPr="008C14D4">
              <w:rPr>
                <w:rFonts w:eastAsia="Times New Roman"/>
                <w:b/>
                <w:sz w:val="18"/>
                <w:szCs w:val="18"/>
                <w:lang w:val="en-US"/>
              </w:rPr>
              <w:t>Anul de referință</w:t>
            </w:r>
          </w:p>
        </w:tc>
        <w:tc>
          <w:tcPr>
            <w:tcW w:w="775" w:type="pct"/>
            <w:tcBorders>
              <w:top w:val="single" w:sz="4" w:space="0" w:color="auto"/>
              <w:left w:val="single" w:sz="4" w:space="0" w:color="auto"/>
              <w:bottom w:val="single" w:sz="4" w:space="0" w:color="auto"/>
              <w:right w:val="single" w:sz="4" w:space="0" w:color="auto"/>
            </w:tcBorders>
            <w:vAlign w:val="center"/>
            <w:hideMark/>
          </w:tcPr>
          <w:p w:rsidR="00396528" w:rsidRPr="008C14D4" w:rsidRDefault="00396528" w:rsidP="00C90B9D">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Valoarea-țintă (2023)</w:t>
            </w:r>
            <w:r w:rsidR="00C90B9D">
              <w:rPr>
                <w:rStyle w:val="FootnoteReference"/>
                <w:rFonts w:eastAsia="Times New Roman"/>
                <w:b/>
                <w:sz w:val="18"/>
                <w:szCs w:val="18"/>
                <w:lang w:val="en-US"/>
              </w:rPr>
              <w:footnoteReference w:id="11"/>
            </w:r>
          </w:p>
        </w:tc>
        <w:tc>
          <w:tcPr>
            <w:tcW w:w="620" w:type="pct"/>
            <w:tcBorders>
              <w:top w:val="single" w:sz="4" w:space="0" w:color="auto"/>
              <w:left w:val="single" w:sz="4" w:space="0" w:color="auto"/>
              <w:bottom w:val="single" w:sz="4" w:space="0" w:color="auto"/>
              <w:right w:val="single" w:sz="4" w:space="0" w:color="auto"/>
            </w:tcBorders>
            <w:vAlign w:val="center"/>
            <w:hideMark/>
          </w:tcPr>
          <w:p w:rsidR="00396528" w:rsidRPr="008C14D4" w:rsidRDefault="00396528" w:rsidP="00396528">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Sursa datelor</w:t>
            </w:r>
          </w:p>
        </w:tc>
        <w:tc>
          <w:tcPr>
            <w:tcW w:w="466" w:type="pct"/>
            <w:tcBorders>
              <w:top w:val="single" w:sz="4" w:space="0" w:color="auto"/>
              <w:left w:val="single" w:sz="4" w:space="0" w:color="auto"/>
              <w:bottom w:val="single" w:sz="4" w:space="0" w:color="auto"/>
              <w:right w:val="single" w:sz="4" w:space="0" w:color="auto"/>
            </w:tcBorders>
            <w:vAlign w:val="center"/>
            <w:hideMark/>
          </w:tcPr>
          <w:p w:rsidR="00396528" w:rsidRPr="008C14D4" w:rsidRDefault="00396528" w:rsidP="00396528">
            <w:pPr>
              <w:tabs>
                <w:tab w:val="left" w:pos="720"/>
              </w:tabs>
              <w:spacing w:line="276" w:lineRule="auto"/>
              <w:jc w:val="left"/>
              <w:rPr>
                <w:rFonts w:eastAsia="Times New Roman"/>
                <w:b/>
                <w:sz w:val="18"/>
                <w:szCs w:val="18"/>
                <w:lang w:val="en-US"/>
              </w:rPr>
            </w:pPr>
            <w:r w:rsidRPr="008C14D4">
              <w:rPr>
                <w:rFonts w:eastAsia="Times New Roman"/>
                <w:b/>
                <w:sz w:val="18"/>
                <w:szCs w:val="18"/>
                <w:lang w:val="en-US"/>
              </w:rPr>
              <w:t>Frecvența raportării</w:t>
            </w:r>
          </w:p>
        </w:tc>
      </w:tr>
      <w:tr w:rsidR="00DB4676" w:rsidRPr="000B7282" w:rsidTr="00396528">
        <w:trPr>
          <w:trHeight w:val="870"/>
          <w:jc w:val="center"/>
        </w:trPr>
        <w:tc>
          <w:tcPr>
            <w:tcW w:w="486" w:type="pct"/>
            <w:tcBorders>
              <w:top w:val="single" w:sz="4" w:space="0" w:color="auto"/>
              <w:left w:val="single" w:sz="4" w:space="0" w:color="auto"/>
              <w:bottom w:val="single" w:sz="4" w:space="0" w:color="auto"/>
              <w:right w:val="single" w:sz="4" w:space="0" w:color="auto"/>
            </w:tcBorders>
            <w:vAlign w:val="center"/>
            <w:hideMark/>
          </w:tcPr>
          <w:p w:rsidR="001331F5" w:rsidRPr="00E430CC" w:rsidRDefault="0030358B" w:rsidP="00396528">
            <w:pPr>
              <w:tabs>
                <w:tab w:val="left" w:pos="720"/>
              </w:tabs>
              <w:spacing w:line="276" w:lineRule="auto"/>
              <w:jc w:val="left"/>
              <w:rPr>
                <w:rFonts w:eastAsia="Times New Roman"/>
                <w:b/>
                <w:sz w:val="18"/>
                <w:szCs w:val="18"/>
                <w:lang w:val="en-US"/>
              </w:rPr>
            </w:pPr>
            <w:r>
              <w:rPr>
                <w:szCs w:val="24"/>
                <w:lang w:val="en-US"/>
              </w:rPr>
              <w:t>R.</w:t>
            </w:r>
            <w:r w:rsidR="00AD5E5C" w:rsidRPr="00E430CC">
              <w:rPr>
                <w:szCs w:val="24"/>
                <w:lang w:val="en-US"/>
              </w:rPr>
              <w:t>3</w:t>
            </w:r>
            <w:r w:rsidR="001331F5" w:rsidRPr="00E430CC">
              <w:rPr>
                <w:szCs w:val="24"/>
                <w:lang w:val="en-US"/>
              </w:rPr>
              <w:t>.1</w:t>
            </w:r>
          </w:p>
        </w:tc>
        <w:tc>
          <w:tcPr>
            <w:tcW w:w="834" w:type="pct"/>
            <w:tcBorders>
              <w:top w:val="single" w:sz="4" w:space="0" w:color="auto"/>
              <w:left w:val="single" w:sz="4" w:space="0" w:color="auto"/>
              <w:bottom w:val="single" w:sz="4" w:space="0" w:color="auto"/>
              <w:right w:val="single" w:sz="4" w:space="0" w:color="auto"/>
            </w:tcBorders>
            <w:vAlign w:val="center"/>
            <w:hideMark/>
          </w:tcPr>
          <w:p w:rsidR="001331F5" w:rsidRPr="00396528" w:rsidRDefault="00396528" w:rsidP="00396528">
            <w:pPr>
              <w:tabs>
                <w:tab w:val="left" w:pos="720"/>
              </w:tabs>
              <w:spacing w:line="276" w:lineRule="auto"/>
              <w:jc w:val="left"/>
              <w:rPr>
                <w:rFonts w:eastAsia="Times New Roman"/>
                <w:b/>
                <w:sz w:val="18"/>
                <w:szCs w:val="18"/>
                <w:highlight w:val="red"/>
                <w:lang w:val="fr-FR"/>
              </w:rPr>
            </w:pPr>
            <w:r>
              <w:rPr>
                <w:lang w:val="fr-FR"/>
              </w:rPr>
              <w:t xml:space="preserve">Calitatea </w:t>
            </w:r>
            <w:r w:rsidRPr="00EB2622">
              <w:rPr>
                <w:lang w:val="fr-FR"/>
              </w:rPr>
              <w:t xml:space="preserve">managementului comun al riscului </w:t>
            </w:r>
            <w:r>
              <w:rPr>
                <w:lang w:val="fr-FR"/>
              </w:rPr>
              <w:t>în aria transfrontalieră</w:t>
            </w:r>
          </w:p>
        </w:tc>
        <w:tc>
          <w:tcPr>
            <w:tcW w:w="697" w:type="pct"/>
            <w:tcBorders>
              <w:top w:val="single" w:sz="4" w:space="0" w:color="auto"/>
              <w:left w:val="single" w:sz="4" w:space="0" w:color="auto"/>
              <w:bottom w:val="single" w:sz="4" w:space="0" w:color="auto"/>
              <w:right w:val="single" w:sz="4" w:space="0" w:color="auto"/>
            </w:tcBorders>
            <w:vAlign w:val="center"/>
            <w:hideMark/>
          </w:tcPr>
          <w:p w:rsidR="001331F5" w:rsidRPr="00E638FA" w:rsidRDefault="00396528" w:rsidP="00396528">
            <w:pPr>
              <w:tabs>
                <w:tab w:val="left" w:pos="720"/>
              </w:tabs>
              <w:spacing w:line="276" w:lineRule="auto"/>
              <w:jc w:val="left"/>
              <w:rPr>
                <w:rFonts w:eastAsia="Times New Roman"/>
                <w:b/>
                <w:sz w:val="18"/>
                <w:szCs w:val="18"/>
                <w:highlight w:val="red"/>
                <w:lang w:val="en-US"/>
              </w:rPr>
            </w:pPr>
            <w:r w:rsidRPr="00E430CC">
              <w:rPr>
                <w:szCs w:val="24"/>
                <w:lang w:val="en-US"/>
              </w:rPr>
              <w:t xml:space="preserve">gradul de satisfacție al </w:t>
            </w:r>
            <w:r w:rsidR="003B6552">
              <w:rPr>
                <w:szCs w:val="24"/>
                <w:lang w:val="en-US"/>
              </w:rPr>
              <w:t>stakeholderilor</w:t>
            </w:r>
            <w:r w:rsidR="00596C5E">
              <w:rPr>
                <w:szCs w:val="24"/>
                <w:lang w:val="en-US"/>
              </w:rPr>
              <w:t xml:space="preserve"> </w:t>
            </w:r>
            <w:r w:rsidR="00E430CC" w:rsidRPr="00E430CC">
              <w:rPr>
                <w:szCs w:val="24"/>
                <w:lang w:val="en-US"/>
              </w:rPr>
              <w:t>din zonă</w:t>
            </w:r>
          </w:p>
        </w:tc>
        <w:tc>
          <w:tcPr>
            <w:tcW w:w="611" w:type="pct"/>
            <w:tcBorders>
              <w:top w:val="single" w:sz="4" w:space="0" w:color="auto"/>
              <w:left w:val="single" w:sz="4" w:space="0" w:color="auto"/>
              <w:bottom w:val="single" w:sz="4" w:space="0" w:color="auto"/>
              <w:right w:val="single" w:sz="4" w:space="0" w:color="auto"/>
            </w:tcBorders>
            <w:vAlign w:val="center"/>
          </w:tcPr>
          <w:p w:rsidR="001331F5" w:rsidRPr="00396528" w:rsidRDefault="00794E09" w:rsidP="00396528">
            <w:pPr>
              <w:tabs>
                <w:tab w:val="left" w:pos="720"/>
              </w:tabs>
              <w:spacing w:line="276" w:lineRule="auto"/>
              <w:jc w:val="left"/>
              <w:rPr>
                <w:szCs w:val="24"/>
                <w:lang w:val="en-US"/>
              </w:rPr>
            </w:pPr>
            <w:r w:rsidRPr="00396528">
              <w:rPr>
                <w:szCs w:val="24"/>
                <w:lang w:val="en-US"/>
              </w:rPr>
              <w:t>2</w:t>
            </w:r>
          </w:p>
          <w:p w:rsidR="001331F5" w:rsidRPr="00396528" w:rsidRDefault="001331F5" w:rsidP="00396528">
            <w:pPr>
              <w:tabs>
                <w:tab w:val="left" w:pos="720"/>
              </w:tabs>
              <w:spacing w:line="276" w:lineRule="auto"/>
              <w:jc w:val="left"/>
              <w:rPr>
                <w:rFonts w:eastAsia="Times New Roman"/>
                <w:b/>
                <w:sz w:val="18"/>
                <w:szCs w:val="18"/>
                <w:lang w:val="en-US"/>
              </w:rPr>
            </w:pPr>
          </w:p>
        </w:tc>
        <w:tc>
          <w:tcPr>
            <w:tcW w:w="510" w:type="pct"/>
            <w:tcBorders>
              <w:top w:val="single" w:sz="4" w:space="0" w:color="auto"/>
              <w:left w:val="single" w:sz="4" w:space="0" w:color="auto"/>
              <w:bottom w:val="single" w:sz="4" w:space="0" w:color="auto"/>
              <w:right w:val="single" w:sz="4" w:space="0" w:color="auto"/>
            </w:tcBorders>
            <w:vAlign w:val="center"/>
            <w:hideMark/>
          </w:tcPr>
          <w:p w:rsidR="001331F5" w:rsidRPr="00396528" w:rsidRDefault="00FB5B6D" w:rsidP="00396528">
            <w:pPr>
              <w:tabs>
                <w:tab w:val="left" w:pos="720"/>
              </w:tabs>
              <w:spacing w:line="276" w:lineRule="auto"/>
              <w:jc w:val="left"/>
              <w:rPr>
                <w:szCs w:val="24"/>
                <w:lang w:val="en-US"/>
              </w:rPr>
            </w:pPr>
            <w:r w:rsidRPr="00396528">
              <w:rPr>
                <w:szCs w:val="24"/>
                <w:lang w:val="en-US"/>
              </w:rPr>
              <w:t>2</w:t>
            </w:r>
            <w:r w:rsidR="004838B3" w:rsidRPr="00396528">
              <w:rPr>
                <w:szCs w:val="24"/>
                <w:lang w:val="en-US"/>
              </w:rPr>
              <w:t>0</w:t>
            </w:r>
            <w:r w:rsidRPr="00396528">
              <w:rPr>
                <w:szCs w:val="24"/>
                <w:lang w:val="en-US"/>
              </w:rPr>
              <w:t>14</w:t>
            </w:r>
          </w:p>
        </w:tc>
        <w:tc>
          <w:tcPr>
            <w:tcW w:w="775" w:type="pct"/>
            <w:tcBorders>
              <w:top w:val="single" w:sz="4" w:space="0" w:color="auto"/>
              <w:left w:val="single" w:sz="4" w:space="0" w:color="auto"/>
              <w:bottom w:val="single" w:sz="4" w:space="0" w:color="auto"/>
              <w:right w:val="single" w:sz="4" w:space="0" w:color="auto"/>
            </w:tcBorders>
            <w:vAlign w:val="center"/>
            <w:hideMark/>
          </w:tcPr>
          <w:p w:rsidR="001331F5" w:rsidRPr="00E430CC" w:rsidRDefault="00794E09" w:rsidP="00396528">
            <w:pPr>
              <w:tabs>
                <w:tab w:val="left" w:pos="720"/>
              </w:tabs>
              <w:spacing w:line="276" w:lineRule="auto"/>
              <w:jc w:val="left"/>
              <w:rPr>
                <w:szCs w:val="24"/>
                <w:lang w:val="en-US"/>
              </w:rPr>
            </w:pPr>
            <w:r w:rsidRPr="00E430CC">
              <w:rPr>
                <w:szCs w:val="24"/>
                <w:lang w:val="en-US"/>
              </w:rPr>
              <w:t>3</w:t>
            </w:r>
          </w:p>
        </w:tc>
        <w:tc>
          <w:tcPr>
            <w:tcW w:w="620" w:type="pct"/>
            <w:tcBorders>
              <w:top w:val="single" w:sz="4" w:space="0" w:color="auto"/>
              <w:left w:val="single" w:sz="4" w:space="0" w:color="auto"/>
              <w:bottom w:val="single" w:sz="4" w:space="0" w:color="auto"/>
              <w:right w:val="single" w:sz="4" w:space="0" w:color="auto"/>
            </w:tcBorders>
            <w:vAlign w:val="center"/>
            <w:hideMark/>
          </w:tcPr>
          <w:p w:rsidR="001331F5" w:rsidRPr="00E430CC" w:rsidRDefault="00E430CC" w:rsidP="00396528">
            <w:pPr>
              <w:tabs>
                <w:tab w:val="left" w:pos="720"/>
              </w:tabs>
              <w:spacing w:after="240" w:line="276" w:lineRule="auto"/>
              <w:jc w:val="left"/>
              <w:rPr>
                <w:szCs w:val="24"/>
                <w:lang w:val="en-US"/>
              </w:rPr>
            </w:pPr>
            <w:r w:rsidRPr="00E430CC">
              <w:rPr>
                <w:szCs w:val="24"/>
                <w:lang w:val="en-US"/>
              </w:rPr>
              <w:t xml:space="preserve">Sondaj </w:t>
            </w:r>
          </w:p>
        </w:tc>
        <w:tc>
          <w:tcPr>
            <w:tcW w:w="466" w:type="pct"/>
            <w:tcBorders>
              <w:top w:val="single" w:sz="4" w:space="0" w:color="auto"/>
              <w:left w:val="single" w:sz="4" w:space="0" w:color="auto"/>
              <w:bottom w:val="single" w:sz="4" w:space="0" w:color="auto"/>
              <w:right w:val="single" w:sz="4" w:space="0" w:color="auto"/>
            </w:tcBorders>
            <w:vAlign w:val="center"/>
            <w:hideMark/>
          </w:tcPr>
          <w:p w:rsidR="001331F5" w:rsidRPr="00396528" w:rsidRDefault="001331F5" w:rsidP="00396528">
            <w:pPr>
              <w:tabs>
                <w:tab w:val="left" w:pos="720"/>
              </w:tabs>
              <w:spacing w:after="240" w:line="276" w:lineRule="auto"/>
              <w:jc w:val="left"/>
              <w:rPr>
                <w:szCs w:val="24"/>
                <w:lang w:val="en-US"/>
              </w:rPr>
            </w:pPr>
            <w:r w:rsidRPr="00396528">
              <w:rPr>
                <w:szCs w:val="24"/>
                <w:lang w:val="en-US"/>
              </w:rPr>
              <w:t xml:space="preserve">2018 </w:t>
            </w:r>
            <w:r w:rsidR="00396528">
              <w:rPr>
                <w:szCs w:val="24"/>
                <w:lang w:val="en-US"/>
              </w:rPr>
              <w:t>și</w:t>
            </w:r>
            <w:r w:rsidRPr="00396528">
              <w:rPr>
                <w:szCs w:val="24"/>
                <w:lang w:val="en-US"/>
              </w:rPr>
              <w:t xml:space="preserve"> 2023</w:t>
            </w:r>
          </w:p>
        </w:tc>
      </w:tr>
    </w:tbl>
    <w:p w:rsidR="001331F5" w:rsidRPr="00B749E7" w:rsidRDefault="001331F5" w:rsidP="001331F5">
      <w:pPr>
        <w:spacing w:before="0" w:after="0" w:line="276" w:lineRule="auto"/>
        <w:jc w:val="left"/>
        <w:rPr>
          <w:rFonts w:eastAsia="Times New Roman"/>
          <w:b/>
          <w:lang w:val="en-US"/>
        </w:rPr>
        <w:sectPr w:rsidR="001331F5" w:rsidRPr="00B749E7">
          <w:pgSz w:w="16838" w:h="11906" w:orient="landscape"/>
          <w:pgMar w:top="1418" w:right="1021" w:bottom="1418" w:left="1021" w:header="601" w:footer="1077" w:gutter="0"/>
          <w:cols w:space="720"/>
        </w:sectPr>
      </w:pPr>
    </w:p>
    <w:p w:rsidR="00E430CC" w:rsidRPr="00E430CC" w:rsidRDefault="00E430CC" w:rsidP="00E430CC">
      <w:pPr>
        <w:pStyle w:val="Heading2"/>
        <w:rPr>
          <w:lang w:val="fr-FR"/>
        </w:rPr>
      </w:pPr>
      <w:bookmarkStart w:id="95" w:name="_Toc394837817"/>
      <w:proofErr w:type="gramStart"/>
      <w:r w:rsidRPr="00E430CC">
        <w:rPr>
          <w:lang w:val="fr-FR"/>
        </w:rPr>
        <w:lastRenderedPageBreak/>
        <w:t>2.A.6</w:t>
      </w:r>
      <w:proofErr w:type="gramEnd"/>
      <w:r w:rsidRPr="00E430CC">
        <w:rPr>
          <w:lang w:val="fr-FR"/>
        </w:rPr>
        <w:t>. Acțiunile care urmează să fie sprijinite în cadrul priorității de investiții (pe prioritate de investiții)</w:t>
      </w:r>
      <w:bookmarkEnd w:id="95"/>
    </w:p>
    <w:p w:rsidR="001331F5" w:rsidRPr="00396473" w:rsidRDefault="00E430CC" w:rsidP="00E430CC">
      <w:pPr>
        <w:pStyle w:val="Heading2"/>
        <w:rPr>
          <w:highlight w:val="red"/>
          <w:lang w:val="fr-FR"/>
        </w:rPr>
      </w:pPr>
      <w:bookmarkStart w:id="96" w:name="_Toc394837818"/>
      <w:proofErr w:type="gramStart"/>
      <w:r w:rsidRPr="00396473">
        <w:rPr>
          <w:lang w:val="fr-FR"/>
        </w:rPr>
        <w:t>2.A.6.1</w:t>
      </w:r>
      <w:proofErr w:type="gramEnd"/>
      <w:r w:rsidRPr="00396473">
        <w:rPr>
          <w:lang w:val="fr-FR"/>
        </w:rPr>
        <w:t>. Descrierea tipului și exemple de acțiuni care urmează să fie sprijinite și contribuțiile preconizate la obiectivele specifice, inclusiv, după caz, identificarea principalelor grupuri țintă, a teritoriilor specifice vizate și a tipurilor de beneficiari</w:t>
      </w:r>
      <w:bookmarkEnd w:id="96"/>
    </w:p>
    <w:p w:rsidR="000D7F71" w:rsidRPr="00E430CC" w:rsidRDefault="00E430CC" w:rsidP="001331F5">
      <w:pPr>
        <w:rPr>
          <w:b/>
          <w:lang w:val="fr-FR"/>
        </w:rPr>
      </w:pPr>
      <w:r>
        <w:rPr>
          <w:b/>
          <w:lang w:val="fr-FR"/>
        </w:rPr>
        <w:t>Acțiuni pentruî</w:t>
      </w:r>
      <w:r w:rsidRPr="00E430CC">
        <w:rPr>
          <w:b/>
          <w:lang w:val="fr-FR"/>
        </w:rPr>
        <w:t>mbunătățirea managementului comun al riscului în aria transfrontalieră</w:t>
      </w:r>
    </w:p>
    <w:p w:rsidR="0013739E" w:rsidRPr="00E430CC" w:rsidRDefault="0013739E" w:rsidP="0013739E">
      <w:pPr>
        <w:rPr>
          <w:lang w:val="ro-RO"/>
        </w:rPr>
      </w:pPr>
      <w:r w:rsidRPr="00E430CC">
        <w:rPr>
          <w:lang w:val="ro-RO"/>
        </w:rPr>
        <w:t>Acțiunile susținute vor utiliza cadrul de cooperare transfrontalieră pentru a contribui la creșterea rezilienței față de dezastre și a capacității de reducere a impactului schimbărilor climatice. Acțiunile susținute se axează pe planificarea în comun și implementarea în comun a măsurilor de monitorizare, prevenire și reducere a riscurilor de dezastre. Cooperarea în acest domeniu este esențială, deoarece geografia zonei transfrontaliere și riscurile de dezastre asociate acesteia  (mari inundații pe fluviu și alunecări de teren, valuri de căldură și incendii, cutremure și risc de dezastre industriale) indică o valoare adăugată clară a implementării măsurilor de reziliență la dezastru și de atenuare.</w:t>
      </w:r>
    </w:p>
    <w:p w:rsidR="0013739E" w:rsidRPr="00E430CC" w:rsidRDefault="0013739E" w:rsidP="0013739E">
      <w:pPr>
        <w:rPr>
          <w:lang w:val="ro-RO"/>
        </w:rPr>
      </w:pPr>
      <w:r w:rsidRPr="00E430CC">
        <w:rPr>
          <w:lang w:val="ro-RO"/>
        </w:rPr>
        <w:t xml:space="preserve">Câteva exemple de acțiuni care sunt susținute în cadrul acestui obiectiv specific: </w:t>
      </w:r>
    </w:p>
    <w:p w:rsidR="009E516B" w:rsidRPr="00E430CC" w:rsidRDefault="00E430CC" w:rsidP="009E516B">
      <w:pPr>
        <w:rPr>
          <w:b/>
          <w:u w:val="single"/>
          <w:lang w:val="ro-RO"/>
        </w:rPr>
      </w:pPr>
      <w:r w:rsidRPr="00E430CC">
        <w:rPr>
          <w:b/>
          <w:u w:val="single"/>
          <w:lang w:val="ro-RO"/>
        </w:rPr>
        <w:t>Mă</w:t>
      </w:r>
      <w:r w:rsidR="009E516B" w:rsidRPr="00E430CC">
        <w:rPr>
          <w:b/>
          <w:u w:val="single"/>
          <w:lang w:val="ro-RO"/>
        </w:rPr>
        <w:t>suri nestructurale:</w:t>
      </w:r>
    </w:p>
    <w:p w:rsidR="009E516B" w:rsidRPr="00E430CC" w:rsidRDefault="009E516B" w:rsidP="00EC1DA9">
      <w:pPr>
        <w:numPr>
          <w:ilvl w:val="0"/>
          <w:numId w:val="12"/>
        </w:numPr>
        <w:rPr>
          <w:lang w:val="ro-RO"/>
        </w:rPr>
      </w:pPr>
      <w:r w:rsidRPr="00E430CC">
        <w:rPr>
          <w:lang w:val="ro-RO"/>
        </w:rPr>
        <w:t>Asigurarea unei mai bune coordonări și a reacțiilor eficiente ale autorităților în situațiile de urgență cauzate de dezastre naturale (inundații, incendii, valuri de căldură, cutremure, furtuni) ca și stabilirea de reguli/ legislație comună privind defrișările și construcțiile în zonele afectate de pericole naturale și antropice</w:t>
      </w:r>
    </w:p>
    <w:p w:rsidR="009E516B" w:rsidRPr="00E430CC" w:rsidRDefault="009E516B" w:rsidP="00EC1DA9">
      <w:pPr>
        <w:numPr>
          <w:ilvl w:val="0"/>
          <w:numId w:val="12"/>
        </w:numPr>
        <w:rPr>
          <w:lang w:val="ro-RO"/>
        </w:rPr>
      </w:pPr>
      <w:r w:rsidRPr="00E430CC">
        <w:rPr>
          <w:lang w:val="ro-RO"/>
        </w:rPr>
        <w:t>Stabilirea și integrarea unor standarde și sisteme armonizate pentru o mai buna  prognoza și gestiune a hazardelor  naturale și antropice în zona PCT RO-BG 2014-2020 (inundații, cutremure, incendii, furtuni), inclusiv întocmirea/ actualizarea hărților hazardelor și utilizarea soluțiilor bazate pe ecosisteme (în lunci, conservarea zonelor umede, managementul pădurilor)</w:t>
      </w:r>
    </w:p>
    <w:p w:rsidR="009E516B" w:rsidRPr="00E430CC" w:rsidRDefault="009E516B" w:rsidP="00EC1DA9">
      <w:pPr>
        <w:numPr>
          <w:ilvl w:val="0"/>
          <w:numId w:val="12"/>
        </w:numPr>
        <w:rPr>
          <w:lang w:val="ro-RO"/>
        </w:rPr>
      </w:pPr>
      <w:r w:rsidRPr="00E430CC">
        <w:rPr>
          <w:lang w:val="ro-RO"/>
        </w:rPr>
        <w:t>Stabilirea unor instrumente armonizate integrate de prevenire și reducere a riscurilor (inclusiv detectarea, sistemele de avertizare și alertare anticipată, cartografierea și evaluarea riscurilor) - crearea de structuri comune pentru situații de urgență, neașteptate (inclusiv unități de intervenție  specializate/ module de protecție civilă) și dezvoltarea de infrastructură transfrontalieră la scară mică la nivel regional în domeniul pregătirii pentru situații de urgență (ex. accidente de transport, dezastre etc.), inclusiv în caz de riscuri legate de vreme (furtuni, fenomene termice extreme, incendii forestiere, secetă, inundații) și riscuri geofizice (precum alunecările de teren, cutremurele).</w:t>
      </w:r>
    </w:p>
    <w:p w:rsidR="00AE6F86" w:rsidRPr="00E430CC" w:rsidRDefault="00AE6F86" w:rsidP="00EC1DA9">
      <w:pPr>
        <w:numPr>
          <w:ilvl w:val="0"/>
          <w:numId w:val="12"/>
        </w:numPr>
        <w:rPr>
          <w:lang w:val="ro-RO"/>
        </w:rPr>
      </w:pPr>
      <w:r w:rsidRPr="00E430CC">
        <w:rPr>
          <w:lang w:val="ro-RO"/>
        </w:rPr>
        <w:t>Elaborarea de hărți detaliate și baze de date comune cu indicarea riscurilor naturale și tehnologice și utilizarea terenurilor pentru autoritățile de planificare/amenajare a teritoriului regionale, agențiile de mediu și serviciile de urgența.</w:t>
      </w:r>
    </w:p>
    <w:p w:rsidR="00AE6F86" w:rsidRPr="00E430CC" w:rsidRDefault="00AE6F86" w:rsidP="00EC1DA9">
      <w:pPr>
        <w:numPr>
          <w:ilvl w:val="0"/>
          <w:numId w:val="12"/>
        </w:numPr>
        <w:rPr>
          <w:lang w:val="ro-RO"/>
        </w:rPr>
      </w:pPr>
      <w:r w:rsidRPr="00E430CC">
        <w:rPr>
          <w:lang w:val="ro-RO"/>
        </w:rPr>
        <w:t>Schimburi de experiență și cunoștințe, inclusiv conștientizarea în domeniul prevenirii și managementului eficient al riscurilor în zona transfrontalieră (inclusiv programe de instruire și învățare, inițiative de formare pe bază comunitară, hărți bilingve, broșuri despre pericolele naturale și antropice) destinate unor grupuri țintă specifice (copii/tineri, planificatori ai dezvoltării, manageri ai situațiilor de urgență, oficiali ai administrației publice locale etc.).</w:t>
      </w:r>
    </w:p>
    <w:p w:rsidR="00FB369F" w:rsidRPr="00E430CC" w:rsidRDefault="00E430CC" w:rsidP="00FB369F">
      <w:pPr>
        <w:rPr>
          <w:b/>
          <w:u w:val="single"/>
          <w:lang w:val="ro-RO"/>
        </w:rPr>
      </w:pPr>
      <w:r>
        <w:rPr>
          <w:b/>
          <w:u w:val="single"/>
          <w:lang w:val="ro-RO"/>
        </w:rPr>
        <w:t>Mă</w:t>
      </w:r>
      <w:r w:rsidR="00FB369F" w:rsidRPr="00E430CC">
        <w:rPr>
          <w:b/>
          <w:u w:val="single"/>
          <w:lang w:val="ro-RO"/>
        </w:rPr>
        <w:t>suri structurale:</w:t>
      </w:r>
    </w:p>
    <w:p w:rsidR="00FB369F" w:rsidRPr="00E430CC" w:rsidRDefault="00FB369F" w:rsidP="00EC1DA9">
      <w:pPr>
        <w:numPr>
          <w:ilvl w:val="0"/>
          <w:numId w:val="12"/>
        </w:numPr>
        <w:rPr>
          <w:lang w:val="ro-RO"/>
        </w:rPr>
      </w:pPr>
      <w:r w:rsidRPr="00E430CC">
        <w:rPr>
          <w:lang w:val="ro-RO"/>
        </w:rPr>
        <w:lastRenderedPageBreak/>
        <w:t xml:space="preserve">Îmbunătățirea terenului în regiunile cu nivel de risc de pericol înalt și mediu (inclusiv: salubrizarea și reîmpădurirea malurilor de râu, construcția digurilor și a protectiei de faleza (diguri, lacuri de acumulare) împădurirea/reîmpădurirea terenurilor vulnerabile nepermanente împotriva formării de torenți, reducerea tendințelor de deșertificare și a riscului </w:t>
      </w:r>
      <w:r w:rsidR="00CA48EA">
        <w:rPr>
          <w:lang w:val="ro-RO"/>
        </w:rPr>
        <w:t>înalt de secetă), replantarea pădurilor î</w:t>
      </w:r>
      <w:r w:rsidRPr="00E430CC">
        <w:rPr>
          <w:lang w:val="ro-RO"/>
        </w:rPr>
        <w:t xml:space="preserve">n lunci). </w:t>
      </w:r>
    </w:p>
    <w:p w:rsidR="00BB76F1" w:rsidRPr="00E430CC" w:rsidRDefault="00CA48EA" w:rsidP="00EC1DA9">
      <w:pPr>
        <w:numPr>
          <w:ilvl w:val="0"/>
          <w:numId w:val="12"/>
        </w:numPr>
        <w:rPr>
          <w:lang w:val="ro-RO"/>
        </w:rPr>
      </w:pPr>
      <w:r>
        <w:rPr>
          <w:lang w:val="ro-RO"/>
        </w:rPr>
        <w:t>Susţinerea şi promovarea investiţ</w:t>
      </w:r>
      <w:r w:rsidR="00FB369F" w:rsidRPr="00E430CC">
        <w:rPr>
          <w:lang w:val="ro-RO"/>
        </w:rPr>
        <w:t>iilor transfrontaliere pentru infrastru</w:t>
      </w:r>
      <w:r>
        <w:rPr>
          <w:lang w:val="ro-RO"/>
        </w:rPr>
        <w:t>ctura verde care reduce riscul şi atenuează</w:t>
      </w:r>
      <w:r w:rsidR="00FB369F" w:rsidRPr="00E430CC">
        <w:rPr>
          <w:lang w:val="ro-RO"/>
        </w:rPr>
        <w:t xml:space="preserve"> dezastrele (ca sisteme de colectare a apei pluviale, re</w:t>
      </w:r>
      <w:r>
        <w:rPr>
          <w:lang w:val="ro-RO"/>
        </w:rPr>
        <w:t>împă</w:t>
      </w:r>
      <w:r w:rsidR="00FB369F" w:rsidRPr="00E430CC">
        <w:rPr>
          <w:lang w:val="ro-RO"/>
        </w:rPr>
        <w:t>durire, etc. )</w:t>
      </w:r>
    </w:p>
    <w:p w:rsidR="00154536" w:rsidRPr="003B6552" w:rsidRDefault="00E430CC" w:rsidP="00154536">
      <w:pPr>
        <w:rPr>
          <w:b/>
          <w:u w:val="single"/>
          <w:lang w:val="ro-RO"/>
        </w:rPr>
      </w:pPr>
      <w:r w:rsidRPr="003B6552">
        <w:rPr>
          <w:b/>
          <w:u w:val="single"/>
          <w:lang w:val="ro-RO"/>
        </w:rPr>
        <w:t>Mă</w:t>
      </w:r>
      <w:r w:rsidR="00154536" w:rsidRPr="003B6552">
        <w:rPr>
          <w:b/>
          <w:u w:val="single"/>
          <w:lang w:val="ro-RO"/>
        </w:rPr>
        <w:t>suri integrate:</w:t>
      </w:r>
    </w:p>
    <w:p w:rsidR="00154536" w:rsidRPr="003B6552" w:rsidRDefault="00E430CC" w:rsidP="00EC1DA9">
      <w:pPr>
        <w:numPr>
          <w:ilvl w:val="0"/>
          <w:numId w:val="15"/>
        </w:numPr>
        <w:rPr>
          <w:lang w:val="ro-RO"/>
        </w:rPr>
      </w:pPr>
      <w:r w:rsidRPr="003B6552">
        <w:rPr>
          <w:lang w:val="ro-RO"/>
        </w:rPr>
        <w:t>Mă</w:t>
      </w:r>
      <w:r w:rsidR="00154536" w:rsidRPr="003B6552">
        <w:rPr>
          <w:lang w:val="ro-RO"/>
        </w:rPr>
        <w:t>surarea/monitorizarea parametrilor de mediu care sunt importan</w:t>
      </w:r>
      <w:r w:rsidRPr="003B6552">
        <w:rPr>
          <w:lang w:val="ro-RO"/>
        </w:rPr>
        <w:t>ț</w:t>
      </w:r>
      <w:r w:rsidR="00154536" w:rsidRPr="003B6552">
        <w:rPr>
          <w:lang w:val="ro-RO"/>
        </w:rPr>
        <w:t xml:space="preserve">i pentru avertizarea </w:t>
      </w:r>
      <w:r w:rsidR="00535D0B">
        <w:rPr>
          <w:lang w:val="ro-RO"/>
        </w:rPr>
        <w:t>timpurie</w:t>
      </w:r>
      <w:r w:rsidR="00CA48EA">
        <w:rPr>
          <w:lang w:val="ro-RO"/>
        </w:rPr>
        <w:t xml:space="preserve"> şi pentru mă</w:t>
      </w:r>
      <w:r w:rsidR="00154536" w:rsidRPr="003B6552">
        <w:rPr>
          <w:lang w:val="ro-RO"/>
        </w:rPr>
        <w:t xml:space="preserve">suri de atenuare (ex. Nivelul emisiilor, </w:t>
      </w:r>
      <w:r w:rsidR="00CA48EA">
        <w:rPr>
          <w:lang w:val="ro-RO"/>
        </w:rPr>
        <w:t>calitatea apei, analize de sol ş</w:t>
      </w:r>
      <w:r w:rsidR="00154536" w:rsidRPr="003B6552">
        <w:rPr>
          <w:lang w:val="ro-RO"/>
        </w:rPr>
        <w:t>i probe de ap</w:t>
      </w:r>
      <w:r w:rsidRPr="003B6552">
        <w:rPr>
          <w:lang w:val="ro-RO"/>
        </w:rPr>
        <w:t>ă</w:t>
      </w:r>
      <w:r w:rsidR="00CA48EA">
        <w:rPr>
          <w:lang w:val="ro-RO"/>
        </w:rPr>
        <w:t>, etc) prin achiziţionarea în comun a echipamentelor şi prin evaluarea comună</w:t>
      </w:r>
      <w:r w:rsidR="00154536" w:rsidRPr="003B6552">
        <w:rPr>
          <w:lang w:val="ro-RO"/>
        </w:rPr>
        <w:t xml:space="preserve"> a rezultatelor.</w:t>
      </w:r>
    </w:p>
    <w:p w:rsidR="001331F5" w:rsidRPr="00FF685E" w:rsidRDefault="001331F5" w:rsidP="00E6595E">
      <w:pPr>
        <w:spacing w:before="60" w:after="0"/>
        <w:rPr>
          <w:rFonts w:eastAsia="Times New Roman"/>
          <w:szCs w:val="24"/>
          <w:lang w:val="ro-RO" w:eastAsia="ar-SA"/>
        </w:rPr>
      </w:pPr>
    </w:p>
    <w:p w:rsidR="00E430CC" w:rsidRPr="00F2516F" w:rsidRDefault="00E430CC" w:rsidP="00E430CC">
      <w:pPr>
        <w:rPr>
          <w:rFonts w:eastAsia="Times New Roman"/>
          <w:b/>
          <w:szCs w:val="24"/>
          <w:lang w:val="ro-RO" w:eastAsia="fr-BE"/>
        </w:rPr>
      </w:pPr>
      <w:r w:rsidRPr="00F2516F">
        <w:rPr>
          <w:rFonts w:eastAsia="Times New Roman"/>
          <w:b/>
          <w:szCs w:val="24"/>
          <w:lang w:val="ro-RO" w:eastAsia="fr-BE"/>
        </w:rPr>
        <w:t>Tipuri de r</w:t>
      </w:r>
      <w:r>
        <w:rPr>
          <w:rFonts w:eastAsia="Times New Roman"/>
          <w:b/>
          <w:szCs w:val="24"/>
          <w:lang w:val="ro-RO" w:eastAsia="fr-BE"/>
        </w:rPr>
        <w:t>ealizări</w:t>
      </w:r>
    </w:p>
    <w:p w:rsidR="00E430CC" w:rsidRPr="00F2516F" w:rsidRDefault="00E430CC" w:rsidP="00E430CC">
      <w:pPr>
        <w:rPr>
          <w:rFonts w:eastAsia="Times New Roman"/>
          <w:szCs w:val="24"/>
          <w:lang w:val="ro-RO" w:eastAsia="fr-BE"/>
        </w:rPr>
      </w:pPr>
      <w:r w:rsidRPr="00F2516F">
        <w:rPr>
          <w:rFonts w:eastAsia="Times New Roman"/>
          <w:szCs w:val="24"/>
          <w:lang w:val="ro-RO" w:eastAsia="fr-BE"/>
        </w:rPr>
        <w:t>În cadrul acțiunilor sprijinite, tipuri diferite de re</w:t>
      </w:r>
      <w:r>
        <w:rPr>
          <w:rFonts w:eastAsia="Times New Roman"/>
          <w:szCs w:val="24"/>
          <w:lang w:val="ro-RO" w:eastAsia="fr-BE"/>
        </w:rPr>
        <w:t>alizări</w:t>
      </w:r>
      <w:r w:rsidRPr="00F2516F">
        <w:rPr>
          <w:rFonts w:eastAsia="Times New Roman"/>
          <w:szCs w:val="24"/>
          <w:lang w:val="ro-RO" w:eastAsia="fr-BE"/>
        </w:rPr>
        <w:t xml:space="preserve"> pot fi obținute. O atenție specială va fi acordată sistemelor și instrumentelor comune, precum și coordonării strategiilor și investi</w:t>
      </w:r>
      <w:r>
        <w:rPr>
          <w:rFonts w:eastAsia="Times New Roman"/>
          <w:szCs w:val="24"/>
          <w:lang w:val="ro-RO" w:eastAsia="fr-BE"/>
        </w:rPr>
        <w:t>țiilor la nivel transfrontalier</w:t>
      </w:r>
      <w:r w:rsidRPr="00F2516F">
        <w:rPr>
          <w:rFonts w:eastAsia="Times New Roman"/>
          <w:szCs w:val="24"/>
          <w:lang w:val="ro-RO" w:eastAsia="fr-BE"/>
        </w:rPr>
        <w:t xml:space="preserve"> privind abordarea prevenirii riscurilor și gestionării situațiilor</w:t>
      </w:r>
      <w:r>
        <w:rPr>
          <w:rFonts w:eastAsia="Times New Roman"/>
          <w:szCs w:val="24"/>
          <w:lang w:val="ro-RO" w:eastAsia="fr-BE"/>
        </w:rPr>
        <w:t xml:space="preserve"> de criză. Tipurile de realizări</w:t>
      </w:r>
      <w:r w:rsidRPr="00F2516F">
        <w:rPr>
          <w:rFonts w:eastAsia="Times New Roman"/>
          <w:szCs w:val="24"/>
          <w:lang w:val="ro-RO" w:eastAsia="fr-BE"/>
        </w:rPr>
        <w:t xml:space="preserve"> (fără a fi limitate la această listă) pot fi:</w:t>
      </w:r>
    </w:p>
    <w:p w:rsidR="00E430CC" w:rsidRPr="00F2516F" w:rsidRDefault="00E430CC" w:rsidP="00EC1DA9">
      <w:pPr>
        <w:pStyle w:val="ListParagraph"/>
        <w:numPr>
          <w:ilvl w:val="0"/>
          <w:numId w:val="23"/>
        </w:numPr>
        <w:rPr>
          <w:szCs w:val="24"/>
          <w:lang w:val="ro-RO" w:eastAsia="fr-BE"/>
        </w:rPr>
      </w:pPr>
      <w:r w:rsidRPr="00F2516F">
        <w:rPr>
          <w:szCs w:val="24"/>
          <w:lang w:val="ro-RO" w:eastAsia="fr-BE"/>
        </w:rPr>
        <w:t>Strategii comune pentru gestionarea situațiilor de urgență și prevenirii riscurilor, incluzând planuri de acțiune comună,</w:t>
      </w:r>
    </w:p>
    <w:p w:rsidR="00E430CC" w:rsidRPr="00F2516F" w:rsidRDefault="00E430CC" w:rsidP="00EC1DA9">
      <w:pPr>
        <w:pStyle w:val="ListParagraph"/>
        <w:numPr>
          <w:ilvl w:val="0"/>
          <w:numId w:val="23"/>
        </w:numPr>
        <w:rPr>
          <w:szCs w:val="24"/>
          <w:lang w:val="ro-RO" w:eastAsia="fr-BE"/>
        </w:rPr>
      </w:pPr>
      <w:r w:rsidRPr="00F2516F">
        <w:rPr>
          <w:szCs w:val="24"/>
          <w:lang w:val="ro-RO" w:eastAsia="fr-BE"/>
        </w:rPr>
        <w:t>Planuri de acțiune privind reziliența și atenuarea efectelor dezastrelor,</w:t>
      </w:r>
    </w:p>
    <w:p w:rsidR="00E430CC" w:rsidRPr="00F2516F" w:rsidRDefault="00E430CC" w:rsidP="00EC1DA9">
      <w:pPr>
        <w:pStyle w:val="ListParagraph"/>
        <w:numPr>
          <w:ilvl w:val="0"/>
          <w:numId w:val="23"/>
        </w:numPr>
        <w:rPr>
          <w:szCs w:val="24"/>
          <w:lang w:val="ro-RO" w:eastAsia="fr-BE"/>
        </w:rPr>
      </w:pPr>
      <w:r w:rsidRPr="00F2516F">
        <w:rPr>
          <w:szCs w:val="24"/>
          <w:lang w:val="ro-RO" w:eastAsia="fr-BE"/>
        </w:rPr>
        <w:t>Standarde integrate și comune pentru gestionarea riscului și planificării urbane,</w:t>
      </w:r>
    </w:p>
    <w:p w:rsidR="00E430CC" w:rsidRPr="00F2516F" w:rsidRDefault="00E430CC" w:rsidP="00EC1DA9">
      <w:pPr>
        <w:pStyle w:val="ListParagraph"/>
        <w:numPr>
          <w:ilvl w:val="0"/>
          <w:numId w:val="23"/>
        </w:numPr>
        <w:rPr>
          <w:szCs w:val="24"/>
          <w:lang w:val="ro-RO" w:eastAsia="fr-BE"/>
        </w:rPr>
      </w:pPr>
      <w:r w:rsidRPr="00F2516F">
        <w:rPr>
          <w:szCs w:val="24"/>
          <w:lang w:val="ro-RO" w:eastAsia="fr-BE"/>
        </w:rPr>
        <w:t>Echipament</w:t>
      </w:r>
      <w:r>
        <w:rPr>
          <w:szCs w:val="24"/>
          <w:lang w:val="ro-RO" w:eastAsia="fr-BE"/>
        </w:rPr>
        <w:t>e</w:t>
      </w:r>
      <w:r w:rsidR="00CA48EA">
        <w:rPr>
          <w:szCs w:val="24"/>
          <w:lang w:val="ro-RO" w:eastAsia="fr-BE"/>
        </w:rPr>
        <w:t xml:space="preserve"> </w:t>
      </w:r>
      <w:r>
        <w:rPr>
          <w:szCs w:val="24"/>
          <w:lang w:val="ro-RO" w:eastAsia="fr-BE"/>
        </w:rPr>
        <w:t>din</w:t>
      </w:r>
      <w:r w:rsidRPr="00F2516F">
        <w:rPr>
          <w:szCs w:val="24"/>
          <w:lang w:val="ro-RO" w:eastAsia="fr-BE"/>
        </w:rPr>
        <w:t xml:space="preserve"> domeniul monitorizarii parametrilor de mediu, echipament</w:t>
      </w:r>
      <w:r>
        <w:rPr>
          <w:szCs w:val="24"/>
          <w:lang w:val="ro-RO" w:eastAsia="fr-BE"/>
        </w:rPr>
        <w:t>e</w:t>
      </w:r>
      <w:r w:rsidR="00CA48EA">
        <w:rPr>
          <w:szCs w:val="24"/>
          <w:lang w:val="ro-RO" w:eastAsia="fr-BE"/>
        </w:rPr>
        <w:t xml:space="preserve"> </w:t>
      </w:r>
      <w:r>
        <w:rPr>
          <w:szCs w:val="24"/>
          <w:lang w:val="ro-RO" w:eastAsia="fr-BE"/>
        </w:rPr>
        <w:t>din</w:t>
      </w:r>
      <w:r w:rsidRPr="00F2516F">
        <w:rPr>
          <w:szCs w:val="24"/>
          <w:lang w:val="ro-RO" w:eastAsia="fr-BE"/>
        </w:rPr>
        <w:t xml:space="preserve"> domeniul gestionării situațiilor de urgență și rezilienței la dezastre,</w:t>
      </w:r>
    </w:p>
    <w:p w:rsidR="00E430CC" w:rsidRPr="00F2516F" w:rsidRDefault="00E430CC" w:rsidP="00EC1DA9">
      <w:pPr>
        <w:pStyle w:val="ListParagraph"/>
        <w:numPr>
          <w:ilvl w:val="0"/>
          <w:numId w:val="23"/>
        </w:numPr>
        <w:rPr>
          <w:szCs w:val="24"/>
          <w:lang w:val="ro-RO" w:eastAsia="fr-BE"/>
        </w:rPr>
      </w:pPr>
      <w:r w:rsidRPr="00F2516F">
        <w:rPr>
          <w:szCs w:val="24"/>
          <w:lang w:val="ro-RO" w:eastAsia="fr-BE"/>
        </w:rPr>
        <w:t>Campanii de creștere a conști</w:t>
      </w:r>
      <w:r>
        <w:rPr>
          <w:szCs w:val="24"/>
          <w:lang w:val="ro-RO" w:eastAsia="fr-BE"/>
        </w:rPr>
        <w:t>entizării pentru populația din zona</w:t>
      </w:r>
      <w:r w:rsidRPr="00F2516F">
        <w:rPr>
          <w:szCs w:val="24"/>
          <w:lang w:val="ro-RO" w:eastAsia="fr-BE"/>
        </w:rPr>
        <w:t xml:space="preserve"> transfrontalieră </w:t>
      </w:r>
      <w:r>
        <w:rPr>
          <w:szCs w:val="24"/>
          <w:lang w:val="ro-RO" w:eastAsia="fr-BE"/>
        </w:rPr>
        <w:t>privind situațiile de urgență,</w:t>
      </w:r>
      <w:r w:rsidRPr="00F2516F">
        <w:rPr>
          <w:szCs w:val="24"/>
          <w:lang w:val="ro-RO" w:eastAsia="fr-BE"/>
        </w:rPr>
        <w:t xml:space="preserve"> riscuri și asupra măsurilor pentru atenuarea, gestionarea și reducerea lor,</w:t>
      </w:r>
    </w:p>
    <w:p w:rsidR="00E430CC" w:rsidRPr="00F2516F" w:rsidRDefault="00E430CC" w:rsidP="00EC1DA9">
      <w:pPr>
        <w:pStyle w:val="ListParagraph"/>
        <w:numPr>
          <w:ilvl w:val="0"/>
          <w:numId w:val="23"/>
        </w:numPr>
        <w:rPr>
          <w:szCs w:val="24"/>
          <w:lang w:val="ro-RO" w:eastAsia="fr-BE"/>
        </w:rPr>
      </w:pPr>
      <w:r w:rsidRPr="00F2516F">
        <w:rPr>
          <w:szCs w:val="24"/>
          <w:lang w:val="ro-RO" w:eastAsia="fr-BE"/>
        </w:rPr>
        <w:t>Schimburi de experiență.</w:t>
      </w:r>
    </w:p>
    <w:p w:rsidR="00E430CC" w:rsidRPr="00F2516F" w:rsidRDefault="00E430CC" w:rsidP="00E430CC">
      <w:pPr>
        <w:rPr>
          <w:b/>
          <w:szCs w:val="24"/>
          <w:lang w:val="ro-RO" w:eastAsia="fr-BE"/>
        </w:rPr>
      </w:pPr>
      <w:r w:rsidRPr="00F2516F">
        <w:rPr>
          <w:b/>
          <w:szCs w:val="24"/>
          <w:lang w:val="ro-RO" w:eastAsia="fr-BE"/>
        </w:rPr>
        <w:t>Principalele grupuri țintă și tipurile de beneficiari</w:t>
      </w:r>
    </w:p>
    <w:p w:rsidR="00E430CC" w:rsidRPr="00F2516F" w:rsidRDefault="00E430CC" w:rsidP="00E430CC">
      <w:pPr>
        <w:rPr>
          <w:szCs w:val="24"/>
          <w:lang w:val="ro-RO" w:eastAsia="fr-BE"/>
        </w:rPr>
      </w:pPr>
      <w:r w:rsidRPr="00F2516F">
        <w:rPr>
          <w:szCs w:val="24"/>
          <w:lang w:val="ro-RO" w:eastAsia="fr-BE"/>
        </w:rPr>
        <w:t xml:space="preserve">Principalele </w:t>
      </w:r>
      <w:r w:rsidRPr="007047DA">
        <w:rPr>
          <w:b/>
          <w:szCs w:val="24"/>
          <w:lang w:val="ro-RO" w:eastAsia="fr-BE"/>
        </w:rPr>
        <w:t>grupuri țintă</w:t>
      </w:r>
      <w:r w:rsidRPr="00F2516F">
        <w:rPr>
          <w:szCs w:val="24"/>
          <w:lang w:val="ro-RO" w:eastAsia="fr-BE"/>
        </w:rPr>
        <w:t xml:space="preserve"> pentru această măsură sunt factorii de decizie la nivel național, regional, județean/districtual și local în domeniul riscului de dezastr</w:t>
      </w:r>
      <w:r>
        <w:rPr>
          <w:szCs w:val="24"/>
          <w:lang w:val="ro-RO" w:eastAsia="fr-BE"/>
        </w:rPr>
        <w:t>e</w:t>
      </w:r>
      <w:r w:rsidRPr="00F2516F">
        <w:rPr>
          <w:szCs w:val="24"/>
          <w:lang w:val="ro-RO" w:eastAsia="fr-BE"/>
        </w:rPr>
        <w:t xml:space="preserve"> și situațiilor de urgență, populați</w:t>
      </w:r>
      <w:r>
        <w:rPr>
          <w:szCs w:val="24"/>
          <w:lang w:val="ro-RO" w:eastAsia="fr-BE"/>
        </w:rPr>
        <w:t>a rezidentă în zona transfro</w:t>
      </w:r>
      <w:r w:rsidRPr="00F2516F">
        <w:rPr>
          <w:szCs w:val="24"/>
          <w:lang w:val="ro-RO" w:eastAsia="fr-BE"/>
        </w:rPr>
        <w:t>n</w:t>
      </w:r>
      <w:r>
        <w:rPr>
          <w:szCs w:val="24"/>
          <w:lang w:val="ro-RO" w:eastAsia="fr-BE"/>
        </w:rPr>
        <w:t>t</w:t>
      </w:r>
      <w:r w:rsidRPr="00F2516F">
        <w:rPr>
          <w:szCs w:val="24"/>
          <w:lang w:val="ro-RO" w:eastAsia="fr-BE"/>
        </w:rPr>
        <w:t>alieră și instituțiile care au sarcina de monitorizare, evaluare și îndrumare privind situațiile de urgență și riscul de dezastru.</w:t>
      </w:r>
    </w:p>
    <w:p w:rsidR="00E430CC" w:rsidRPr="00F2516F" w:rsidRDefault="00E430CC" w:rsidP="00E430CC">
      <w:pPr>
        <w:rPr>
          <w:szCs w:val="24"/>
          <w:lang w:val="ro-RO" w:eastAsia="fr-BE"/>
        </w:rPr>
      </w:pPr>
      <w:r w:rsidRPr="00250152">
        <w:rPr>
          <w:b/>
          <w:szCs w:val="24"/>
          <w:lang w:val="ro-RO" w:eastAsia="fr-BE"/>
        </w:rPr>
        <w:t>Beneficiarii</w:t>
      </w:r>
      <w:r w:rsidRPr="00F2516F">
        <w:rPr>
          <w:szCs w:val="24"/>
          <w:lang w:val="ro-RO" w:eastAsia="fr-BE"/>
        </w:rPr>
        <w:t xml:space="preserve"> acțiunilor sprijinite sunt, în primul rând, instituțiile naționale sau la nivel local/județean/districtual care se ocupă, în temeiul legii, de managementul situațiilor de urgență. Orice altă organizație publică sau non-profit care poate contribui în mod activ și eficient la reducerea riscului de dezastru și ajuta în procesul de atenuare a efectelor est</w:t>
      </w:r>
      <w:r>
        <w:rPr>
          <w:szCs w:val="24"/>
          <w:lang w:val="ro-RO" w:eastAsia="fr-BE"/>
        </w:rPr>
        <w:t>e</w:t>
      </w:r>
      <w:r w:rsidRPr="00F2516F">
        <w:rPr>
          <w:szCs w:val="24"/>
          <w:lang w:val="ro-RO" w:eastAsia="fr-BE"/>
        </w:rPr>
        <w:t xml:space="preserve"> un beneficiar potențial important: administrațiile publice locale, ONG-uri care pot implica și educa comunitățile locale, universitățile și organizațiile de cercetare și dezvoltare implicate în cercetarea diferiților factori de risc (poluarea industrial</w:t>
      </w:r>
      <w:r>
        <w:rPr>
          <w:szCs w:val="24"/>
          <w:lang w:val="ro-RO" w:eastAsia="fr-BE"/>
        </w:rPr>
        <w:t>ă</w:t>
      </w:r>
      <w:r w:rsidRPr="00F2516F">
        <w:rPr>
          <w:szCs w:val="24"/>
          <w:lang w:val="ro-RO" w:eastAsia="fr-BE"/>
        </w:rPr>
        <w:t xml:space="preserve">, efectele locale </w:t>
      </w:r>
      <w:r>
        <w:rPr>
          <w:szCs w:val="24"/>
          <w:lang w:val="ro-RO" w:eastAsia="fr-BE"/>
        </w:rPr>
        <w:t>ale schimbărilor climatice</w:t>
      </w:r>
      <w:r w:rsidRPr="00F2516F">
        <w:rPr>
          <w:szCs w:val="24"/>
          <w:lang w:val="ro-RO" w:eastAsia="fr-BE"/>
        </w:rPr>
        <w:t xml:space="preserve">). </w:t>
      </w:r>
    </w:p>
    <w:p w:rsidR="00E430CC" w:rsidRPr="00F2516F" w:rsidRDefault="00E430CC" w:rsidP="00E430CC">
      <w:pPr>
        <w:rPr>
          <w:b/>
          <w:lang w:val="ro-RO"/>
        </w:rPr>
      </w:pPr>
      <w:r w:rsidRPr="00F2516F">
        <w:rPr>
          <w:b/>
          <w:lang w:val="ro-RO"/>
        </w:rPr>
        <w:t>Regiunile specifice vizate</w:t>
      </w:r>
    </w:p>
    <w:p w:rsidR="00E430CC" w:rsidRPr="00F2516F" w:rsidRDefault="00E430CC" w:rsidP="00E430CC">
      <w:pPr>
        <w:rPr>
          <w:lang w:val="ro-RO"/>
        </w:rPr>
      </w:pPr>
      <w:r w:rsidRPr="00F2516F">
        <w:rPr>
          <w:lang w:val="ro-RO"/>
        </w:rPr>
        <w:lastRenderedPageBreak/>
        <w:t>Întreaga zonă transfrontalieră este vizată. O atenție specială va fi acordată riscului de inundație pentru fluviul Dunărea și problemelor de eroziune a solului și malurilor, de o parte, și de risc de dezastru industrial, pe cealaltă. Astfel ter</w:t>
      </w:r>
      <w:r>
        <w:rPr>
          <w:lang w:val="ro-RO"/>
        </w:rPr>
        <w:t>itoriile cele mai afectate de c</w:t>
      </w:r>
      <w:r w:rsidRPr="00F2516F">
        <w:rPr>
          <w:lang w:val="ro-RO"/>
        </w:rPr>
        <w:t xml:space="preserve">ătre aceste tipuri de risc pot fi identificate rapid ca regiuni vizate (zone în proximitatea zonelor industriale importante, Lunca Dunării,  zonele expuse eroziunii malurilor, etc. ). </w:t>
      </w:r>
    </w:p>
    <w:p w:rsidR="00E430CC" w:rsidRDefault="00E430CC" w:rsidP="00E430CC">
      <w:pPr>
        <w:rPr>
          <w:rFonts w:eastAsia="Times New Roman"/>
          <w:b/>
          <w:bCs/>
          <w:szCs w:val="24"/>
          <w:lang w:val="ro-RO" w:eastAsia="fr-BE"/>
        </w:rPr>
      </w:pPr>
      <w:r w:rsidRPr="00F2516F">
        <w:rPr>
          <w:rFonts w:eastAsia="Times New Roman"/>
          <w:b/>
          <w:bCs/>
          <w:szCs w:val="24"/>
          <w:lang w:val="ro-RO" w:eastAsia="fr-BE"/>
        </w:rPr>
        <w:t>2.A.6.2. Principiile directoare pentru selectarea operațiunilor</w:t>
      </w:r>
    </w:p>
    <w:p w:rsidR="00AA6732" w:rsidRPr="00AA6732" w:rsidRDefault="00AA6732" w:rsidP="00E430CC">
      <w:pPr>
        <w:rPr>
          <w:rFonts w:eastAsia="Times New Roman"/>
          <w:bCs/>
          <w:i/>
          <w:szCs w:val="24"/>
          <w:lang w:val="ro-RO" w:eastAsia="fr-BE"/>
        </w:rPr>
      </w:pPr>
      <w:r w:rsidRPr="00AA6732">
        <w:rPr>
          <w:rFonts w:eastAsia="Times New Roman"/>
          <w:bCs/>
          <w:i/>
          <w:szCs w:val="24"/>
          <w:lang w:val="ro-RO" w:eastAsia="fr-BE"/>
        </w:rPr>
        <w:t>Prioritate de investiții 5.b</w:t>
      </w:r>
    </w:p>
    <w:p w:rsidR="00E430CC" w:rsidRPr="00F2516F" w:rsidRDefault="00E430CC" w:rsidP="00E430CC">
      <w:pPr>
        <w:rPr>
          <w:szCs w:val="24"/>
          <w:lang w:val="ro-RO"/>
        </w:rPr>
      </w:pPr>
      <w:r w:rsidRPr="00F2516F">
        <w:rPr>
          <w:szCs w:val="24"/>
          <w:lang w:val="ro-RO"/>
        </w:rPr>
        <w:t>Selectarea operațiunilor va fi realizată într-o manieră similară pentru toate axele prioritare. O atenție specială va fi acordată asigurării că investițiile sprijinite sub acest obiectiv specific nu se vor suprapune cu orice alte activități/</w:t>
      </w:r>
      <w:r>
        <w:rPr>
          <w:szCs w:val="24"/>
          <w:lang w:val="ro-RO"/>
        </w:rPr>
        <w:t>realizări</w:t>
      </w:r>
      <w:r w:rsidRPr="00F2516F">
        <w:rPr>
          <w:szCs w:val="24"/>
          <w:lang w:val="ro-RO"/>
        </w:rPr>
        <w:t xml:space="preserve"> finanțate prin alte instrumente de intervenție. </w:t>
      </w:r>
    </w:p>
    <w:p w:rsidR="00E430CC" w:rsidRPr="00F2516F" w:rsidRDefault="00E430CC" w:rsidP="00E430CC">
      <w:pPr>
        <w:rPr>
          <w:szCs w:val="24"/>
          <w:lang w:val="ro-RO"/>
        </w:rPr>
      </w:pPr>
      <w:r w:rsidRPr="00F2516F">
        <w:rPr>
          <w:szCs w:val="24"/>
          <w:lang w:val="ro-RO"/>
        </w:rPr>
        <w:t xml:space="preserve">Evaluarea va avea două faze. O fază va privi criteriile administrative și de eligibilitate, realizată într-un mod strict de către Secretariatul Comun (SC). A doua fază va privi evaluarea tehnică, realizată, dacă este necesar, cu ajutorul experților externi contractați. </w:t>
      </w:r>
    </w:p>
    <w:p w:rsidR="00E430CC" w:rsidRPr="00F2516F" w:rsidRDefault="00E430CC" w:rsidP="00E430CC">
      <w:pPr>
        <w:rPr>
          <w:szCs w:val="24"/>
          <w:lang w:val="ro-RO"/>
        </w:rPr>
      </w:pPr>
      <w:r w:rsidRPr="00F2516F">
        <w:rPr>
          <w:szCs w:val="24"/>
          <w:lang w:val="ro-RO"/>
        </w:rPr>
        <w:t xml:space="preserve">Criteriile de eligibilitate vor verifica atât eligibilitatea operațiunilor, cât și a beneficiarilor și a cheltuielilor. </w:t>
      </w:r>
    </w:p>
    <w:p w:rsidR="00E430CC" w:rsidRPr="00F2516F" w:rsidRDefault="00E430CC" w:rsidP="00E430CC">
      <w:pPr>
        <w:rPr>
          <w:rFonts w:eastAsia="Times New Roman"/>
          <w:szCs w:val="24"/>
          <w:lang w:val="ro-RO" w:eastAsia="fr-BE"/>
        </w:rPr>
      </w:pPr>
      <w:r w:rsidRPr="00F2516F">
        <w:rPr>
          <w:rFonts w:eastAsia="Times New Roman"/>
          <w:szCs w:val="24"/>
          <w:lang w:val="ro-RO" w:eastAsia="fr-BE"/>
        </w:rPr>
        <w:t xml:space="preserve">Operațiunile sunt eligibile dacă sunt cuprinse în obiectivele specifice ale Programului și dacă ele contribuie la măcar unul din rezultatele programului. </w:t>
      </w:r>
    </w:p>
    <w:p w:rsidR="00E430CC" w:rsidRPr="00F2516F" w:rsidRDefault="00E430CC" w:rsidP="00E430CC">
      <w:pPr>
        <w:rPr>
          <w:rFonts w:eastAsia="Times New Roman"/>
          <w:szCs w:val="24"/>
          <w:lang w:val="ro-RO" w:eastAsia="fr-BE"/>
        </w:rPr>
      </w:pPr>
      <w:r w:rsidRPr="00F2516F">
        <w:rPr>
          <w:rFonts w:eastAsia="Times New Roman"/>
          <w:szCs w:val="24"/>
          <w:lang w:val="ro-RO" w:eastAsia="fr-BE"/>
        </w:rPr>
        <w:t xml:space="preserve">În cazul în care o operațiune nu contribuie la obiectivul specific și la unul din rezultatele programului, ea va fi respinsă în prima fază (evaluarea administrativă și de eligibilitate). Gradul în care o operațiune contribuie la obiectivele specifice și </w:t>
      </w:r>
      <w:r>
        <w:rPr>
          <w:rFonts w:eastAsia="Times New Roman"/>
          <w:szCs w:val="24"/>
          <w:lang w:val="ro-RO" w:eastAsia="fr-BE"/>
        </w:rPr>
        <w:t xml:space="preserve">la </w:t>
      </w:r>
      <w:r w:rsidRPr="00F2516F">
        <w:rPr>
          <w:rFonts w:eastAsia="Times New Roman"/>
          <w:szCs w:val="24"/>
          <w:lang w:val="ro-RO" w:eastAsia="fr-BE"/>
        </w:rPr>
        <w:t xml:space="preserve">rezultate va fi punctată în cadrul evaluării tehnice. </w:t>
      </w:r>
    </w:p>
    <w:p w:rsidR="00E430CC" w:rsidRPr="00F2516F" w:rsidRDefault="00E430CC" w:rsidP="00E430CC">
      <w:pPr>
        <w:rPr>
          <w:rFonts w:eastAsia="Times New Roman"/>
          <w:szCs w:val="24"/>
          <w:lang w:val="ro-RO" w:eastAsia="fr-BE"/>
        </w:rPr>
      </w:pPr>
      <w:r w:rsidRPr="00F2516F">
        <w:rPr>
          <w:rFonts w:eastAsia="Times New Roman"/>
          <w:szCs w:val="24"/>
          <w:lang w:val="ro-RO" w:eastAsia="fr-BE"/>
        </w:rPr>
        <w:t>Beneficiarii eligibil</w:t>
      </w:r>
      <w:r>
        <w:rPr>
          <w:rFonts w:eastAsia="Times New Roman"/>
          <w:szCs w:val="24"/>
          <w:lang w:val="ro-RO" w:eastAsia="fr-BE"/>
        </w:rPr>
        <w:t>i</w:t>
      </w:r>
      <w:r w:rsidRPr="00F2516F">
        <w:rPr>
          <w:rFonts w:eastAsia="Times New Roman"/>
          <w:szCs w:val="24"/>
          <w:lang w:val="ro-RO" w:eastAsia="fr-BE"/>
        </w:rPr>
        <w:t xml:space="preserve"> sunt instituțiile publice și private responsabile pentru inițierea sau inițierea și implementarea operațiunilor ce respectă condițiile specifice din cererile de propuneri. </w:t>
      </w:r>
    </w:p>
    <w:p w:rsidR="00E430CC" w:rsidRPr="00F2516F" w:rsidRDefault="00E430CC" w:rsidP="00E430CC">
      <w:pPr>
        <w:rPr>
          <w:rFonts w:eastAsia="Times New Roman"/>
          <w:szCs w:val="24"/>
          <w:lang w:val="ro-RO" w:eastAsia="fr-BE"/>
        </w:rPr>
      </w:pPr>
      <w:r w:rsidRPr="00F2516F">
        <w:rPr>
          <w:rFonts w:eastAsia="Times New Roman"/>
          <w:szCs w:val="24"/>
          <w:lang w:val="ro-RO" w:eastAsia="fr-BE"/>
        </w:rPr>
        <w:t xml:space="preserve">În ceea ce privește cheltuielile eligibile, lista va fi aprobată de către Comitetul de Monitorizare. </w:t>
      </w:r>
      <w:r w:rsidRPr="00AB6AD7">
        <w:rPr>
          <w:rFonts w:eastAsia="Times New Roman"/>
          <w:szCs w:val="24"/>
          <w:lang w:val="ro-RO" w:eastAsia="fr-BE"/>
        </w:rPr>
        <w:t>Niciun alt act legal național nu este necesar</w:t>
      </w:r>
      <w:r w:rsidRPr="00F2516F">
        <w:rPr>
          <w:rFonts w:eastAsia="Times New Roman"/>
          <w:color w:val="FF0000"/>
          <w:szCs w:val="24"/>
          <w:lang w:val="ro-RO" w:eastAsia="fr-BE"/>
        </w:rPr>
        <w:t xml:space="preserve">. </w:t>
      </w:r>
      <w:r w:rsidRPr="00F2516F">
        <w:rPr>
          <w:rFonts w:eastAsia="Times New Roman"/>
          <w:szCs w:val="24"/>
          <w:lang w:val="ro-RO" w:eastAsia="fr-BE"/>
        </w:rPr>
        <w:t>În cadrul fazei administrative va fi verificată doar conformitatea tipurilor de cheltuieli.</w:t>
      </w:r>
    </w:p>
    <w:p w:rsidR="00E430CC" w:rsidRPr="00F2516F" w:rsidRDefault="00E430CC" w:rsidP="00E430CC">
      <w:pPr>
        <w:rPr>
          <w:rFonts w:eastAsia="Times New Roman"/>
          <w:szCs w:val="24"/>
          <w:lang w:val="ro-RO" w:eastAsia="fr-BE"/>
        </w:rPr>
      </w:pPr>
      <w:r w:rsidRPr="00F2516F">
        <w:rPr>
          <w:rFonts w:eastAsia="Times New Roman"/>
          <w:szCs w:val="24"/>
          <w:lang w:val="ro-RO" w:eastAsia="fr-BE"/>
        </w:rPr>
        <w:t xml:space="preserve">După ce SC </w:t>
      </w:r>
      <w:r>
        <w:rPr>
          <w:rFonts w:eastAsia="Times New Roman"/>
          <w:szCs w:val="24"/>
          <w:lang w:val="ro-RO" w:eastAsia="fr-BE"/>
        </w:rPr>
        <w:t>evaluează</w:t>
      </w:r>
      <w:r w:rsidRPr="00F2516F">
        <w:rPr>
          <w:rFonts w:eastAsia="Times New Roman"/>
          <w:szCs w:val="24"/>
          <w:lang w:val="ro-RO" w:eastAsia="fr-BE"/>
        </w:rPr>
        <w:t xml:space="preserve"> proiectele, lista va fi înaintată Comitetului de Monitorizare pentru decizia privind selectarea.</w:t>
      </w:r>
    </w:p>
    <w:p w:rsidR="00535D0B" w:rsidRPr="0000777B" w:rsidRDefault="00535D0B" w:rsidP="00EF614F">
      <w:pPr>
        <w:pStyle w:val="Heading2"/>
        <w:rPr>
          <w:highlight w:val="red"/>
          <w:lang w:val="ro-RO"/>
        </w:rPr>
      </w:pPr>
      <w:bookmarkStart w:id="97" w:name="_Toc394837819"/>
      <w:r w:rsidRPr="0000777B">
        <w:rPr>
          <w:lang w:val="ro-RO"/>
        </w:rPr>
        <w:t>2.A.6.3. Utilizarea planificată a instrumentelor financiare (după caz)</w:t>
      </w:r>
      <w:bookmarkEnd w:id="97"/>
    </w:p>
    <w:p w:rsidR="00AA6732" w:rsidRPr="0000777B" w:rsidRDefault="00AA6732" w:rsidP="00AA6732">
      <w:pPr>
        <w:keepNext/>
        <w:spacing w:after="240"/>
        <w:outlineLvl w:val="2"/>
        <w:rPr>
          <w:rFonts w:eastAsia="Times New Roman"/>
          <w:b/>
          <w:i/>
          <w:lang w:val="ro-RO"/>
        </w:rPr>
      </w:pPr>
      <w:r w:rsidRPr="0000777B">
        <w:rPr>
          <w:lang w:val="ro-RO"/>
        </w:rPr>
        <w:t>Nu se aplică</w:t>
      </w:r>
    </w:p>
    <w:p w:rsidR="00535D0B" w:rsidRPr="0000777B" w:rsidRDefault="00535D0B" w:rsidP="00EF614F">
      <w:pPr>
        <w:pStyle w:val="Heading2"/>
        <w:rPr>
          <w:lang w:val="ro-RO"/>
        </w:rPr>
      </w:pPr>
      <w:bookmarkStart w:id="98" w:name="_Toc394837820"/>
      <w:r w:rsidRPr="0000777B">
        <w:rPr>
          <w:lang w:val="ro-RO"/>
        </w:rPr>
        <w:t>2.A.6.4. Utilizarea planificată a proiectelor majore (după caz)</w:t>
      </w:r>
      <w:bookmarkEnd w:id="98"/>
    </w:p>
    <w:p w:rsidR="00AA6732" w:rsidRPr="0000777B" w:rsidRDefault="00AA6732" w:rsidP="00AA6732">
      <w:pPr>
        <w:keepNext/>
        <w:spacing w:after="240"/>
        <w:outlineLvl w:val="2"/>
        <w:rPr>
          <w:rFonts w:eastAsia="Times New Roman"/>
          <w:b/>
          <w:i/>
          <w:lang w:val="ro-RO"/>
        </w:rPr>
      </w:pPr>
      <w:r w:rsidRPr="0000777B">
        <w:rPr>
          <w:lang w:val="ro-RO"/>
        </w:rPr>
        <w:t>Nu se aplică</w:t>
      </w:r>
    </w:p>
    <w:p w:rsidR="00AA6732" w:rsidRPr="0000777B" w:rsidRDefault="00AA6732" w:rsidP="00EF614F">
      <w:pPr>
        <w:pStyle w:val="Heading2"/>
        <w:rPr>
          <w:lang w:val="fr-FR"/>
        </w:rPr>
      </w:pPr>
      <w:bookmarkStart w:id="99" w:name="_Toc394837821"/>
      <w:r w:rsidRPr="0000777B">
        <w:rPr>
          <w:lang w:val="ro-RO"/>
        </w:rPr>
        <w:t>2.A.6.5. Indicatori de realizare (pe prioritate de investiții)</w:t>
      </w:r>
      <w:bookmarkEnd w:id="99"/>
    </w:p>
    <w:p w:rsidR="00AA6732" w:rsidRDefault="00AA6732" w:rsidP="00AA6732">
      <w:pPr>
        <w:keepNext/>
        <w:spacing w:before="240"/>
        <w:outlineLvl w:val="1"/>
        <w:rPr>
          <w:rFonts w:eastAsia="Times New Roman"/>
          <w:b/>
          <w:bCs/>
          <w:szCs w:val="26"/>
          <w:lang w:val="fr-FR"/>
        </w:rPr>
        <w:sectPr w:rsidR="00AA6732">
          <w:pgSz w:w="11906" w:h="16838"/>
          <w:pgMar w:top="1021" w:right="1418" w:bottom="1021" w:left="1418" w:header="601" w:footer="1077" w:gutter="0"/>
          <w:cols w:space="720"/>
        </w:sectPr>
      </w:pPr>
    </w:p>
    <w:p w:rsidR="00AA6732" w:rsidRPr="0000777B" w:rsidRDefault="00AA6732" w:rsidP="00EF614F">
      <w:pPr>
        <w:pStyle w:val="Heading2"/>
        <w:rPr>
          <w:highlight w:val="red"/>
          <w:lang w:val="fr-FR"/>
        </w:rPr>
      </w:pPr>
      <w:bookmarkStart w:id="100" w:name="_Toc394837822"/>
      <w:r w:rsidRPr="0000777B">
        <w:rPr>
          <w:lang w:val="fr-FR"/>
        </w:rPr>
        <w:lastRenderedPageBreak/>
        <w:t>Tabelul 4: Indicatori de realizare comuni și specifici programului</w:t>
      </w:r>
      <w:bookmarkEnd w:id="100"/>
    </w:p>
    <w:p w:rsidR="009139B4" w:rsidRPr="0022587E" w:rsidRDefault="009139B4" w:rsidP="001331F5">
      <w:pPr>
        <w:spacing w:before="0" w:after="0" w:line="276" w:lineRule="auto"/>
        <w:jc w:val="left"/>
        <w:rPr>
          <w:rFonts w:eastAsia="Times New Roman"/>
          <w:b/>
          <w:lang w:val="fr-FR"/>
        </w:rPr>
      </w:pPr>
    </w:p>
    <w:tbl>
      <w:tblPr>
        <w:tblW w:w="52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5"/>
        <w:gridCol w:w="2211"/>
        <w:gridCol w:w="1585"/>
        <w:gridCol w:w="1365"/>
        <w:gridCol w:w="1718"/>
        <w:gridCol w:w="1716"/>
      </w:tblGrid>
      <w:tr w:rsidR="0022587E" w:rsidRPr="008C14D4" w:rsidTr="00376C40">
        <w:trPr>
          <w:trHeight w:val="706"/>
          <w:jc w:val="center"/>
        </w:trPr>
        <w:tc>
          <w:tcPr>
            <w:tcW w:w="592" w:type="pct"/>
            <w:tcBorders>
              <w:top w:val="single" w:sz="4" w:space="0" w:color="000000"/>
              <w:left w:val="single" w:sz="4" w:space="0" w:color="000000"/>
              <w:bottom w:val="single" w:sz="4" w:space="0" w:color="000000"/>
              <w:right w:val="single" w:sz="4" w:space="0" w:color="000000"/>
            </w:tcBorders>
            <w:vAlign w:val="center"/>
            <w:hideMark/>
          </w:tcPr>
          <w:p w:rsidR="0022587E" w:rsidRPr="008C14D4" w:rsidRDefault="0022587E" w:rsidP="00376C40">
            <w:pPr>
              <w:spacing w:before="0" w:after="0" w:line="276" w:lineRule="auto"/>
              <w:ind w:left="283" w:hanging="283"/>
              <w:jc w:val="left"/>
              <w:rPr>
                <w:rFonts w:eastAsia="Times New Roman"/>
                <w:b/>
                <w:sz w:val="20"/>
                <w:lang w:val="en-US"/>
              </w:rPr>
            </w:pPr>
            <w:r w:rsidRPr="008C14D4">
              <w:rPr>
                <w:rFonts w:eastAsia="Times New Roman"/>
                <w:b/>
                <w:sz w:val="20"/>
                <w:lang w:val="en-US"/>
              </w:rPr>
              <w:t>ID</w:t>
            </w:r>
          </w:p>
        </w:tc>
        <w:tc>
          <w:tcPr>
            <w:tcW w:w="1134" w:type="pct"/>
            <w:tcBorders>
              <w:top w:val="single" w:sz="4" w:space="0" w:color="000000"/>
              <w:left w:val="single" w:sz="4" w:space="0" w:color="000000"/>
              <w:bottom w:val="single" w:sz="4" w:space="0" w:color="000000"/>
              <w:right w:val="single" w:sz="4" w:space="0" w:color="000000"/>
            </w:tcBorders>
            <w:vAlign w:val="center"/>
            <w:hideMark/>
          </w:tcPr>
          <w:p w:rsidR="0022587E" w:rsidRPr="008C14D4" w:rsidRDefault="0022587E" w:rsidP="00376C40">
            <w:pPr>
              <w:spacing w:before="0" w:after="0" w:line="276" w:lineRule="auto"/>
              <w:ind w:left="283" w:hanging="283"/>
              <w:jc w:val="left"/>
              <w:rPr>
                <w:rFonts w:eastAsia="Times New Roman"/>
                <w:b/>
                <w:sz w:val="20"/>
                <w:lang w:val="en-US"/>
              </w:rPr>
            </w:pPr>
            <w:r w:rsidRPr="008C14D4">
              <w:rPr>
                <w:rFonts w:eastAsia="Times New Roman"/>
                <w:b/>
                <w:sz w:val="20"/>
                <w:lang w:val="en-US"/>
              </w:rPr>
              <w:t>Indicator (denumirea indicatorului)</w:t>
            </w:r>
          </w:p>
        </w:tc>
        <w:tc>
          <w:tcPr>
            <w:tcW w:w="813" w:type="pct"/>
            <w:tcBorders>
              <w:top w:val="single" w:sz="4" w:space="0" w:color="000000"/>
              <w:left w:val="single" w:sz="4" w:space="0" w:color="000000"/>
              <w:bottom w:val="single" w:sz="4" w:space="0" w:color="000000"/>
              <w:right w:val="single" w:sz="4" w:space="0" w:color="000000"/>
            </w:tcBorders>
            <w:vAlign w:val="center"/>
            <w:hideMark/>
          </w:tcPr>
          <w:p w:rsidR="0022587E" w:rsidRPr="008C14D4" w:rsidRDefault="0022587E" w:rsidP="00376C40">
            <w:pPr>
              <w:spacing w:before="0" w:after="0" w:line="276" w:lineRule="auto"/>
              <w:jc w:val="left"/>
              <w:rPr>
                <w:rFonts w:eastAsia="Times New Roman"/>
                <w:b/>
                <w:sz w:val="20"/>
                <w:lang w:val="en-US"/>
              </w:rPr>
            </w:pPr>
            <w:r w:rsidRPr="008C14D4">
              <w:rPr>
                <w:rFonts w:eastAsia="Times New Roman"/>
                <w:b/>
                <w:sz w:val="20"/>
                <w:lang w:val="en-US"/>
              </w:rPr>
              <w:t>Unitate de măsură</w:t>
            </w:r>
          </w:p>
        </w:tc>
        <w:tc>
          <w:tcPr>
            <w:tcW w:w="700" w:type="pct"/>
            <w:tcBorders>
              <w:top w:val="single" w:sz="4" w:space="0" w:color="000000"/>
              <w:left w:val="single" w:sz="4" w:space="0" w:color="000000"/>
              <w:bottom w:val="single" w:sz="4" w:space="0" w:color="000000"/>
              <w:right w:val="single" w:sz="4" w:space="0" w:color="000000"/>
            </w:tcBorders>
            <w:vAlign w:val="center"/>
            <w:hideMark/>
          </w:tcPr>
          <w:p w:rsidR="0022587E" w:rsidRPr="008C14D4" w:rsidRDefault="0022587E" w:rsidP="00376C40">
            <w:pPr>
              <w:spacing w:before="0" w:after="0" w:line="276" w:lineRule="auto"/>
              <w:jc w:val="left"/>
              <w:rPr>
                <w:rFonts w:eastAsia="Times New Roman"/>
                <w:b/>
                <w:sz w:val="20"/>
                <w:lang w:val="en-US"/>
              </w:rPr>
            </w:pPr>
            <w:r w:rsidRPr="008C14D4">
              <w:rPr>
                <w:rFonts w:eastAsia="Times New Roman"/>
                <w:b/>
                <w:sz w:val="20"/>
                <w:lang w:val="en-US"/>
              </w:rPr>
              <w:t>Valoarea-țintă (2023)</w:t>
            </w:r>
          </w:p>
        </w:tc>
        <w:tc>
          <w:tcPr>
            <w:tcW w:w="881" w:type="pct"/>
            <w:tcBorders>
              <w:top w:val="single" w:sz="4" w:space="0" w:color="000000"/>
              <w:left w:val="single" w:sz="4" w:space="0" w:color="000000"/>
              <w:bottom w:val="single" w:sz="4" w:space="0" w:color="000000"/>
              <w:right w:val="single" w:sz="4" w:space="0" w:color="000000"/>
            </w:tcBorders>
            <w:vAlign w:val="center"/>
            <w:hideMark/>
          </w:tcPr>
          <w:p w:rsidR="0022587E" w:rsidRPr="008C14D4" w:rsidRDefault="0022587E" w:rsidP="00376C40">
            <w:pPr>
              <w:spacing w:before="0" w:after="0" w:line="276" w:lineRule="auto"/>
              <w:jc w:val="left"/>
              <w:rPr>
                <w:rFonts w:eastAsia="Times New Roman"/>
                <w:b/>
                <w:sz w:val="20"/>
                <w:lang w:val="en-US"/>
              </w:rPr>
            </w:pPr>
            <w:r w:rsidRPr="008C14D4">
              <w:rPr>
                <w:rFonts w:eastAsia="Times New Roman"/>
                <w:b/>
                <w:sz w:val="20"/>
                <w:lang w:val="en-US"/>
              </w:rPr>
              <w:t>Sursa datelor</w:t>
            </w:r>
          </w:p>
        </w:tc>
        <w:tc>
          <w:tcPr>
            <w:tcW w:w="880" w:type="pct"/>
            <w:tcBorders>
              <w:top w:val="single" w:sz="4" w:space="0" w:color="000000"/>
              <w:left w:val="single" w:sz="4" w:space="0" w:color="000000"/>
              <w:bottom w:val="single" w:sz="4" w:space="0" w:color="000000"/>
              <w:right w:val="single" w:sz="4" w:space="0" w:color="000000"/>
            </w:tcBorders>
            <w:vAlign w:val="center"/>
            <w:hideMark/>
          </w:tcPr>
          <w:p w:rsidR="0022587E" w:rsidRPr="008C14D4" w:rsidRDefault="0022587E" w:rsidP="00376C40">
            <w:pPr>
              <w:spacing w:before="0" w:after="0" w:line="276" w:lineRule="auto"/>
              <w:jc w:val="left"/>
              <w:rPr>
                <w:rFonts w:eastAsia="Times New Roman"/>
                <w:b/>
                <w:sz w:val="20"/>
                <w:lang w:val="en-US"/>
              </w:rPr>
            </w:pPr>
            <w:r w:rsidRPr="008C14D4">
              <w:rPr>
                <w:rFonts w:eastAsia="Times New Roman"/>
                <w:b/>
                <w:sz w:val="20"/>
                <w:lang w:val="en-US"/>
              </w:rPr>
              <w:t>Frecvența raportării</w:t>
            </w:r>
          </w:p>
        </w:tc>
      </w:tr>
      <w:tr w:rsidR="0022587E" w:rsidRPr="00880A81" w:rsidTr="00376C40">
        <w:trPr>
          <w:trHeight w:val="706"/>
          <w:jc w:val="center"/>
        </w:trPr>
        <w:tc>
          <w:tcPr>
            <w:tcW w:w="592" w:type="pct"/>
            <w:tcBorders>
              <w:top w:val="single" w:sz="4" w:space="0" w:color="000000"/>
              <w:left w:val="single" w:sz="4" w:space="0" w:color="000000"/>
              <w:bottom w:val="single" w:sz="4" w:space="0" w:color="000000"/>
              <w:right w:val="single" w:sz="4" w:space="0" w:color="000000"/>
            </w:tcBorders>
            <w:vAlign w:val="center"/>
            <w:hideMark/>
          </w:tcPr>
          <w:p w:rsidR="0022587E" w:rsidRPr="00AA6732" w:rsidRDefault="0022587E" w:rsidP="00376C40">
            <w:pPr>
              <w:spacing w:before="0" w:after="0" w:line="276" w:lineRule="auto"/>
              <w:jc w:val="left"/>
              <w:rPr>
                <w:rFonts w:eastAsia="Times New Roman"/>
                <w:b/>
                <w:sz w:val="20"/>
                <w:lang w:val="en-US"/>
              </w:rPr>
            </w:pPr>
            <w:r w:rsidRPr="00AA6732">
              <w:rPr>
                <w:szCs w:val="24"/>
                <w:lang w:val="en-US" w:eastAsia="en-US"/>
              </w:rPr>
              <w:t>5b.1</w:t>
            </w:r>
          </w:p>
        </w:tc>
        <w:tc>
          <w:tcPr>
            <w:tcW w:w="1134" w:type="pct"/>
            <w:tcBorders>
              <w:top w:val="single" w:sz="4" w:space="0" w:color="000000"/>
              <w:left w:val="single" w:sz="4" w:space="0" w:color="000000"/>
              <w:bottom w:val="single" w:sz="4" w:space="0" w:color="000000"/>
              <w:right w:val="single" w:sz="4" w:space="0" w:color="000000"/>
            </w:tcBorders>
            <w:vAlign w:val="center"/>
            <w:hideMark/>
          </w:tcPr>
          <w:p w:rsidR="0022587E" w:rsidRPr="006F7519" w:rsidRDefault="0022587E" w:rsidP="00376C40">
            <w:pPr>
              <w:spacing w:before="0" w:after="0" w:line="276" w:lineRule="auto"/>
              <w:jc w:val="left"/>
              <w:rPr>
                <w:szCs w:val="24"/>
                <w:highlight w:val="red"/>
                <w:lang w:val="it-IT" w:eastAsia="en-US"/>
              </w:rPr>
            </w:pPr>
            <w:r w:rsidRPr="006F7519">
              <w:rPr>
                <w:szCs w:val="24"/>
                <w:lang w:val="it-IT" w:eastAsia="en-US"/>
              </w:rPr>
              <w:t>Populația care beneficiază de măsuri de gestionare a riscurilor</w:t>
            </w:r>
          </w:p>
        </w:tc>
        <w:tc>
          <w:tcPr>
            <w:tcW w:w="813" w:type="pct"/>
            <w:tcBorders>
              <w:top w:val="single" w:sz="4" w:space="0" w:color="000000"/>
              <w:left w:val="single" w:sz="4" w:space="0" w:color="000000"/>
              <w:bottom w:val="single" w:sz="4" w:space="0" w:color="000000"/>
              <w:right w:val="single" w:sz="4" w:space="0" w:color="000000"/>
            </w:tcBorders>
            <w:vAlign w:val="center"/>
            <w:hideMark/>
          </w:tcPr>
          <w:p w:rsidR="0022587E" w:rsidRPr="00AA6732" w:rsidRDefault="0022587E" w:rsidP="00376C40">
            <w:pPr>
              <w:spacing w:before="0" w:after="0" w:line="276" w:lineRule="auto"/>
              <w:jc w:val="left"/>
              <w:rPr>
                <w:szCs w:val="24"/>
                <w:lang w:val="en-US"/>
              </w:rPr>
            </w:pPr>
            <w:r>
              <w:rPr>
                <w:szCs w:val="24"/>
                <w:lang w:val="en-US"/>
              </w:rPr>
              <w:t>Număr</w:t>
            </w:r>
          </w:p>
        </w:tc>
        <w:tc>
          <w:tcPr>
            <w:tcW w:w="700" w:type="pct"/>
            <w:tcBorders>
              <w:top w:val="single" w:sz="4" w:space="0" w:color="000000"/>
              <w:left w:val="single" w:sz="4" w:space="0" w:color="000000"/>
              <w:bottom w:val="single" w:sz="4" w:space="0" w:color="000000"/>
              <w:right w:val="single" w:sz="4" w:space="0" w:color="000000"/>
            </w:tcBorders>
            <w:vAlign w:val="center"/>
          </w:tcPr>
          <w:p w:rsidR="0022587E" w:rsidRPr="00AA6732" w:rsidRDefault="0022587E" w:rsidP="00376C40">
            <w:pPr>
              <w:spacing w:before="0" w:after="0" w:line="276" w:lineRule="auto"/>
              <w:jc w:val="left"/>
              <w:rPr>
                <w:rFonts w:eastAsia="Times New Roman"/>
                <w:lang w:val="en-US"/>
              </w:rPr>
            </w:pPr>
            <w:r w:rsidRPr="00AA6732">
              <w:rPr>
                <w:rFonts w:eastAsia="Times New Roman"/>
                <w:lang w:val="en-US"/>
              </w:rPr>
              <w:t>2 500 000</w:t>
            </w:r>
          </w:p>
        </w:tc>
        <w:tc>
          <w:tcPr>
            <w:tcW w:w="881" w:type="pct"/>
            <w:tcBorders>
              <w:top w:val="single" w:sz="4" w:space="0" w:color="000000"/>
              <w:left w:val="single" w:sz="4" w:space="0" w:color="000000"/>
              <w:bottom w:val="single" w:sz="4" w:space="0" w:color="000000"/>
              <w:right w:val="single" w:sz="4" w:space="0" w:color="000000"/>
            </w:tcBorders>
            <w:vAlign w:val="center"/>
          </w:tcPr>
          <w:p w:rsidR="0022587E" w:rsidRPr="00AA6732" w:rsidRDefault="0022587E" w:rsidP="00376C40">
            <w:pPr>
              <w:spacing w:before="0" w:after="0"/>
              <w:jc w:val="left"/>
              <w:rPr>
                <w:b/>
                <w:bCs/>
                <w:szCs w:val="26"/>
                <w:lang w:val="fr-FR"/>
              </w:rPr>
            </w:pPr>
            <w:r w:rsidRPr="00461E3D">
              <w:rPr>
                <w:color w:val="000000"/>
                <w:szCs w:val="24"/>
              </w:rPr>
              <w:t>Rapoarte de</w:t>
            </w:r>
            <w:r w:rsidR="00CA48EA">
              <w:rPr>
                <w:color w:val="000000"/>
                <w:szCs w:val="24"/>
              </w:rPr>
              <w:t xml:space="preserve"> </w:t>
            </w:r>
            <w:r w:rsidRPr="00461E3D">
              <w:rPr>
                <w:color w:val="000000"/>
                <w:szCs w:val="24"/>
              </w:rPr>
              <w:t>monitorizare</w:t>
            </w:r>
          </w:p>
        </w:tc>
        <w:tc>
          <w:tcPr>
            <w:tcW w:w="880" w:type="pct"/>
            <w:tcBorders>
              <w:top w:val="single" w:sz="4" w:space="0" w:color="000000"/>
              <w:left w:val="single" w:sz="4" w:space="0" w:color="000000"/>
              <w:bottom w:val="single" w:sz="4" w:space="0" w:color="000000"/>
              <w:right w:val="single" w:sz="4" w:space="0" w:color="000000"/>
            </w:tcBorders>
            <w:vAlign w:val="center"/>
            <w:hideMark/>
          </w:tcPr>
          <w:p w:rsidR="0022587E" w:rsidRPr="00AA6732" w:rsidRDefault="00BB568A" w:rsidP="00376C40">
            <w:pPr>
              <w:spacing w:before="0" w:after="0" w:line="276" w:lineRule="auto"/>
              <w:jc w:val="left"/>
              <w:rPr>
                <w:rFonts w:eastAsia="Times New Roman"/>
                <w:i/>
                <w:color w:val="8DB3E2"/>
                <w:sz w:val="18"/>
                <w:szCs w:val="18"/>
                <w:lang w:val="en-US"/>
              </w:rPr>
            </w:pPr>
            <w:r>
              <w:rPr>
                <w:szCs w:val="24"/>
                <w:lang w:val="en-US" w:eastAsia="en-US"/>
              </w:rPr>
              <w:t>Anual</w:t>
            </w:r>
          </w:p>
        </w:tc>
      </w:tr>
      <w:tr w:rsidR="0022587E" w:rsidRPr="00880A81" w:rsidTr="00376C40">
        <w:trPr>
          <w:trHeight w:val="79"/>
          <w:jc w:val="center"/>
        </w:trPr>
        <w:tc>
          <w:tcPr>
            <w:tcW w:w="592" w:type="pct"/>
            <w:tcBorders>
              <w:top w:val="single" w:sz="4" w:space="0" w:color="000000"/>
              <w:left w:val="single" w:sz="4" w:space="0" w:color="000000"/>
              <w:bottom w:val="single" w:sz="4" w:space="0" w:color="000000"/>
              <w:right w:val="single" w:sz="4" w:space="0" w:color="000000"/>
            </w:tcBorders>
            <w:vAlign w:val="center"/>
          </w:tcPr>
          <w:p w:rsidR="0022587E" w:rsidRPr="00AA6732" w:rsidRDefault="0030358B" w:rsidP="00376C40">
            <w:pPr>
              <w:spacing w:before="0" w:after="0" w:line="276" w:lineRule="auto"/>
              <w:jc w:val="left"/>
              <w:rPr>
                <w:szCs w:val="24"/>
                <w:lang w:val="en-US" w:eastAsia="en-US"/>
              </w:rPr>
            </w:pPr>
            <w:r>
              <w:rPr>
                <w:szCs w:val="24"/>
                <w:lang w:val="en-US" w:eastAsia="en-US"/>
              </w:rPr>
              <w:t>CO20</w:t>
            </w:r>
          </w:p>
        </w:tc>
        <w:tc>
          <w:tcPr>
            <w:tcW w:w="1134" w:type="pct"/>
            <w:tcBorders>
              <w:top w:val="single" w:sz="4" w:space="0" w:color="000000"/>
              <w:left w:val="single" w:sz="4" w:space="0" w:color="000000"/>
              <w:bottom w:val="single" w:sz="4" w:space="0" w:color="000000"/>
              <w:right w:val="single" w:sz="4" w:space="0" w:color="000000"/>
            </w:tcBorders>
            <w:vAlign w:val="center"/>
          </w:tcPr>
          <w:p w:rsidR="0022587E" w:rsidRPr="00880A81" w:rsidRDefault="0022587E" w:rsidP="00376C40">
            <w:pPr>
              <w:spacing w:before="0" w:after="0" w:line="276" w:lineRule="auto"/>
              <w:jc w:val="left"/>
              <w:rPr>
                <w:szCs w:val="24"/>
                <w:highlight w:val="red"/>
                <w:lang w:val="en-US" w:eastAsia="en-US"/>
              </w:rPr>
            </w:pPr>
            <w:r w:rsidRPr="00AA6732">
              <w:rPr>
                <w:szCs w:val="24"/>
                <w:lang w:val="en-US" w:eastAsia="en-US"/>
              </w:rPr>
              <w:t>Populația care beneficiază de măsuri de protecție împotriva inundațiilor</w:t>
            </w:r>
          </w:p>
        </w:tc>
        <w:tc>
          <w:tcPr>
            <w:tcW w:w="813" w:type="pct"/>
            <w:tcBorders>
              <w:top w:val="single" w:sz="4" w:space="0" w:color="000000"/>
              <w:left w:val="single" w:sz="4" w:space="0" w:color="000000"/>
              <w:bottom w:val="single" w:sz="4" w:space="0" w:color="000000"/>
              <w:right w:val="single" w:sz="4" w:space="0" w:color="000000"/>
            </w:tcBorders>
            <w:vAlign w:val="center"/>
          </w:tcPr>
          <w:p w:rsidR="0022587E" w:rsidRPr="00AA6732" w:rsidRDefault="0030358B" w:rsidP="00376C40">
            <w:pPr>
              <w:spacing w:before="0" w:after="0" w:line="276" w:lineRule="auto"/>
              <w:jc w:val="left"/>
              <w:rPr>
                <w:szCs w:val="24"/>
                <w:lang w:val="en-US"/>
              </w:rPr>
            </w:pPr>
            <w:r>
              <w:rPr>
                <w:szCs w:val="24"/>
                <w:lang w:val="en-US"/>
              </w:rPr>
              <w:t>Persoane</w:t>
            </w:r>
          </w:p>
        </w:tc>
        <w:tc>
          <w:tcPr>
            <w:tcW w:w="700" w:type="pct"/>
            <w:tcBorders>
              <w:top w:val="single" w:sz="4" w:space="0" w:color="000000"/>
              <w:left w:val="single" w:sz="4" w:space="0" w:color="000000"/>
              <w:bottom w:val="single" w:sz="4" w:space="0" w:color="000000"/>
              <w:right w:val="single" w:sz="4" w:space="0" w:color="000000"/>
            </w:tcBorders>
            <w:vAlign w:val="center"/>
          </w:tcPr>
          <w:p w:rsidR="0022587E" w:rsidRPr="00AA6732" w:rsidRDefault="0022587E" w:rsidP="00376C40">
            <w:pPr>
              <w:spacing w:before="0" w:after="0" w:line="276" w:lineRule="auto"/>
              <w:jc w:val="left"/>
              <w:rPr>
                <w:rFonts w:eastAsia="Times New Roman"/>
                <w:lang w:val="en-US"/>
              </w:rPr>
            </w:pPr>
            <w:r w:rsidRPr="00AA6732">
              <w:rPr>
                <w:rFonts w:eastAsia="Times New Roman"/>
                <w:lang w:val="en-US"/>
              </w:rPr>
              <w:t>1 250 000</w:t>
            </w:r>
          </w:p>
        </w:tc>
        <w:tc>
          <w:tcPr>
            <w:tcW w:w="881" w:type="pct"/>
            <w:tcBorders>
              <w:top w:val="single" w:sz="4" w:space="0" w:color="000000"/>
              <w:left w:val="single" w:sz="4" w:space="0" w:color="000000"/>
              <w:bottom w:val="single" w:sz="4" w:space="0" w:color="000000"/>
              <w:right w:val="single" w:sz="4" w:space="0" w:color="000000"/>
            </w:tcBorders>
            <w:vAlign w:val="center"/>
          </w:tcPr>
          <w:p w:rsidR="0022587E" w:rsidRPr="00AA6732" w:rsidRDefault="0022587E" w:rsidP="00376C40">
            <w:pPr>
              <w:spacing w:before="0" w:after="0"/>
              <w:jc w:val="left"/>
              <w:rPr>
                <w:b/>
                <w:bCs/>
                <w:szCs w:val="26"/>
                <w:lang w:val="fr-FR"/>
              </w:rPr>
            </w:pPr>
            <w:r w:rsidRPr="00461E3D">
              <w:rPr>
                <w:color w:val="000000"/>
                <w:szCs w:val="24"/>
              </w:rPr>
              <w:t>Rapoarte de</w:t>
            </w:r>
            <w:r w:rsidR="00CA48EA">
              <w:rPr>
                <w:color w:val="000000"/>
                <w:szCs w:val="24"/>
              </w:rPr>
              <w:t xml:space="preserve"> </w:t>
            </w:r>
            <w:r w:rsidRPr="00461E3D">
              <w:rPr>
                <w:color w:val="000000"/>
                <w:szCs w:val="24"/>
              </w:rPr>
              <w:t>monitorizare</w:t>
            </w:r>
          </w:p>
        </w:tc>
        <w:tc>
          <w:tcPr>
            <w:tcW w:w="880" w:type="pct"/>
            <w:tcBorders>
              <w:top w:val="single" w:sz="4" w:space="0" w:color="000000"/>
              <w:left w:val="single" w:sz="4" w:space="0" w:color="000000"/>
              <w:bottom w:val="single" w:sz="4" w:space="0" w:color="000000"/>
              <w:right w:val="single" w:sz="4" w:space="0" w:color="000000"/>
            </w:tcBorders>
            <w:vAlign w:val="center"/>
          </w:tcPr>
          <w:p w:rsidR="0022587E" w:rsidRPr="00AA6732" w:rsidRDefault="00BB568A" w:rsidP="00376C40">
            <w:pPr>
              <w:spacing w:before="0" w:after="0" w:line="276" w:lineRule="auto"/>
              <w:jc w:val="left"/>
              <w:rPr>
                <w:szCs w:val="24"/>
                <w:lang w:val="en-US" w:eastAsia="en-US"/>
              </w:rPr>
            </w:pPr>
            <w:r>
              <w:rPr>
                <w:szCs w:val="24"/>
                <w:lang w:val="en-US" w:eastAsia="en-US"/>
              </w:rPr>
              <w:t>Anual</w:t>
            </w:r>
          </w:p>
        </w:tc>
      </w:tr>
      <w:tr w:rsidR="0022587E" w:rsidRPr="00880A81" w:rsidTr="00376C40">
        <w:trPr>
          <w:trHeight w:val="79"/>
          <w:jc w:val="center"/>
        </w:trPr>
        <w:tc>
          <w:tcPr>
            <w:tcW w:w="592" w:type="pct"/>
            <w:tcBorders>
              <w:top w:val="single" w:sz="4" w:space="0" w:color="000000"/>
              <w:left w:val="single" w:sz="4" w:space="0" w:color="000000"/>
              <w:bottom w:val="single" w:sz="4" w:space="0" w:color="000000"/>
              <w:right w:val="single" w:sz="4" w:space="0" w:color="000000"/>
            </w:tcBorders>
            <w:vAlign w:val="center"/>
          </w:tcPr>
          <w:p w:rsidR="0022587E" w:rsidRPr="00AA6732" w:rsidRDefault="0030358B" w:rsidP="00376C40">
            <w:pPr>
              <w:spacing w:before="0" w:after="0" w:line="276" w:lineRule="auto"/>
              <w:jc w:val="left"/>
              <w:rPr>
                <w:szCs w:val="24"/>
                <w:lang w:val="en-US" w:eastAsia="en-US"/>
              </w:rPr>
            </w:pPr>
            <w:r>
              <w:rPr>
                <w:szCs w:val="24"/>
                <w:lang w:val="en-US" w:eastAsia="en-US"/>
              </w:rPr>
              <w:t>CO21</w:t>
            </w:r>
            <w:r w:rsidR="0022587E" w:rsidRPr="00AA6732">
              <w:rPr>
                <w:szCs w:val="24"/>
                <w:lang w:val="en-US" w:eastAsia="en-US"/>
              </w:rPr>
              <w:t>3</w:t>
            </w:r>
          </w:p>
        </w:tc>
        <w:tc>
          <w:tcPr>
            <w:tcW w:w="1134" w:type="pct"/>
            <w:tcBorders>
              <w:top w:val="single" w:sz="4" w:space="0" w:color="000000"/>
              <w:left w:val="single" w:sz="4" w:space="0" w:color="000000"/>
              <w:bottom w:val="single" w:sz="4" w:space="0" w:color="000000"/>
              <w:right w:val="single" w:sz="4" w:space="0" w:color="000000"/>
            </w:tcBorders>
            <w:vAlign w:val="center"/>
          </w:tcPr>
          <w:p w:rsidR="0022587E" w:rsidRPr="00F80445" w:rsidRDefault="00E74E52" w:rsidP="00376C40">
            <w:pPr>
              <w:spacing w:before="0" w:after="0" w:line="276" w:lineRule="auto"/>
              <w:jc w:val="left"/>
              <w:rPr>
                <w:szCs w:val="24"/>
                <w:highlight w:val="red"/>
                <w:lang w:val="fr-FR" w:eastAsia="en-US"/>
              </w:rPr>
            </w:pPr>
            <w:r>
              <w:t>Populația care beneficiază de măsuri de protecție împotriva incendiilor forestiere</w:t>
            </w:r>
          </w:p>
        </w:tc>
        <w:tc>
          <w:tcPr>
            <w:tcW w:w="813" w:type="pct"/>
            <w:tcBorders>
              <w:top w:val="single" w:sz="4" w:space="0" w:color="000000"/>
              <w:left w:val="single" w:sz="4" w:space="0" w:color="000000"/>
              <w:bottom w:val="single" w:sz="4" w:space="0" w:color="000000"/>
              <w:right w:val="single" w:sz="4" w:space="0" w:color="000000"/>
            </w:tcBorders>
            <w:vAlign w:val="center"/>
          </w:tcPr>
          <w:p w:rsidR="0022587E" w:rsidRPr="00AA6732" w:rsidRDefault="0030358B" w:rsidP="0030358B">
            <w:pPr>
              <w:spacing w:before="0" w:after="0" w:line="276" w:lineRule="auto"/>
              <w:jc w:val="left"/>
              <w:rPr>
                <w:szCs w:val="24"/>
                <w:lang w:val="en-US"/>
              </w:rPr>
            </w:pPr>
            <w:r>
              <w:rPr>
                <w:szCs w:val="24"/>
                <w:lang w:val="en-US"/>
              </w:rPr>
              <w:t>Persoane</w:t>
            </w:r>
          </w:p>
        </w:tc>
        <w:tc>
          <w:tcPr>
            <w:tcW w:w="700" w:type="pct"/>
            <w:tcBorders>
              <w:top w:val="single" w:sz="4" w:space="0" w:color="000000"/>
              <w:left w:val="single" w:sz="4" w:space="0" w:color="000000"/>
              <w:bottom w:val="single" w:sz="4" w:space="0" w:color="000000"/>
              <w:right w:val="single" w:sz="4" w:space="0" w:color="000000"/>
            </w:tcBorders>
            <w:vAlign w:val="center"/>
          </w:tcPr>
          <w:p w:rsidR="0022587E" w:rsidRPr="00AA6732" w:rsidRDefault="0022587E" w:rsidP="00376C40">
            <w:pPr>
              <w:spacing w:before="0" w:after="0" w:line="276" w:lineRule="auto"/>
              <w:jc w:val="left"/>
              <w:rPr>
                <w:rFonts w:eastAsia="Times New Roman"/>
                <w:lang w:val="en-US"/>
              </w:rPr>
            </w:pPr>
            <w:r w:rsidRPr="00AA6732">
              <w:rPr>
                <w:rFonts w:eastAsia="Times New Roman"/>
                <w:lang w:val="en-US"/>
              </w:rPr>
              <w:t>1 250 000</w:t>
            </w:r>
          </w:p>
        </w:tc>
        <w:tc>
          <w:tcPr>
            <w:tcW w:w="881" w:type="pct"/>
            <w:tcBorders>
              <w:top w:val="single" w:sz="4" w:space="0" w:color="000000"/>
              <w:left w:val="single" w:sz="4" w:space="0" w:color="000000"/>
              <w:bottom w:val="single" w:sz="4" w:space="0" w:color="000000"/>
              <w:right w:val="single" w:sz="4" w:space="0" w:color="000000"/>
            </w:tcBorders>
            <w:vAlign w:val="center"/>
          </w:tcPr>
          <w:p w:rsidR="0022587E" w:rsidRPr="00AA6732" w:rsidRDefault="0022587E" w:rsidP="00376C40">
            <w:pPr>
              <w:spacing w:before="0" w:after="0"/>
              <w:jc w:val="left"/>
              <w:rPr>
                <w:b/>
                <w:bCs/>
                <w:szCs w:val="26"/>
                <w:lang w:val="fr-FR"/>
              </w:rPr>
            </w:pPr>
            <w:r w:rsidRPr="00461E3D">
              <w:rPr>
                <w:color w:val="000000"/>
                <w:szCs w:val="24"/>
              </w:rPr>
              <w:t>Rapoarte de</w:t>
            </w:r>
            <w:r w:rsidR="00CA48EA">
              <w:rPr>
                <w:color w:val="000000"/>
                <w:szCs w:val="24"/>
              </w:rPr>
              <w:t xml:space="preserve"> </w:t>
            </w:r>
            <w:r w:rsidRPr="00461E3D">
              <w:rPr>
                <w:color w:val="000000"/>
                <w:szCs w:val="24"/>
              </w:rPr>
              <w:t>monitorizare</w:t>
            </w:r>
          </w:p>
        </w:tc>
        <w:tc>
          <w:tcPr>
            <w:tcW w:w="880" w:type="pct"/>
            <w:tcBorders>
              <w:top w:val="single" w:sz="4" w:space="0" w:color="000000"/>
              <w:left w:val="single" w:sz="4" w:space="0" w:color="000000"/>
              <w:bottom w:val="single" w:sz="4" w:space="0" w:color="000000"/>
              <w:right w:val="single" w:sz="4" w:space="0" w:color="000000"/>
            </w:tcBorders>
            <w:vAlign w:val="center"/>
          </w:tcPr>
          <w:p w:rsidR="0022587E" w:rsidRPr="00AA6732" w:rsidRDefault="00BB568A" w:rsidP="00376C40">
            <w:pPr>
              <w:spacing w:before="0" w:after="0" w:line="276" w:lineRule="auto"/>
              <w:jc w:val="left"/>
              <w:rPr>
                <w:szCs w:val="24"/>
                <w:lang w:val="en-US" w:eastAsia="en-US"/>
              </w:rPr>
            </w:pPr>
            <w:r>
              <w:rPr>
                <w:szCs w:val="24"/>
                <w:lang w:val="en-US" w:eastAsia="en-US"/>
              </w:rPr>
              <w:t>Anual</w:t>
            </w:r>
          </w:p>
        </w:tc>
      </w:tr>
      <w:tr w:rsidR="0022587E" w:rsidRPr="000B7282" w:rsidTr="00376C40">
        <w:trPr>
          <w:trHeight w:val="79"/>
          <w:jc w:val="center"/>
        </w:trPr>
        <w:tc>
          <w:tcPr>
            <w:tcW w:w="592" w:type="pct"/>
            <w:tcBorders>
              <w:top w:val="single" w:sz="4" w:space="0" w:color="000000"/>
              <w:left w:val="single" w:sz="4" w:space="0" w:color="000000"/>
              <w:bottom w:val="single" w:sz="4" w:space="0" w:color="000000"/>
              <w:right w:val="single" w:sz="4" w:space="0" w:color="000000"/>
            </w:tcBorders>
            <w:vAlign w:val="center"/>
            <w:hideMark/>
          </w:tcPr>
          <w:p w:rsidR="0022587E" w:rsidRPr="00AA6732" w:rsidRDefault="0022587E" w:rsidP="0030358B">
            <w:pPr>
              <w:spacing w:before="0" w:after="0" w:line="276" w:lineRule="auto"/>
              <w:jc w:val="left"/>
              <w:rPr>
                <w:szCs w:val="24"/>
                <w:lang w:val="en-US" w:eastAsia="en-US"/>
              </w:rPr>
            </w:pPr>
            <w:r w:rsidRPr="00AA6732">
              <w:rPr>
                <w:szCs w:val="24"/>
                <w:lang w:val="en-US" w:eastAsia="en-US"/>
              </w:rPr>
              <w:t>5b.</w:t>
            </w:r>
            <w:r w:rsidR="0030358B">
              <w:rPr>
                <w:szCs w:val="24"/>
                <w:lang w:val="en-US" w:eastAsia="en-US"/>
              </w:rPr>
              <w:t>2</w:t>
            </w:r>
          </w:p>
        </w:tc>
        <w:tc>
          <w:tcPr>
            <w:tcW w:w="1134" w:type="pct"/>
            <w:tcBorders>
              <w:top w:val="single" w:sz="4" w:space="0" w:color="000000"/>
              <w:left w:val="single" w:sz="4" w:space="0" w:color="000000"/>
              <w:bottom w:val="single" w:sz="4" w:space="0" w:color="000000"/>
              <w:right w:val="single" w:sz="4" w:space="0" w:color="000000"/>
            </w:tcBorders>
            <w:vAlign w:val="center"/>
            <w:hideMark/>
          </w:tcPr>
          <w:p w:rsidR="0022587E" w:rsidRPr="00EF614F" w:rsidRDefault="0022587E" w:rsidP="00376C40">
            <w:pPr>
              <w:jc w:val="left"/>
              <w:rPr>
                <w:lang w:val="ro-RO"/>
              </w:rPr>
            </w:pPr>
            <w:r w:rsidRPr="00AA6732">
              <w:rPr>
                <w:lang w:val="ro-RO"/>
              </w:rPr>
              <w:t>Numărul de parteneriate comune în domeniul avertizării anticipate și intervenție</w:t>
            </w:r>
            <w:r>
              <w:rPr>
                <w:lang w:val="ro-RO"/>
              </w:rPr>
              <w:t>i comune în situații de urgență</w:t>
            </w:r>
          </w:p>
        </w:tc>
        <w:tc>
          <w:tcPr>
            <w:tcW w:w="813" w:type="pct"/>
            <w:tcBorders>
              <w:top w:val="single" w:sz="4" w:space="0" w:color="000000"/>
              <w:left w:val="single" w:sz="4" w:space="0" w:color="000000"/>
              <w:bottom w:val="single" w:sz="4" w:space="0" w:color="000000"/>
              <w:right w:val="single" w:sz="4" w:space="0" w:color="000000"/>
            </w:tcBorders>
            <w:vAlign w:val="center"/>
            <w:hideMark/>
          </w:tcPr>
          <w:p w:rsidR="0022587E" w:rsidRPr="00AA6732" w:rsidRDefault="0022587E" w:rsidP="00376C40">
            <w:pPr>
              <w:spacing w:before="0" w:after="0" w:line="276" w:lineRule="auto"/>
              <w:jc w:val="left"/>
              <w:rPr>
                <w:szCs w:val="24"/>
                <w:lang w:val="en-US"/>
              </w:rPr>
            </w:pPr>
            <w:r>
              <w:rPr>
                <w:szCs w:val="24"/>
                <w:lang w:val="en-US"/>
              </w:rPr>
              <w:t>Număr</w:t>
            </w:r>
          </w:p>
        </w:tc>
        <w:tc>
          <w:tcPr>
            <w:tcW w:w="700" w:type="pct"/>
            <w:tcBorders>
              <w:top w:val="single" w:sz="4" w:space="0" w:color="000000"/>
              <w:left w:val="single" w:sz="4" w:space="0" w:color="000000"/>
              <w:bottom w:val="single" w:sz="4" w:space="0" w:color="000000"/>
              <w:right w:val="single" w:sz="4" w:space="0" w:color="000000"/>
            </w:tcBorders>
            <w:vAlign w:val="center"/>
          </w:tcPr>
          <w:p w:rsidR="0022587E" w:rsidRPr="00AA6732" w:rsidRDefault="0022587E" w:rsidP="00376C40">
            <w:pPr>
              <w:spacing w:before="0" w:after="0" w:line="276" w:lineRule="auto"/>
              <w:jc w:val="left"/>
              <w:rPr>
                <w:rFonts w:eastAsia="Times New Roman"/>
                <w:i/>
                <w:sz w:val="20"/>
                <w:lang w:val="en-US"/>
              </w:rPr>
            </w:pPr>
            <w:r w:rsidRPr="00AA6732">
              <w:rPr>
                <w:rFonts w:eastAsia="Times New Roman"/>
                <w:lang w:val="en-US"/>
              </w:rPr>
              <w:t>50</w:t>
            </w:r>
          </w:p>
        </w:tc>
        <w:tc>
          <w:tcPr>
            <w:tcW w:w="881" w:type="pct"/>
            <w:tcBorders>
              <w:top w:val="single" w:sz="4" w:space="0" w:color="000000"/>
              <w:left w:val="single" w:sz="4" w:space="0" w:color="000000"/>
              <w:bottom w:val="single" w:sz="4" w:space="0" w:color="000000"/>
              <w:right w:val="single" w:sz="4" w:space="0" w:color="000000"/>
            </w:tcBorders>
            <w:vAlign w:val="center"/>
          </w:tcPr>
          <w:p w:rsidR="0022587E" w:rsidRPr="00AA6732" w:rsidRDefault="0022587E" w:rsidP="00376C40">
            <w:pPr>
              <w:spacing w:before="0" w:after="0"/>
              <w:jc w:val="left"/>
              <w:rPr>
                <w:b/>
                <w:bCs/>
                <w:szCs w:val="26"/>
                <w:lang w:val="fr-FR"/>
              </w:rPr>
            </w:pPr>
            <w:r w:rsidRPr="00461E3D">
              <w:rPr>
                <w:color w:val="000000"/>
                <w:szCs w:val="24"/>
              </w:rPr>
              <w:t>Rapoarte de</w:t>
            </w:r>
            <w:r w:rsidR="00CA48EA">
              <w:rPr>
                <w:color w:val="000000"/>
                <w:szCs w:val="24"/>
              </w:rPr>
              <w:t xml:space="preserve"> </w:t>
            </w:r>
            <w:r w:rsidRPr="00461E3D">
              <w:rPr>
                <w:color w:val="000000"/>
                <w:szCs w:val="24"/>
              </w:rPr>
              <w:t>monitorizare</w:t>
            </w:r>
          </w:p>
        </w:tc>
        <w:tc>
          <w:tcPr>
            <w:tcW w:w="880" w:type="pct"/>
            <w:tcBorders>
              <w:top w:val="single" w:sz="4" w:space="0" w:color="000000"/>
              <w:left w:val="single" w:sz="4" w:space="0" w:color="000000"/>
              <w:bottom w:val="single" w:sz="4" w:space="0" w:color="000000"/>
              <w:right w:val="single" w:sz="4" w:space="0" w:color="000000"/>
            </w:tcBorders>
            <w:vAlign w:val="center"/>
            <w:hideMark/>
          </w:tcPr>
          <w:p w:rsidR="0022587E" w:rsidRPr="00AA6732" w:rsidRDefault="00BB568A" w:rsidP="00376C40">
            <w:pPr>
              <w:spacing w:before="0" w:after="0" w:line="276" w:lineRule="auto"/>
              <w:jc w:val="left"/>
              <w:rPr>
                <w:rFonts w:eastAsia="Times New Roman"/>
                <w:sz w:val="20"/>
                <w:lang w:val="en-US"/>
              </w:rPr>
            </w:pPr>
            <w:r>
              <w:rPr>
                <w:szCs w:val="24"/>
                <w:lang w:val="en-US" w:eastAsia="en-US"/>
              </w:rPr>
              <w:t>Anual</w:t>
            </w:r>
          </w:p>
        </w:tc>
      </w:tr>
    </w:tbl>
    <w:p w:rsidR="0022587E" w:rsidRPr="0070649D" w:rsidRDefault="0022587E" w:rsidP="0022587E">
      <w:pPr>
        <w:spacing w:before="0" w:after="0" w:line="276" w:lineRule="auto"/>
        <w:jc w:val="center"/>
        <w:rPr>
          <w:rFonts w:eastAsia="Times New Roman"/>
          <w:b/>
          <w:lang w:val="en-US"/>
        </w:rPr>
        <w:sectPr w:rsidR="0022587E" w:rsidRPr="0070649D">
          <w:pgSz w:w="11906" w:h="16838"/>
          <w:pgMar w:top="1021" w:right="1418" w:bottom="1021" w:left="1418" w:header="601" w:footer="1077" w:gutter="0"/>
          <w:cols w:space="720"/>
        </w:sectPr>
      </w:pPr>
    </w:p>
    <w:p w:rsidR="009139B4" w:rsidRPr="00B1269F" w:rsidRDefault="009139B4" w:rsidP="00311248">
      <w:pPr>
        <w:pStyle w:val="Heading2"/>
        <w:rPr>
          <w:highlight w:val="red"/>
          <w:lang w:val="en-US"/>
        </w:rPr>
      </w:pPr>
      <w:bookmarkStart w:id="101" w:name="_Toc394837823"/>
      <w:proofErr w:type="gramStart"/>
      <w:r w:rsidRPr="00AA6732">
        <w:rPr>
          <w:lang w:val="en-US"/>
        </w:rPr>
        <w:lastRenderedPageBreak/>
        <w:t>2.A.7</w:t>
      </w:r>
      <w:proofErr w:type="gramEnd"/>
      <w:r w:rsidRPr="00AA6732">
        <w:rPr>
          <w:lang w:val="en-US"/>
        </w:rPr>
        <w:t xml:space="preserve">. </w:t>
      </w:r>
      <w:r w:rsidR="00AA6732" w:rsidRPr="00AA6732">
        <w:rPr>
          <w:lang w:val="en-US"/>
        </w:rPr>
        <w:t>Cadrul de performanță</w:t>
      </w:r>
      <w:bookmarkEnd w:id="101"/>
    </w:p>
    <w:p w:rsidR="00AA6732" w:rsidRPr="006F7519" w:rsidRDefault="00AA6732" w:rsidP="00AA6732">
      <w:pPr>
        <w:rPr>
          <w:sz w:val="20"/>
          <w:lang w:val="it-IT"/>
        </w:rPr>
      </w:pPr>
      <w:r w:rsidRPr="006F7519">
        <w:rPr>
          <w:sz w:val="20"/>
          <w:lang w:val="it-IT"/>
        </w:rPr>
        <w:t>[Referință: articolul 8 alineatul (2) litera (b) punctul (iv) din Regulamentul (UE) nr. 1299/2013 și anexa II la Regulamentul (UE) nr. 1303/2013]</w:t>
      </w:r>
    </w:p>
    <w:p w:rsidR="009139B4" w:rsidRPr="003B6552" w:rsidRDefault="00AA6732" w:rsidP="00AA6732">
      <w:pPr>
        <w:pStyle w:val="Heading2"/>
        <w:rPr>
          <w:lang w:val="fr-FR"/>
        </w:rPr>
      </w:pPr>
      <w:bookmarkStart w:id="102" w:name="_Toc394837824"/>
      <w:r w:rsidRPr="003B6552">
        <w:rPr>
          <w:lang w:val="fr-FR"/>
        </w:rPr>
        <w:t>Tabelul 5</w:t>
      </w:r>
      <w:r w:rsidR="003B6552" w:rsidRPr="003B6552">
        <w:rPr>
          <w:lang w:val="fr-FR"/>
        </w:rPr>
        <w:t xml:space="preserve">: </w:t>
      </w:r>
      <w:r w:rsidRPr="003B6552">
        <w:rPr>
          <w:lang w:val="fr-FR"/>
        </w:rPr>
        <w:t xml:space="preserve">Cadrul de performanță al axei prioritare </w:t>
      </w:r>
      <w:r w:rsidR="009139B4" w:rsidRPr="003B6552">
        <w:rPr>
          <w:lang w:val="fr-FR"/>
        </w:rPr>
        <w:t xml:space="preserve">3 – </w:t>
      </w:r>
      <w:r w:rsidR="003B6552" w:rsidRPr="003B6552">
        <w:rPr>
          <w:lang w:val="fr-FR"/>
        </w:rPr>
        <w:t>O regiune sigură</w:t>
      </w:r>
      <w:bookmarkEnd w:id="102"/>
    </w:p>
    <w:tbl>
      <w:tblPr>
        <w:tblW w:w="4337" w:type="pct"/>
        <w:jc w:val="center"/>
        <w:tblLayout w:type="fixed"/>
        <w:tblCellMar>
          <w:left w:w="10" w:type="dxa"/>
          <w:right w:w="10" w:type="dxa"/>
        </w:tblCellMar>
        <w:tblLook w:val="04A0" w:firstRow="1" w:lastRow="0" w:firstColumn="1" w:lastColumn="0" w:noHBand="0" w:noVBand="1"/>
      </w:tblPr>
      <w:tblGrid>
        <w:gridCol w:w="1151"/>
        <w:gridCol w:w="1678"/>
        <w:gridCol w:w="864"/>
        <w:gridCol w:w="2080"/>
        <w:gridCol w:w="1137"/>
        <w:gridCol w:w="1349"/>
        <w:gridCol w:w="1404"/>
        <w:gridCol w:w="1542"/>
        <w:gridCol w:w="1816"/>
      </w:tblGrid>
      <w:tr w:rsidR="003B6552" w:rsidRPr="00A158A9" w:rsidTr="0022587E">
        <w:trPr>
          <w:trHeight w:val="2064"/>
          <w:jc w:val="center"/>
        </w:trPr>
        <w:tc>
          <w:tcPr>
            <w:tcW w:w="1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B6552" w:rsidRPr="00461E3D" w:rsidRDefault="003B6552" w:rsidP="003B6552">
            <w:pPr>
              <w:suppressAutoHyphens/>
              <w:autoSpaceDN w:val="0"/>
              <w:spacing w:before="0" w:after="0" w:line="276" w:lineRule="auto"/>
              <w:jc w:val="left"/>
              <w:rPr>
                <w:rFonts w:eastAsia="Times New Roman"/>
                <w:b/>
                <w:sz w:val="20"/>
                <w:lang w:val="en-US"/>
              </w:rPr>
            </w:pPr>
            <w:r w:rsidRPr="00461E3D">
              <w:rPr>
                <w:rFonts w:eastAsia="Times New Roman"/>
                <w:b/>
                <w:sz w:val="20"/>
                <w:lang w:val="en-US"/>
              </w:rPr>
              <w:t>Axa prioritară</w:t>
            </w:r>
          </w:p>
        </w:tc>
        <w:tc>
          <w:tcPr>
            <w:tcW w:w="1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B6552" w:rsidRPr="00461E3D" w:rsidRDefault="003B6552" w:rsidP="003B6552">
            <w:pPr>
              <w:spacing w:before="0" w:after="0" w:line="276" w:lineRule="auto"/>
              <w:jc w:val="left"/>
              <w:rPr>
                <w:rFonts w:eastAsia="Times New Roman"/>
                <w:b/>
                <w:sz w:val="20"/>
                <w:lang w:val="fr-FR"/>
              </w:rPr>
            </w:pPr>
            <w:r w:rsidRPr="00461E3D">
              <w:rPr>
                <w:rFonts w:eastAsia="Times New Roman"/>
                <w:b/>
                <w:sz w:val="20"/>
                <w:lang w:val="fr-FR"/>
              </w:rPr>
              <w:t xml:space="preserve">Tipul Indicatorului (Etapa cheie </w:t>
            </w:r>
            <w:proofErr w:type="gramStart"/>
            <w:r w:rsidRPr="00461E3D">
              <w:rPr>
                <w:rFonts w:eastAsia="Times New Roman"/>
                <w:b/>
                <w:sz w:val="20"/>
                <w:lang w:val="fr-FR"/>
              </w:rPr>
              <w:t>de implementare</w:t>
            </w:r>
            <w:proofErr w:type="gramEnd"/>
            <w:r w:rsidRPr="00461E3D">
              <w:rPr>
                <w:rFonts w:eastAsia="Times New Roman"/>
                <w:b/>
                <w:sz w:val="20"/>
                <w:lang w:val="fr-FR"/>
              </w:rPr>
              <w:t>, indicatorul financiar, indicatorul de realizare sau, dacă este cazul, indicatorul de rezultat)</w:t>
            </w:r>
          </w:p>
        </w:tc>
        <w:tc>
          <w:tcPr>
            <w:tcW w:w="8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B6552" w:rsidRPr="00461E3D" w:rsidRDefault="003B6552" w:rsidP="003B6552">
            <w:pPr>
              <w:suppressAutoHyphens/>
              <w:autoSpaceDN w:val="0"/>
              <w:spacing w:before="0" w:after="0" w:line="276" w:lineRule="auto"/>
              <w:jc w:val="left"/>
              <w:rPr>
                <w:rFonts w:eastAsia="Times New Roman"/>
                <w:b/>
                <w:sz w:val="20"/>
                <w:lang w:val="en-US"/>
              </w:rPr>
            </w:pPr>
            <w:r w:rsidRPr="00461E3D">
              <w:rPr>
                <w:rFonts w:eastAsia="Times New Roman"/>
                <w:b/>
                <w:sz w:val="20"/>
                <w:lang w:val="en-US"/>
              </w:rPr>
              <w:t>ID</w:t>
            </w:r>
          </w:p>
        </w:tc>
        <w:tc>
          <w:tcPr>
            <w:tcW w:w="2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B6552" w:rsidRPr="00461E3D" w:rsidRDefault="003B6552" w:rsidP="003B6552">
            <w:pPr>
              <w:suppressAutoHyphens/>
              <w:autoSpaceDN w:val="0"/>
              <w:spacing w:before="0" w:after="0" w:line="276" w:lineRule="auto"/>
              <w:jc w:val="left"/>
              <w:rPr>
                <w:b/>
                <w:i/>
                <w:sz w:val="20"/>
                <w:lang w:val="fr-FR"/>
              </w:rPr>
            </w:pPr>
            <w:r w:rsidRPr="00461E3D">
              <w:rPr>
                <w:b/>
                <w:i/>
                <w:sz w:val="20"/>
                <w:lang w:val="fr-FR"/>
              </w:rPr>
              <w:t xml:space="preserve">Indicator sau etapă cheie </w:t>
            </w:r>
            <w:proofErr w:type="gramStart"/>
            <w:r w:rsidRPr="00461E3D">
              <w:rPr>
                <w:b/>
                <w:i/>
                <w:sz w:val="20"/>
                <w:lang w:val="fr-FR"/>
              </w:rPr>
              <w:t>de implementare</w:t>
            </w:r>
            <w:proofErr w:type="gramEnd"/>
          </w:p>
        </w:tc>
        <w:tc>
          <w:tcPr>
            <w:tcW w:w="11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B6552" w:rsidRPr="00461E3D" w:rsidRDefault="003B6552" w:rsidP="003B6552">
            <w:pPr>
              <w:suppressAutoHyphens/>
              <w:autoSpaceDN w:val="0"/>
              <w:spacing w:before="0" w:after="0" w:line="276" w:lineRule="auto"/>
              <w:jc w:val="left"/>
              <w:rPr>
                <w:rFonts w:eastAsia="Times New Roman"/>
                <w:b/>
                <w:sz w:val="20"/>
                <w:lang w:val="fr-FR"/>
              </w:rPr>
            </w:pPr>
            <w:r w:rsidRPr="00461E3D">
              <w:rPr>
                <w:rFonts w:eastAsia="Times New Roman"/>
                <w:b/>
                <w:sz w:val="20"/>
                <w:lang w:val="fr-FR"/>
              </w:rPr>
              <w:t>Unitate de măsură, dacă este cazul</w:t>
            </w:r>
          </w:p>
        </w:tc>
        <w:tc>
          <w:tcPr>
            <w:tcW w:w="13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B6552" w:rsidRPr="00461E3D" w:rsidRDefault="003B6552" w:rsidP="003B6552">
            <w:pPr>
              <w:suppressAutoHyphens/>
              <w:autoSpaceDN w:val="0"/>
              <w:spacing w:before="0" w:after="0" w:line="276" w:lineRule="auto"/>
              <w:jc w:val="left"/>
              <w:rPr>
                <w:rFonts w:eastAsia="Times New Roman"/>
                <w:b/>
                <w:sz w:val="20"/>
                <w:lang w:val="en-US"/>
              </w:rPr>
            </w:pPr>
            <w:r w:rsidRPr="00461E3D">
              <w:rPr>
                <w:rFonts w:eastAsia="Times New Roman"/>
                <w:b/>
                <w:sz w:val="20"/>
                <w:lang w:val="en-US"/>
              </w:rPr>
              <w:t>Punctul de referință pentru 2018</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B6552" w:rsidRPr="00461E3D" w:rsidRDefault="003B6552" w:rsidP="003B6552">
            <w:pPr>
              <w:suppressAutoHyphens/>
              <w:autoSpaceDN w:val="0"/>
              <w:spacing w:before="0" w:after="0" w:line="276" w:lineRule="auto"/>
              <w:jc w:val="left"/>
              <w:rPr>
                <w:rFonts w:eastAsia="Times New Roman"/>
                <w:b/>
                <w:sz w:val="20"/>
                <w:lang w:val="en-US"/>
              </w:rPr>
            </w:pPr>
            <w:r w:rsidRPr="00461E3D">
              <w:rPr>
                <w:rFonts w:eastAsia="Times New Roman"/>
                <w:b/>
                <w:sz w:val="20"/>
                <w:lang w:val="en-US"/>
              </w:rPr>
              <w:t>Obiectivul final (2023)</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B6552" w:rsidRPr="00461E3D" w:rsidRDefault="003B6552" w:rsidP="003B6552">
            <w:pPr>
              <w:suppressAutoHyphens/>
              <w:autoSpaceDN w:val="0"/>
              <w:spacing w:before="0" w:after="0" w:line="276" w:lineRule="auto"/>
              <w:jc w:val="left"/>
              <w:rPr>
                <w:rFonts w:eastAsia="Times New Roman"/>
                <w:b/>
                <w:sz w:val="20"/>
                <w:lang w:val="en-US"/>
              </w:rPr>
            </w:pPr>
            <w:r w:rsidRPr="00461E3D">
              <w:rPr>
                <w:rFonts w:eastAsia="Times New Roman"/>
                <w:b/>
                <w:sz w:val="20"/>
                <w:lang w:val="en-US"/>
              </w:rPr>
              <w:t>Sursa datelor</w:t>
            </w:r>
          </w:p>
        </w:tc>
        <w:tc>
          <w:tcPr>
            <w:tcW w:w="18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B6552" w:rsidRPr="00461E3D" w:rsidRDefault="003B6552" w:rsidP="003B6552">
            <w:pPr>
              <w:suppressAutoHyphens/>
              <w:autoSpaceDN w:val="0"/>
              <w:spacing w:before="0" w:after="0" w:line="276" w:lineRule="auto"/>
              <w:jc w:val="left"/>
              <w:rPr>
                <w:rFonts w:eastAsia="Times New Roman"/>
                <w:b/>
                <w:sz w:val="20"/>
                <w:lang w:val="fr-FR"/>
              </w:rPr>
            </w:pPr>
            <w:r w:rsidRPr="00461E3D">
              <w:rPr>
                <w:rFonts w:eastAsia="Times New Roman"/>
                <w:b/>
                <w:sz w:val="20"/>
                <w:lang w:val="fr-FR"/>
              </w:rPr>
              <w:t>Explicarea relevanței indicatorului, dacă este cazul</w:t>
            </w:r>
          </w:p>
        </w:tc>
      </w:tr>
      <w:tr w:rsidR="00467C3C" w:rsidRPr="00B1269F" w:rsidTr="0022587E">
        <w:trPr>
          <w:jc w:val="center"/>
        </w:trPr>
        <w:tc>
          <w:tcPr>
            <w:tcW w:w="1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67C3C" w:rsidRPr="003B6552" w:rsidRDefault="00467C3C" w:rsidP="003B6552">
            <w:pPr>
              <w:suppressAutoHyphens/>
              <w:autoSpaceDN w:val="0"/>
              <w:spacing w:before="0" w:after="0" w:line="276" w:lineRule="auto"/>
              <w:jc w:val="left"/>
              <w:rPr>
                <w:rFonts w:eastAsia="Times New Roman"/>
                <w:szCs w:val="24"/>
                <w:lang w:val="en-US"/>
              </w:rPr>
            </w:pPr>
            <w:r w:rsidRPr="003B6552">
              <w:rPr>
                <w:rFonts w:eastAsia="Times New Roman"/>
                <w:szCs w:val="24"/>
                <w:lang w:val="en-US"/>
              </w:rPr>
              <w:t>3</w:t>
            </w:r>
          </w:p>
        </w:tc>
        <w:tc>
          <w:tcPr>
            <w:tcW w:w="1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7C3C" w:rsidRPr="003B6552" w:rsidRDefault="00467C3C" w:rsidP="003B6552">
            <w:pPr>
              <w:spacing w:before="0" w:after="0" w:line="276" w:lineRule="auto"/>
              <w:jc w:val="left"/>
              <w:rPr>
                <w:color w:val="000000"/>
                <w:szCs w:val="24"/>
                <w:lang w:val="en-US"/>
              </w:rPr>
            </w:pPr>
            <w:r w:rsidRPr="003B6552">
              <w:rPr>
                <w:color w:val="000000"/>
                <w:lang w:val="en-US"/>
              </w:rPr>
              <w:t>Indicator</w:t>
            </w:r>
            <w:r w:rsidR="003B6552" w:rsidRPr="003B6552">
              <w:rPr>
                <w:color w:val="000000"/>
                <w:lang w:val="en-US"/>
              </w:rPr>
              <w:t xml:space="preserve"> de realizare</w:t>
            </w:r>
          </w:p>
        </w:tc>
        <w:tc>
          <w:tcPr>
            <w:tcW w:w="8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7C3C" w:rsidRPr="003B6552" w:rsidRDefault="0030358B" w:rsidP="003B6552">
            <w:pPr>
              <w:suppressAutoHyphens/>
              <w:autoSpaceDN w:val="0"/>
              <w:spacing w:before="0" w:after="0" w:line="276" w:lineRule="auto"/>
              <w:jc w:val="left"/>
              <w:rPr>
                <w:rFonts w:eastAsia="Times New Roman"/>
                <w:szCs w:val="24"/>
                <w:lang w:val="en-US"/>
              </w:rPr>
            </w:pPr>
            <w:r>
              <w:rPr>
                <w:rFonts w:eastAsia="Times New Roman"/>
                <w:szCs w:val="24"/>
                <w:lang w:val="en-US"/>
              </w:rPr>
              <w:t>5.b.2</w:t>
            </w:r>
          </w:p>
        </w:tc>
        <w:tc>
          <w:tcPr>
            <w:tcW w:w="2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7C3C" w:rsidRPr="0022587E" w:rsidRDefault="0022587E" w:rsidP="003B6552">
            <w:pPr>
              <w:spacing w:before="0" w:after="0" w:line="276" w:lineRule="auto"/>
              <w:jc w:val="left"/>
              <w:rPr>
                <w:color w:val="000000"/>
                <w:szCs w:val="24"/>
                <w:highlight w:val="red"/>
                <w:lang w:val="fr-FR"/>
              </w:rPr>
            </w:pPr>
            <w:r w:rsidRPr="00AA6732">
              <w:rPr>
                <w:lang w:val="ro-RO"/>
              </w:rPr>
              <w:t xml:space="preserve">Numărul de parteneriate </w:t>
            </w:r>
            <w:r>
              <w:rPr>
                <w:lang w:val="ro-RO"/>
              </w:rPr>
              <w:t xml:space="preserve">comune </w:t>
            </w:r>
            <w:r w:rsidRPr="00AA6732">
              <w:rPr>
                <w:lang w:val="ro-RO"/>
              </w:rPr>
              <w:t xml:space="preserve">în domeniul avertizării </w:t>
            </w:r>
            <w:r>
              <w:rPr>
                <w:lang w:val="ro-RO"/>
              </w:rPr>
              <w:t>comune timpurii</w:t>
            </w:r>
            <w:r w:rsidRPr="00AA6732">
              <w:rPr>
                <w:lang w:val="ro-RO"/>
              </w:rPr>
              <w:t xml:space="preserve"> și intervenție</w:t>
            </w:r>
            <w:r>
              <w:rPr>
                <w:lang w:val="ro-RO"/>
              </w:rPr>
              <w:t>i comune în situații de urgență</w:t>
            </w:r>
          </w:p>
        </w:tc>
        <w:tc>
          <w:tcPr>
            <w:tcW w:w="11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7C3C" w:rsidRPr="003B6552" w:rsidRDefault="003B6552" w:rsidP="003B6552">
            <w:pPr>
              <w:spacing w:before="0" w:after="0" w:line="276" w:lineRule="auto"/>
              <w:jc w:val="left"/>
              <w:rPr>
                <w:color w:val="000000"/>
                <w:szCs w:val="24"/>
                <w:lang w:val="en-US"/>
              </w:rPr>
            </w:pPr>
            <w:r>
              <w:rPr>
                <w:color w:val="000000"/>
                <w:lang w:val="en-US"/>
              </w:rPr>
              <w:t>Număr</w:t>
            </w:r>
          </w:p>
        </w:tc>
        <w:tc>
          <w:tcPr>
            <w:tcW w:w="13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7C3C" w:rsidRPr="003B6552" w:rsidRDefault="00467C3C" w:rsidP="003B6552">
            <w:pPr>
              <w:spacing w:before="0" w:after="0" w:line="276" w:lineRule="auto"/>
              <w:jc w:val="left"/>
              <w:rPr>
                <w:color w:val="000000"/>
                <w:szCs w:val="24"/>
                <w:lang w:val="en-US"/>
              </w:rPr>
            </w:pPr>
            <w:r w:rsidRPr="003B6552">
              <w:rPr>
                <w:color w:val="000000"/>
                <w:lang w:val="en-US"/>
              </w:rPr>
              <w:t>10</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7C3C" w:rsidRPr="003B6552" w:rsidRDefault="00467C3C" w:rsidP="003B6552">
            <w:pPr>
              <w:spacing w:before="0" w:after="0" w:line="276" w:lineRule="auto"/>
              <w:jc w:val="left"/>
              <w:rPr>
                <w:color w:val="000000"/>
                <w:szCs w:val="24"/>
                <w:lang w:val="en-US"/>
              </w:rPr>
            </w:pPr>
            <w:r w:rsidRPr="003B6552">
              <w:rPr>
                <w:color w:val="000000"/>
                <w:lang w:val="en-US"/>
              </w:rPr>
              <w:t>50</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6552" w:rsidRDefault="003B6552" w:rsidP="003B6552">
            <w:pPr>
              <w:spacing w:before="0" w:after="0"/>
              <w:jc w:val="left"/>
              <w:rPr>
                <w:b/>
                <w:bCs/>
                <w:szCs w:val="26"/>
                <w:lang w:val="fr-FR"/>
              </w:rPr>
            </w:pPr>
            <w:r w:rsidRPr="00461E3D">
              <w:rPr>
                <w:color w:val="000000"/>
                <w:szCs w:val="24"/>
              </w:rPr>
              <w:t>Rapoarte de</w:t>
            </w:r>
            <w:r w:rsidR="00CA48EA">
              <w:rPr>
                <w:color w:val="000000"/>
                <w:szCs w:val="24"/>
              </w:rPr>
              <w:t xml:space="preserve"> </w:t>
            </w:r>
            <w:r w:rsidRPr="00461E3D">
              <w:rPr>
                <w:color w:val="000000"/>
                <w:szCs w:val="24"/>
              </w:rPr>
              <w:t>monitorizare</w:t>
            </w:r>
          </w:p>
          <w:p w:rsidR="00467C3C" w:rsidRPr="003B6552" w:rsidRDefault="00467C3C" w:rsidP="003B6552">
            <w:pPr>
              <w:spacing w:before="0" w:after="0" w:line="276" w:lineRule="auto"/>
              <w:jc w:val="left"/>
              <w:rPr>
                <w:color w:val="000000"/>
                <w:szCs w:val="24"/>
                <w:lang w:val="en-US"/>
              </w:rPr>
            </w:pPr>
          </w:p>
        </w:tc>
        <w:tc>
          <w:tcPr>
            <w:tcW w:w="18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7C3C" w:rsidRPr="003B6552" w:rsidRDefault="00467C3C" w:rsidP="003B6552">
            <w:pPr>
              <w:spacing w:before="0" w:after="0" w:line="276" w:lineRule="auto"/>
              <w:jc w:val="left"/>
              <w:rPr>
                <w:color w:val="000000"/>
                <w:szCs w:val="24"/>
                <w:lang w:val="en-US"/>
              </w:rPr>
            </w:pPr>
          </w:p>
        </w:tc>
      </w:tr>
      <w:tr w:rsidR="00467C3C" w:rsidRPr="000B7282" w:rsidTr="0022587E">
        <w:trPr>
          <w:jc w:val="center"/>
        </w:trPr>
        <w:tc>
          <w:tcPr>
            <w:tcW w:w="1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7C3C" w:rsidRPr="003B6552" w:rsidRDefault="00467C3C" w:rsidP="003B6552">
            <w:pPr>
              <w:suppressAutoHyphens/>
              <w:autoSpaceDN w:val="0"/>
              <w:spacing w:before="0" w:after="0" w:line="276" w:lineRule="auto"/>
              <w:jc w:val="left"/>
              <w:rPr>
                <w:rFonts w:eastAsia="Times New Roman"/>
                <w:szCs w:val="24"/>
                <w:lang w:val="en-US"/>
              </w:rPr>
            </w:pPr>
            <w:r w:rsidRPr="003B6552">
              <w:rPr>
                <w:rFonts w:eastAsia="Times New Roman"/>
                <w:szCs w:val="24"/>
                <w:lang w:val="en-US"/>
              </w:rPr>
              <w:t>3</w:t>
            </w:r>
          </w:p>
        </w:tc>
        <w:tc>
          <w:tcPr>
            <w:tcW w:w="1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7C3C" w:rsidRPr="003B6552" w:rsidRDefault="003B6552" w:rsidP="003B6552">
            <w:pPr>
              <w:spacing w:before="0" w:after="0" w:line="276" w:lineRule="auto"/>
              <w:jc w:val="left"/>
              <w:rPr>
                <w:color w:val="000000"/>
                <w:szCs w:val="24"/>
                <w:lang w:val="en-US"/>
              </w:rPr>
            </w:pPr>
            <w:r w:rsidRPr="003B6552">
              <w:rPr>
                <w:color w:val="000000"/>
                <w:lang w:val="en-US"/>
              </w:rPr>
              <w:t>I</w:t>
            </w:r>
            <w:r w:rsidR="00467C3C" w:rsidRPr="003B6552">
              <w:rPr>
                <w:color w:val="000000"/>
                <w:lang w:val="en-US"/>
              </w:rPr>
              <w:t>ndicator</w:t>
            </w:r>
            <w:r w:rsidRPr="003B6552">
              <w:rPr>
                <w:color w:val="000000"/>
                <w:lang w:val="en-US"/>
              </w:rPr>
              <w:t xml:space="preserve"> financiar</w:t>
            </w:r>
          </w:p>
        </w:tc>
        <w:tc>
          <w:tcPr>
            <w:tcW w:w="8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7C3C" w:rsidRPr="003B6552" w:rsidRDefault="0030358B" w:rsidP="003B6552">
            <w:pPr>
              <w:suppressAutoHyphens/>
              <w:autoSpaceDN w:val="0"/>
              <w:spacing w:before="0" w:after="0" w:line="276" w:lineRule="auto"/>
              <w:jc w:val="left"/>
              <w:rPr>
                <w:rFonts w:eastAsia="Times New Roman"/>
                <w:szCs w:val="24"/>
                <w:lang w:val="en-US"/>
              </w:rPr>
            </w:pPr>
            <w:r>
              <w:rPr>
                <w:rFonts w:eastAsia="Times New Roman"/>
                <w:szCs w:val="24"/>
                <w:lang w:val="en-US"/>
              </w:rPr>
              <w:t>3F1</w:t>
            </w:r>
          </w:p>
        </w:tc>
        <w:tc>
          <w:tcPr>
            <w:tcW w:w="2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7C3C" w:rsidRDefault="003B6552" w:rsidP="003B6552">
            <w:pPr>
              <w:spacing w:before="0" w:after="0" w:line="276" w:lineRule="auto"/>
              <w:jc w:val="left"/>
              <w:rPr>
                <w:color w:val="000000"/>
                <w:lang w:val="en-US"/>
              </w:rPr>
            </w:pPr>
            <w:r w:rsidRPr="003B6552">
              <w:rPr>
                <w:color w:val="000000"/>
                <w:lang w:val="en-US"/>
              </w:rPr>
              <w:t>Cheltuieli</w:t>
            </w:r>
          </w:p>
          <w:p w:rsidR="0022587E" w:rsidRPr="003B6552" w:rsidRDefault="0022587E" w:rsidP="003B6552">
            <w:pPr>
              <w:spacing w:before="0" w:after="0" w:line="276" w:lineRule="auto"/>
              <w:jc w:val="left"/>
              <w:rPr>
                <w:color w:val="000000"/>
                <w:szCs w:val="24"/>
                <w:lang w:val="en-US"/>
              </w:rPr>
            </w:pPr>
            <w:r>
              <w:rPr>
                <w:color w:val="000000"/>
                <w:lang w:val="en-US"/>
              </w:rPr>
              <w:t>(Certificate</w:t>
            </w:r>
            <w:r w:rsidRPr="003B6552">
              <w:rPr>
                <w:color w:val="000000"/>
                <w:lang w:val="en-US"/>
              </w:rPr>
              <w:t>)</w:t>
            </w:r>
          </w:p>
        </w:tc>
        <w:tc>
          <w:tcPr>
            <w:tcW w:w="11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7C3C" w:rsidRPr="003B6552" w:rsidRDefault="00467C3C" w:rsidP="003B6552">
            <w:pPr>
              <w:spacing w:before="0" w:after="0" w:line="276" w:lineRule="auto"/>
              <w:jc w:val="left"/>
              <w:rPr>
                <w:color w:val="000000"/>
                <w:szCs w:val="24"/>
                <w:lang w:val="en-US"/>
              </w:rPr>
            </w:pPr>
            <w:r w:rsidRPr="003B6552">
              <w:rPr>
                <w:color w:val="000000"/>
                <w:lang w:val="en-US"/>
              </w:rPr>
              <w:t>EUR</w:t>
            </w:r>
          </w:p>
        </w:tc>
        <w:tc>
          <w:tcPr>
            <w:tcW w:w="13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7C3C" w:rsidRPr="003B6552" w:rsidRDefault="00467C3C" w:rsidP="003B6552">
            <w:pPr>
              <w:spacing w:before="0" w:after="0" w:line="276" w:lineRule="auto"/>
              <w:jc w:val="left"/>
              <w:rPr>
                <w:color w:val="000000"/>
                <w:szCs w:val="24"/>
                <w:lang w:val="en-US"/>
              </w:rPr>
            </w:pPr>
            <w:r w:rsidRPr="003B6552">
              <w:rPr>
                <w:color w:val="000000"/>
                <w:lang w:val="en-US"/>
              </w:rPr>
              <w:t>4 000 000</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7C3C" w:rsidRPr="003B6552" w:rsidRDefault="001371FD" w:rsidP="003B6552">
            <w:pPr>
              <w:spacing w:before="0" w:after="0" w:line="276" w:lineRule="auto"/>
              <w:jc w:val="left"/>
              <w:rPr>
                <w:color w:val="000000"/>
                <w:szCs w:val="24"/>
                <w:lang w:val="en-US"/>
              </w:rPr>
            </w:pPr>
            <w:r w:rsidRPr="003B6552">
              <w:rPr>
                <w:color w:val="000000"/>
                <w:lang w:val="en-US"/>
              </w:rPr>
              <w:t>40 000 000</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7C3C" w:rsidRPr="003B6552" w:rsidRDefault="00EF614F" w:rsidP="003B6552">
            <w:pPr>
              <w:spacing w:before="0" w:after="0" w:line="276" w:lineRule="auto"/>
              <w:jc w:val="left"/>
              <w:rPr>
                <w:color w:val="000000"/>
                <w:szCs w:val="24"/>
                <w:lang w:val="en-US"/>
              </w:rPr>
            </w:pPr>
            <w:r>
              <w:rPr>
                <w:color w:val="000000"/>
                <w:szCs w:val="24"/>
                <w:lang w:val="en-US"/>
              </w:rPr>
              <w:t>Cereri</w:t>
            </w:r>
            <w:r w:rsidR="003B6552">
              <w:rPr>
                <w:color w:val="000000"/>
                <w:szCs w:val="24"/>
                <w:lang w:val="en-US"/>
              </w:rPr>
              <w:t xml:space="preserve"> de plată</w:t>
            </w:r>
          </w:p>
        </w:tc>
        <w:tc>
          <w:tcPr>
            <w:tcW w:w="18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7C3C" w:rsidRPr="003B6552" w:rsidRDefault="00467C3C" w:rsidP="003B6552">
            <w:pPr>
              <w:spacing w:before="0" w:after="0" w:line="276" w:lineRule="auto"/>
              <w:jc w:val="left"/>
              <w:rPr>
                <w:color w:val="000000"/>
                <w:szCs w:val="24"/>
                <w:lang w:val="en-US"/>
              </w:rPr>
            </w:pPr>
          </w:p>
        </w:tc>
      </w:tr>
    </w:tbl>
    <w:p w:rsidR="001331F5" w:rsidRPr="0070649D" w:rsidRDefault="001331F5" w:rsidP="001331F5">
      <w:pPr>
        <w:spacing w:before="0" w:after="0" w:line="276" w:lineRule="auto"/>
        <w:jc w:val="left"/>
        <w:rPr>
          <w:rFonts w:eastAsia="Times New Roman"/>
          <w:b/>
          <w:lang w:val="en-US"/>
        </w:rPr>
        <w:sectPr w:rsidR="001331F5" w:rsidRPr="0070649D" w:rsidSect="009139B4">
          <w:pgSz w:w="16838" w:h="11906" w:orient="landscape"/>
          <w:pgMar w:top="1418" w:right="1021" w:bottom="1418" w:left="1021" w:header="601" w:footer="1077" w:gutter="0"/>
          <w:cols w:space="720"/>
          <w:docGrid w:linePitch="326"/>
        </w:sectPr>
      </w:pPr>
    </w:p>
    <w:p w:rsidR="002564E4" w:rsidRPr="00A4748F" w:rsidRDefault="002564E4" w:rsidP="00EF614F">
      <w:pPr>
        <w:pStyle w:val="Heading2"/>
        <w:rPr>
          <w:highlight w:val="red"/>
          <w:lang w:val="fr-FR"/>
        </w:rPr>
      </w:pPr>
      <w:bookmarkStart w:id="103" w:name="_Toc394837825"/>
      <w:proofErr w:type="gramStart"/>
      <w:r w:rsidRPr="00A4748F">
        <w:rPr>
          <w:rStyle w:val="Heading2Char"/>
          <w:rFonts w:eastAsia="Calibri"/>
          <w:b/>
          <w:bCs/>
          <w:lang w:val="fr-FR"/>
        </w:rPr>
        <w:lastRenderedPageBreak/>
        <w:t>2.A.1</w:t>
      </w:r>
      <w:r w:rsidR="00EF614F" w:rsidRPr="00A4748F">
        <w:rPr>
          <w:rStyle w:val="Heading2Char"/>
          <w:rFonts w:eastAsia="Calibri"/>
          <w:b/>
          <w:bCs/>
          <w:lang w:val="fr-FR"/>
        </w:rPr>
        <w:t>.</w:t>
      </w:r>
      <w:r w:rsidR="00535D0B" w:rsidRPr="00A4748F">
        <w:rPr>
          <w:rStyle w:val="Heading2Char"/>
          <w:rFonts w:eastAsia="Calibri"/>
          <w:b/>
          <w:bCs/>
          <w:lang w:val="fr-FR"/>
        </w:rPr>
        <w:t>Axa</w:t>
      </w:r>
      <w:proofErr w:type="gramEnd"/>
      <w:r w:rsidR="00535D0B" w:rsidRPr="00A4748F">
        <w:rPr>
          <w:rStyle w:val="Heading2Char"/>
          <w:rFonts w:eastAsia="Calibri"/>
          <w:b/>
          <w:bCs/>
          <w:lang w:val="fr-FR"/>
        </w:rPr>
        <w:t xml:space="preserve"> prioritară</w:t>
      </w:r>
      <w:r w:rsidR="00535D0B" w:rsidRPr="00A4748F">
        <w:rPr>
          <w:lang w:val="fr-FR"/>
        </w:rPr>
        <w:t xml:space="preserve"> (se repetă pentru fiecare axă prioritară)</w:t>
      </w:r>
      <w:bookmarkEnd w:id="103"/>
    </w:p>
    <w:p w:rsidR="002564E4" w:rsidRPr="00535D0B" w:rsidRDefault="002564E4">
      <w:pPr>
        <w:spacing w:before="0" w:after="0"/>
        <w:jc w:val="left"/>
        <w:rPr>
          <w:rFonts w:eastAsia="Times New Roman"/>
          <w:b/>
          <w:highlight w:val="red"/>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F21429" w:rsidRPr="00A158A9" w:rsidTr="00F21429">
        <w:trPr>
          <w:jc w:val="center"/>
        </w:trPr>
        <w:tc>
          <w:tcPr>
            <w:tcW w:w="9210" w:type="dxa"/>
          </w:tcPr>
          <w:p w:rsidR="00F21429" w:rsidRPr="00EF614F" w:rsidRDefault="00535D0B" w:rsidP="00535D0B">
            <w:pPr>
              <w:pStyle w:val="Heading4"/>
              <w:rPr>
                <w:highlight w:val="red"/>
                <w:lang w:val="fr-FR"/>
              </w:rPr>
            </w:pPr>
            <w:bookmarkStart w:id="104" w:name="_Toc394837826"/>
            <w:r w:rsidRPr="00EF614F">
              <w:rPr>
                <w:lang w:val="fr-FR"/>
              </w:rPr>
              <w:t xml:space="preserve">Axa prioritară </w:t>
            </w:r>
            <w:r w:rsidR="002564E4" w:rsidRPr="00EF614F">
              <w:rPr>
                <w:lang w:val="fr-FR"/>
              </w:rPr>
              <w:t>4</w:t>
            </w:r>
            <w:r w:rsidR="00F21429" w:rsidRPr="00EF614F">
              <w:rPr>
                <w:lang w:val="fr-FR"/>
              </w:rPr>
              <w:t xml:space="preserve">: </w:t>
            </w:r>
            <w:r w:rsidRPr="002A0466">
              <w:rPr>
                <w:lang w:val="fr-FR"/>
              </w:rPr>
              <w:t>O regiune calificat</w:t>
            </w:r>
            <w:r>
              <w:rPr>
                <w:lang w:val="fr-FR"/>
              </w:rPr>
              <w:t>ăși inclusivă</w:t>
            </w:r>
            <w:bookmarkEnd w:id="104"/>
          </w:p>
        </w:tc>
      </w:tr>
    </w:tbl>
    <w:p w:rsidR="00F21429" w:rsidRPr="00EF614F" w:rsidRDefault="00F21429" w:rsidP="00F21429">
      <w:pPr>
        <w:spacing w:after="240" w:line="276" w:lineRule="auto"/>
        <w:rPr>
          <w:szCs w:val="24"/>
          <w:highlight w:val="red"/>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7"/>
      </w:tblGrid>
      <w:tr w:rsidR="00F21429" w:rsidRPr="00A158A9" w:rsidTr="00F21429">
        <w:trPr>
          <w:jc w:val="center"/>
        </w:trPr>
        <w:tc>
          <w:tcPr>
            <w:tcW w:w="7937" w:type="dxa"/>
            <w:shd w:val="clear" w:color="auto" w:fill="auto"/>
          </w:tcPr>
          <w:p w:rsidR="00F21429" w:rsidRPr="00535D0B" w:rsidRDefault="00FF412A" w:rsidP="00535D0B">
            <w:pPr>
              <w:spacing w:after="240" w:line="276" w:lineRule="auto"/>
              <w:ind w:left="480" w:hanging="480"/>
              <w:rPr>
                <w:rFonts w:eastAsia="Times New Roman"/>
                <w:szCs w:val="24"/>
                <w:lang w:val="fr-FR"/>
              </w:rPr>
            </w:pPr>
            <w:r w:rsidRPr="00535D0B">
              <w:rPr>
                <w:rFonts w:eastAsia="Times New Roman"/>
                <w:szCs w:val="24"/>
                <w:lang w:val="en-US"/>
              </w:rPr>
              <w:fldChar w:fldCharType="begin">
                <w:ffData>
                  <w:name w:val="Check1"/>
                  <w:enabled/>
                  <w:calcOnExit w:val="0"/>
                  <w:checkBox>
                    <w:sizeAuto/>
                    <w:default w:val="0"/>
                  </w:checkBox>
                </w:ffData>
              </w:fldChar>
            </w:r>
            <w:r w:rsidR="00C12B77" w:rsidRPr="00535D0B">
              <w:rPr>
                <w:rFonts w:eastAsia="Times New Roman"/>
                <w:szCs w:val="24"/>
                <w:lang w:val="fr-FR"/>
              </w:rPr>
              <w:instrText xml:space="preserve"> FORMCHECKBOX </w:instrText>
            </w:r>
            <w:r w:rsidR="006D5DA0">
              <w:rPr>
                <w:rFonts w:eastAsia="Times New Roman"/>
                <w:szCs w:val="24"/>
                <w:lang w:val="en-US"/>
              </w:rPr>
            </w:r>
            <w:r w:rsidR="006D5DA0">
              <w:rPr>
                <w:rFonts w:eastAsia="Times New Roman"/>
                <w:szCs w:val="24"/>
                <w:lang w:val="en-US"/>
              </w:rPr>
              <w:fldChar w:fldCharType="separate"/>
            </w:r>
            <w:r w:rsidRPr="00535D0B">
              <w:rPr>
                <w:rFonts w:eastAsia="Times New Roman"/>
                <w:szCs w:val="24"/>
                <w:lang w:val="en-US"/>
              </w:rPr>
              <w:fldChar w:fldCharType="end"/>
            </w:r>
            <w:r w:rsidR="00F21429" w:rsidRPr="00535D0B">
              <w:rPr>
                <w:rFonts w:eastAsia="Times New Roman"/>
                <w:szCs w:val="24"/>
                <w:lang w:val="fr-FR"/>
              </w:rPr>
              <w:tab/>
            </w:r>
            <w:r w:rsidR="00535D0B" w:rsidRPr="00535D0B">
              <w:rPr>
                <w:rFonts w:eastAsia="Times New Roman"/>
                <w:szCs w:val="24"/>
                <w:lang w:val="fr-FR"/>
              </w:rPr>
              <w:t>Întreaga axă prioritară se va implementa exclusiv prin instrumente financiare</w:t>
            </w:r>
          </w:p>
        </w:tc>
      </w:tr>
      <w:tr w:rsidR="00F21429" w:rsidRPr="00A158A9" w:rsidTr="00F21429">
        <w:trPr>
          <w:jc w:val="center"/>
        </w:trPr>
        <w:tc>
          <w:tcPr>
            <w:tcW w:w="7937" w:type="dxa"/>
            <w:shd w:val="clear" w:color="auto" w:fill="auto"/>
          </w:tcPr>
          <w:p w:rsidR="00F21429" w:rsidRPr="00535D0B" w:rsidRDefault="006D5DA0" w:rsidP="00535D0B">
            <w:pPr>
              <w:tabs>
                <w:tab w:val="left" w:pos="2302"/>
              </w:tabs>
              <w:spacing w:after="240" w:line="276" w:lineRule="auto"/>
              <w:ind w:left="480" w:hanging="480"/>
              <w:rPr>
                <w:rFonts w:eastAsia="Times New Roman"/>
                <w:szCs w:val="24"/>
                <w:lang w:val="fr-FR"/>
              </w:rPr>
            </w:pPr>
            <w:r>
              <w:rPr>
                <w:rFonts w:eastAsia="Times New Roman"/>
                <w:szCs w:val="24"/>
                <w:lang w:val="en-US"/>
              </w:rPr>
              <w:fldChar w:fldCharType="begin">
                <w:ffData>
                  <w:name w:val="Check2"/>
                  <w:enabled/>
                  <w:calcOnExit w:val="0"/>
                  <w:checkBox>
                    <w:sizeAuto/>
                    <w:default w:val="0"/>
                  </w:checkBox>
                </w:ffData>
              </w:fldChar>
            </w:r>
            <w:bookmarkStart w:id="105" w:name="Check2"/>
            <w:r>
              <w:rPr>
                <w:rFonts w:eastAsia="Times New Roman"/>
                <w:szCs w:val="24"/>
                <w:lang w:val="en-US"/>
              </w:rPr>
              <w:instrText xml:space="preserve"> FORMCHECKBOX </w:instrText>
            </w:r>
            <w:r>
              <w:rPr>
                <w:rFonts w:eastAsia="Times New Roman"/>
                <w:szCs w:val="24"/>
                <w:lang w:val="en-US"/>
              </w:rPr>
            </w:r>
            <w:r>
              <w:rPr>
                <w:rFonts w:eastAsia="Times New Roman"/>
                <w:szCs w:val="24"/>
                <w:lang w:val="en-US"/>
              </w:rPr>
              <w:fldChar w:fldCharType="end"/>
            </w:r>
            <w:bookmarkEnd w:id="105"/>
            <w:r w:rsidR="00F21429" w:rsidRPr="00535D0B">
              <w:rPr>
                <w:rFonts w:eastAsia="Times New Roman"/>
                <w:szCs w:val="24"/>
                <w:lang w:val="fr-FR"/>
              </w:rPr>
              <w:tab/>
            </w:r>
            <w:r w:rsidR="00535D0B" w:rsidRPr="00535D0B">
              <w:rPr>
                <w:rFonts w:eastAsia="Times New Roman"/>
                <w:szCs w:val="24"/>
                <w:lang w:val="fr-FR"/>
              </w:rPr>
              <w:t>Întreaga axă prioritară se va implementa exclusiv prin instrumente financiare stabilite la nivelul Uniunii</w:t>
            </w:r>
          </w:p>
        </w:tc>
      </w:tr>
      <w:tr w:rsidR="00F21429" w:rsidRPr="00A158A9" w:rsidTr="00F21429">
        <w:trPr>
          <w:jc w:val="center"/>
        </w:trPr>
        <w:tc>
          <w:tcPr>
            <w:tcW w:w="7937" w:type="dxa"/>
            <w:shd w:val="clear" w:color="auto" w:fill="auto"/>
          </w:tcPr>
          <w:p w:rsidR="00F21429" w:rsidRPr="00535D0B" w:rsidRDefault="00FF412A" w:rsidP="00535D0B">
            <w:pPr>
              <w:tabs>
                <w:tab w:val="left" w:pos="2302"/>
              </w:tabs>
              <w:spacing w:after="240" w:line="276" w:lineRule="auto"/>
              <w:ind w:left="480" w:hanging="480"/>
              <w:rPr>
                <w:rFonts w:eastAsia="Times New Roman"/>
                <w:szCs w:val="24"/>
                <w:lang w:val="fr-FR"/>
              </w:rPr>
            </w:pPr>
            <w:r w:rsidRPr="00535D0B">
              <w:rPr>
                <w:rFonts w:eastAsia="Times New Roman"/>
                <w:szCs w:val="24"/>
                <w:lang w:val="en-US"/>
              </w:rPr>
              <w:fldChar w:fldCharType="begin">
                <w:ffData>
                  <w:name w:val="Check3"/>
                  <w:enabled/>
                  <w:calcOnExit w:val="0"/>
                  <w:checkBox>
                    <w:sizeAuto/>
                    <w:default w:val="0"/>
                  </w:checkBox>
                </w:ffData>
              </w:fldChar>
            </w:r>
            <w:r w:rsidR="00C12B77" w:rsidRPr="00535D0B">
              <w:rPr>
                <w:rFonts w:eastAsia="Times New Roman"/>
                <w:szCs w:val="24"/>
                <w:lang w:val="fr-FR"/>
              </w:rPr>
              <w:instrText xml:space="preserve"> FORMCHECKBOX </w:instrText>
            </w:r>
            <w:r w:rsidR="006D5DA0">
              <w:rPr>
                <w:rFonts w:eastAsia="Times New Roman"/>
                <w:szCs w:val="24"/>
                <w:lang w:val="en-US"/>
              </w:rPr>
            </w:r>
            <w:r w:rsidR="006D5DA0">
              <w:rPr>
                <w:rFonts w:eastAsia="Times New Roman"/>
                <w:szCs w:val="24"/>
                <w:lang w:val="en-US"/>
              </w:rPr>
              <w:fldChar w:fldCharType="separate"/>
            </w:r>
            <w:r w:rsidRPr="00535D0B">
              <w:rPr>
                <w:rFonts w:eastAsia="Times New Roman"/>
                <w:szCs w:val="24"/>
                <w:lang w:val="en-US"/>
              </w:rPr>
              <w:fldChar w:fldCharType="end"/>
            </w:r>
            <w:r w:rsidR="00F21429" w:rsidRPr="00535D0B">
              <w:rPr>
                <w:rFonts w:eastAsia="Times New Roman"/>
                <w:szCs w:val="24"/>
                <w:lang w:val="fr-FR"/>
              </w:rPr>
              <w:tab/>
            </w:r>
            <w:r w:rsidR="00535D0B" w:rsidRPr="00535D0B">
              <w:rPr>
                <w:rFonts w:eastAsia="Times New Roman"/>
                <w:szCs w:val="24"/>
                <w:lang w:val="fr-FR"/>
              </w:rPr>
              <w:t>Întreaga axă prioritară se va implementa prin dezvoltare locală plasată sub responsabilitatea comunității</w:t>
            </w:r>
          </w:p>
        </w:tc>
      </w:tr>
    </w:tbl>
    <w:p w:rsidR="00F21429" w:rsidRPr="00535D0B" w:rsidRDefault="00F21429" w:rsidP="00535D0B">
      <w:pPr>
        <w:rPr>
          <w:lang w:val="fr-FR"/>
        </w:rPr>
      </w:pPr>
      <w:bookmarkStart w:id="106" w:name="_Toc394837827"/>
      <w:proofErr w:type="gramStart"/>
      <w:r w:rsidRPr="00396473">
        <w:rPr>
          <w:rStyle w:val="Heading2Char"/>
          <w:rFonts w:eastAsia="Calibri"/>
          <w:lang w:val="fr-FR"/>
        </w:rPr>
        <w:t>2.A.2</w:t>
      </w:r>
      <w:proofErr w:type="gramEnd"/>
      <w:r w:rsidRPr="00396473">
        <w:rPr>
          <w:rStyle w:val="Heading2Char"/>
          <w:rFonts w:eastAsia="Calibri"/>
          <w:lang w:val="fr-FR"/>
        </w:rPr>
        <w:t xml:space="preserve">. </w:t>
      </w:r>
      <w:r w:rsidR="00535D0B" w:rsidRPr="00396473">
        <w:rPr>
          <w:rStyle w:val="Heading2Char"/>
          <w:rFonts w:eastAsia="Calibri"/>
          <w:lang w:val="fr-FR"/>
        </w:rPr>
        <w:t>Justificarea stabilirii unei axe prioritare care acoperă mai mult de un obiectiv tematic</w:t>
      </w:r>
      <w:bookmarkEnd w:id="106"/>
      <w:r w:rsidR="00535D0B" w:rsidRPr="00535D0B">
        <w:rPr>
          <w:lang w:val="fr-FR"/>
        </w:rPr>
        <w:t xml:space="preserve"> (dacă este cazul)</w:t>
      </w:r>
    </w:p>
    <w:tbl>
      <w:tblPr>
        <w:tblW w:w="9293" w:type="dxa"/>
        <w:jc w:val="center"/>
        <w:tblCellMar>
          <w:left w:w="10" w:type="dxa"/>
          <w:right w:w="10" w:type="dxa"/>
        </w:tblCellMar>
        <w:tblLook w:val="0000" w:firstRow="0" w:lastRow="0" w:firstColumn="0" w:lastColumn="0" w:noHBand="0" w:noVBand="0"/>
      </w:tblPr>
      <w:tblGrid>
        <w:gridCol w:w="9293"/>
      </w:tblGrid>
      <w:tr w:rsidR="00F21429" w:rsidRPr="00B1269F" w:rsidTr="00F21429">
        <w:trPr>
          <w:jc w:val="center"/>
        </w:trPr>
        <w:tc>
          <w:tcPr>
            <w:tcW w:w="92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21429" w:rsidRPr="00535D0B" w:rsidRDefault="00535D0B" w:rsidP="00F21429">
            <w:pPr>
              <w:tabs>
                <w:tab w:val="left" w:pos="1787"/>
              </w:tabs>
              <w:spacing w:line="276" w:lineRule="auto"/>
              <w:rPr>
                <w:szCs w:val="24"/>
                <w:lang w:val="en-US"/>
              </w:rPr>
            </w:pPr>
            <w:r>
              <w:rPr>
                <w:szCs w:val="24"/>
                <w:lang w:val="en-US"/>
              </w:rPr>
              <w:t>Nu se aplică</w:t>
            </w:r>
          </w:p>
        </w:tc>
      </w:tr>
    </w:tbl>
    <w:p w:rsidR="00F21429" w:rsidRPr="00535D0B" w:rsidRDefault="00F21429" w:rsidP="00311248">
      <w:pPr>
        <w:pStyle w:val="Heading2"/>
        <w:rPr>
          <w:lang w:val="fr-FR"/>
        </w:rPr>
      </w:pPr>
      <w:bookmarkStart w:id="107" w:name="_Toc394837828"/>
      <w:proofErr w:type="gramStart"/>
      <w:r w:rsidRPr="00A77C97">
        <w:rPr>
          <w:lang w:val="fr-FR"/>
        </w:rPr>
        <w:t>2.A.3</w:t>
      </w:r>
      <w:proofErr w:type="gramEnd"/>
      <w:r w:rsidRPr="00A77C97">
        <w:rPr>
          <w:lang w:val="fr-FR"/>
        </w:rPr>
        <w:t xml:space="preserve">. </w:t>
      </w:r>
      <w:r w:rsidR="00535D0B" w:rsidRPr="00535D0B">
        <w:rPr>
          <w:lang w:val="fr-FR"/>
        </w:rPr>
        <w:t>Fondul și baza de calcul pentru sprijinul Uniunii</w:t>
      </w:r>
      <w:bookmarkEnd w:id="107"/>
    </w:p>
    <w:tbl>
      <w:tblPr>
        <w:tblW w:w="7032" w:type="dxa"/>
        <w:jc w:val="center"/>
        <w:tblCellMar>
          <w:left w:w="10" w:type="dxa"/>
          <w:right w:w="10" w:type="dxa"/>
        </w:tblCellMar>
        <w:tblLook w:val="0000" w:firstRow="0" w:lastRow="0" w:firstColumn="0" w:lastColumn="0" w:noHBand="0" w:noVBand="0"/>
      </w:tblPr>
      <w:tblGrid>
        <w:gridCol w:w="2070"/>
        <w:gridCol w:w="4962"/>
      </w:tblGrid>
      <w:tr w:rsidR="00F21429" w:rsidRPr="00535D0B" w:rsidTr="00F21429">
        <w:trPr>
          <w:jc w:val="center"/>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21429" w:rsidRPr="00535D0B" w:rsidRDefault="00535D0B" w:rsidP="00EF614F">
            <w:pPr>
              <w:spacing w:before="0" w:after="0" w:line="276" w:lineRule="auto"/>
              <w:rPr>
                <w:rFonts w:eastAsia="Times New Roman"/>
                <w:i/>
                <w:szCs w:val="24"/>
                <w:lang w:val="en-US"/>
              </w:rPr>
            </w:pPr>
            <w:r>
              <w:rPr>
                <w:rFonts w:eastAsia="Times New Roman"/>
                <w:i/>
                <w:szCs w:val="24"/>
                <w:lang w:val="en-US"/>
              </w:rPr>
              <w:t>Fo</w:t>
            </w:r>
            <w:r w:rsidR="00F21429" w:rsidRPr="00535D0B">
              <w:rPr>
                <w:rFonts w:eastAsia="Times New Roman"/>
                <w:i/>
                <w:szCs w:val="24"/>
                <w:lang w:val="en-US"/>
              </w:rPr>
              <w:t>nd</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21429" w:rsidRPr="00535D0B" w:rsidRDefault="00EF614F" w:rsidP="00EF614F">
            <w:pPr>
              <w:spacing w:before="0" w:after="0" w:line="276" w:lineRule="auto"/>
              <w:rPr>
                <w:rFonts w:eastAsia="Times New Roman"/>
                <w:i/>
                <w:szCs w:val="24"/>
                <w:lang w:val="en-US"/>
              </w:rPr>
            </w:pPr>
            <w:r>
              <w:rPr>
                <w:rFonts w:eastAsia="Times New Roman"/>
                <w:i/>
                <w:szCs w:val="24"/>
                <w:lang w:val="en-US"/>
              </w:rPr>
              <w:t>FEDR</w:t>
            </w:r>
          </w:p>
        </w:tc>
      </w:tr>
      <w:tr w:rsidR="00F21429" w:rsidRPr="00B1269F" w:rsidTr="00F21429">
        <w:trPr>
          <w:jc w:val="center"/>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21429" w:rsidRPr="006F7519" w:rsidRDefault="00535D0B" w:rsidP="00EF614F">
            <w:pPr>
              <w:spacing w:before="0" w:after="0" w:line="276" w:lineRule="auto"/>
              <w:rPr>
                <w:rFonts w:eastAsia="Times New Roman"/>
                <w:i/>
                <w:szCs w:val="24"/>
                <w:lang w:val="it-IT"/>
              </w:rPr>
            </w:pPr>
            <w:r w:rsidRPr="006F7519">
              <w:rPr>
                <w:rFonts w:eastAsia="Times New Roman"/>
                <w:i/>
                <w:szCs w:val="24"/>
                <w:lang w:val="it-IT"/>
              </w:rPr>
              <w:t>Baza de calcul (totalul cheltuielilor eligibile sau al cheltuielilor publice eligibile)</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21429" w:rsidRPr="00535D0B" w:rsidRDefault="00535D0B" w:rsidP="00EF614F">
            <w:pPr>
              <w:spacing w:before="0" w:after="0" w:line="276" w:lineRule="auto"/>
              <w:rPr>
                <w:rFonts w:eastAsia="Times New Roman"/>
                <w:i/>
                <w:color w:val="8DB3E2"/>
                <w:szCs w:val="24"/>
                <w:lang w:val="en-US"/>
              </w:rPr>
            </w:pPr>
            <w:r>
              <w:rPr>
                <w:rFonts w:eastAsia="Times New Roman"/>
                <w:i/>
                <w:szCs w:val="24"/>
                <w:lang w:val="en-US"/>
              </w:rPr>
              <w:t>Total</w:t>
            </w:r>
            <w:r w:rsidR="00C90B9D">
              <w:rPr>
                <w:rFonts w:eastAsia="Times New Roman"/>
                <w:i/>
                <w:szCs w:val="24"/>
                <w:lang w:val="en-US"/>
              </w:rPr>
              <w:t>ul</w:t>
            </w:r>
            <w:r w:rsidR="00CA48EA">
              <w:rPr>
                <w:rFonts w:eastAsia="Times New Roman"/>
                <w:i/>
                <w:szCs w:val="24"/>
                <w:lang w:val="en-US"/>
              </w:rPr>
              <w:t xml:space="preserve"> </w:t>
            </w:r>
            <w:r w:rsidRPr="00535D0B">
              <w:rPr>
                <w:rFonts w:eastAsia="Times New Roman"/>
                <w:i/>
                <w:szCs w:val="24"/>
                <w:lang w:val="en-US"/>
              </w:rPr>
              <w:t>cheltuielilor eligibile</w:t>
            </w:r>
          </w:p>
        </w:tc>
      </w:tr>
    </w:tbl>
    <w:p w:rsidR="00F21429" w:rsidRPr="00B1269F" w:rsidRDefault="00F21429" w:rsidP="00F21429">
      <w:pPr>
        <w:spacing w:line="276" w:lineRule="auto"/>
        <w:rPr>
          <w:b/>
          <w:szCs w:val="24"/>
          <w:highlight w:val="red"/>
          <w:lang w:val="en-US"/>
        </w:rPr>
      </w:pPr>
    </w:p>
    <w:p w:rsidR="00F21429" w:rsidRPr="001327F3" w:rsidRDefault="00F21429" w:rsidP="00311248">
      <w:pPr>
        <w:pStyle w:val="Heading2"/>
        <w:rPr>
          <w:i/>
          <w:lang w:val="en-US"/>
        </w:rPr>
      </w:pPr>
      <w:bookmarkStart w:id="108" w:name="_Toc394837829"/>
      <w:proofErr w:type="gramStart"/>
      <w:r w:rsidRPr="001327F3">
        <w:rPr>
          <w:lang w:val="en-US"/>
        </w:rPr>
        <w:t>2.A.4</w:t>
      </w:r>
      <w:proofErr w:type="gramEnd"/>
      <w:r w:rsidRPr="001327F3">
        <w:rPr>
          <w:lang w:val="en-US"/>
        </w:rPr>
        <w:t xml:space="preserve">. </w:t>
      </w:r>
      <w:r w:rsidR="001327F3" w:rsidRPr="001327F3">
        <w:rPr>
          <w:lang w:val="en-US"/>
        </w:rPr>
        <w:t>Prioritatea de investiții</w:t>
      </w:r>
      <w:bookmarkEnd w:id="108"/>
    </w:p>
    <w:p w:rsidR="00F21429" w:rsidRPr="006F7519" w:rsidRDefault="001327F3" w:rsidP="00311248">
      <w:pPr>
        <w:pStyle w:val="Heading4"/>
        <w:rPr>
          <w:lang w:val="it-IT"/>
        </w:rPr>
      </w:pPr>
      <w:bookmarkStart w:id="109" w:name="_Toc394837830"/>
      <w:r w:rsidRPr="006F7519">
        <w:rPr>
          <w:lang w:val="it-IT"/>
        </w:rPr>
        <w:t xml:space="preserve">Prioritatea de investiții </w:t>
      </w:r>
      <w:r w:rsidR="00F21429" w:rsidRPr="006F7519">
        <w:rPr>
          <w:lang w:val="it-IT"/>
        </w:rPr>
        <w:t xml:space="preserve">8.i: </w:t>
      </w:r>
      <w:r w:rsidRPr="006F7519">
        <w:rPr>
          <w:lang w:val="it-IT"/>
        </w:rPr>
        <w:t>Promovarea sustenabilității și calității locurilor de muncă și sprijinirea mobilității forței de muncă prin integrarea piețelor forței de muncă transfrontaliere, inclusiv mobilitatea transfrontalieră, inițiativele comune locale în domeniul ocupării forței de muncă, servicii de informare și de consiliere și formarea comună</w:t>
      </w:r>
      <w:bookmarkEnd w:id="109"/>
    </w:p>
    <w:p w:rsidR="00EF614F" w:rsidRPr="006F7519" w:rsidRDefault="00EF614F" w:rsidP="00311248">
      <w:pPr>
        <w:pStyle w:val="Heading2"/>
        <w:rPr>
          <w:lang w:val="it-IT"/>
        </w:rPr>
        <w:sectPr w:rsidR="00EF614F" w:rsidRPr="006F7519" w:rsidSect="00523803">
          <w:pgSz w:w="11906" w:h="16838"/>
          <w:pgMar w:top="1021" w:right="1418" w:bottom="1021" w:left="1418" w:header="454" w:footer="624" w:gutter="0"/>
          <w:cols w:space="708"/>
          <w:docGrid w:linePitch="326"/>
        </w:sectPr>
      </w:pPr>
    </w:p>
    <w:p w:rsidR="00F21429" w:rsidRPr="006F7519" w:rsidRDefault="00F21429" w:rsidP="00311248">
      <w:pPr>
        <w:pStyle w:val="Heading2"/>
        <w:rPr>
          <w:lang w:val="it-IT"/>
        </w:rPr>
      </w:pPr>
      <w:bookmarkStart w:id="110" w:name="_Toc394837831"/>
      <w:r w:rsidRPr="006F7519">
        <w:rPr>
          <w:lang w:val="it-IT"/>
        </w:rPr>
        <w:lastRenderedPageBreak/>
        <w:t xml:space="preserve">2.A.5. </w:t>
      </w:r>
      <w:r w:rsidR="001327F3" w:rsidRPr="006F7519">
        <w:rPr>
          <w:lang w:val="it-IT"/>
        </w:rPr>
        <w:t>Obiective specifice corespunzătoare priorității de investiții și rezultate preconizate</w:t>
      </w:r>
      <w:bookmarkEnd w:id="110"/>
    </w:p>
    <w:tbl>
      <w:tblPr>
        <w:tblStyle w:val="TableGrid2"/>
        <w:tblW w:w="10944" w:type="dxa"/>
        <w:jc w:val="center"/>
        <w:tblLook w:val="04A0" w:firstRow="1" w:lastRow="0" w:firstColumn="1" w:lastColumn="0" w:noHBand="0" w:noVBand="1"/>
      </w:tblPr>
      <w:tblGrid>
        <w:gridCol w:w="2736"/>
        <w:gridCol w:w="8208"/>
      </w:tblGrid>
      <w:tr w:rsidR="00736205" w:rsidRPr="00EF614F" w:rsidTr="00BC5673">
        <w:trPr>
          <w:jc w:val="center"/>
        </w:trPr>
        <w:tc>
          <w:tcPr>
            <w:tcW w:w="2736" w:type="dxa"/>
          </w:tcPr>
          <w:p w:rsidR="00736205" w:rsidRPr="00EF614F" w:rsidRDefault="00736205" w:rsidP="00BC5673">
            <w:pPr>
              <w:spacing w:before="60" w:after="0"/>
              <w:rPr>
                <w:rFonts w:eastAsia="Times New Roman"/>
                <w:b/>
                <w:i/>
                <w:sz w:val="22"/>
                <w:szCs w:val="22"/>
                <w:lang w:val="en-US" w:eastAsia="en-US"/>
              </w:rPr>
            </w:pPr>
            <w:r w:rsidRPr="00EF614F">
              <w:rPr>
                <w:rFonts w:eastAsia="Times New Roman"/>
                <w:b/>
                <w:i/>
                <w:sz w:val="22"/>
                <w:szCs w:val="22"/>
                <w:lang w:val="en-US" w:eastAsia="en-US"/>
              </w:rPr>
              <w:t>ID</w:t>
            </w:r>
          </w:p>
        </w:tc>
        <w:tc>
          <w:tcPr>
            <w:tcW w:w="8208" w:type="dxa"/>
          </w:tcPr>
          <w:p w:rsidR="00736205" w:rsidRPr="00EF614F" w:rsidRDefault="00736205" w:rsidP="00BC5673">
            <w:pPr>
              <w:spacing w:before="60" w:after="0"/>
              <w:rPr>
                <w:rFonts w:eastAsia="Times New Roman"/>
                <w:b/>
                <w:sz w:val="22"/>
                <w:szCs w:val="22"/>
                <w:lang w:val="en-US" w:eastAsia="en-US"/>
              </w:rPr>
            </w:pPr>
          </w:p>
        </w:tc>
      </w:tr>
      <w:tr w:rsidR="00736205" w:rsidRPr="00A158A9" w:rsidTr="00BC5673">
        <w:trPr>
          <w:jc w:val="center"/>
        </w:trPr>
        <w:tc>
          <w:tcPr>
            <w:tcW w:w="2736" w:type="dxa"/>
          </w:tcPr>
          <w:p w:rsidR="00736205" w:rsidRPr="00EF614F" w:rsidRDefault="001327F3" w:rsidP="00736205">
            <w:pPr>
              <w:spacing w:before="60" w:after="0"/>
              <w:rPr>
                <w:rFonts w:eastAsia="Times New Roman"/>
                <w:b/>
                <w:i/>
                <w:sz w:val="22"/>
                <w:szCs w:val="22"/>
                <w:lang w:val="en-US" w:eastAsia="en-US"/>
              </w:rPr>
            </w:pPr>
            <w:r w:rsidRPr="00EF614F">
              <w:rPr>
                <w:rFonts w:eastAsia="Times New Roman"/>
                <w:b/>
                <w:i/>
                <w:sz w:val="22"/>
                <w:szCs w:val="22"/>
                <w:lang w:val="en-US" w:eastAsia="en-US"/>
              </w:rPr>
              <w:t>Obiectiv Specific</w:t>
            </w:r>
            <w:r w:rsidR="00736205" w:rsidRPr="00EF614F">
              <w:rPr>
                <w:rFonts w:eastAsia="Times New Roman"/>
                <w:b/>
                <w:i/>
                <w:sz w:val="22"/>
                <w:szCs w:val="22"/>
                <w:lang w:val="en-US" w:eastAsia="en-US"/>
              </w:rPr>
              <w:t xml:space="preserve"> 4.1</w:t>
            </w:r>
          </w:p>
        </w:tc>
        <w:tc>
          <w:tcPr>
            <w:tcW w:w="8208" w:type="dxa"/>
          </w:tcPr>
          <w:p w:rsidR="00736205" w:rsidRPr="006F7519" w:rsidRDefault="001327F3" w:rsidP="00BC5673">
            <w:pPr>
              <w:spacing w:before="60" w:after="0"/>
              <w:rPr>
                <w:rFonts w:eastAsia="Times New Roman"/>
                <w:b/>
                <w:sz w:val="22"/>
                <w:szCs w:val="22"/>
                <w:lang w:val="it-IT" w:eastAsia="en-US"/>
              </w:rPr>
            </w:pPr>
            <w:r w:rsidRPr="006F7519">
              <w:rPr>
                <w:rFonts w:eastAsia="Times New Roman"/>
                <w:b/>
                <w:sz w:val="22"/>
                <w:szCs w:val="22"/>
                <w:lang w:val="it-IT" w:eastAsia="en-US"/>
              </w:rPr>
              <w:t>Încurajarea integrării zonei transfrontaliere în privința ocupării și mobilității forței de muncă</w:t>
            </w:r>
          </w:p>
        </w:tc>
      </w:tr>
      <w:tr w:rsidR="00736205" w:rsidRPr="00A158A9" w:rsidTr="00BC5673">
        <w:trPr>
          <w:jc w:val="center"/>
        </w:trPr>
        <w:tc>
          <w:tcPr>
            <w:tcW w:w="2736" w:type="dxa"/>
          </w:tcPr>
          <w:p w:rsidR="00736205" w:rsidRPr="006F7519" w:rsidRDefault="001327F3" w:rsidP="00BC5673">
            <w:pPr>
              <w:spacing w:before="60" w:after="0"/>
              <w:rPr>
                <w:rFonts w:eastAsia="Times New Roman"/>
                <w:b/>
                <w:i/>
                <w:sz w:val="22"/>
                <w:szCs w:val="22"/>
                <w:lang w:val="it-IT" w:eastAsia="en-US"/>
              </w:rPr>
            </w:pPr>
            <w:r w:rsidRPr="006F7519">
              <w:rPr>
                <w:rFonts w:eastAsia="Times New Roman"/>
                <w:b/>
                <w:i/>
                <w:sz w:val="22"/>
                <w:szCs w:val="22"/>
                <w:lang w:val="it-IT" w:eastAsia="en-US"/>
              </w:rPr>
              <w:t>Rezultatele pe care statul membru caută să le obțină prin sprijinul din partea Uniunii</w:t>
            </w:r>
          </w:p>
        </w:tc>
        <w:tc>
          <w:tcPr>
            <w:tcW w:w="8208" w:type="dxa"/>
          </w:tcPr>
          <w:p w:rsidR="00EF614F" w:rsidRPr="006F7519" w:rsidRDefault="00EF614F" w:rsidP="00EF614F">
            <w:pPr>
              <w:spacing w:before="60" w:after="0"/>
              <w:rPr>
                <w:rFonts w:eastAsia="Times New Roman"/>
                <w:sz w:val="22"/>
                <w:szCs w:val="22"/>
                <w:lang w:val="it-IT"/>
              </w:rPr>
            </w:pPr>
            <w:r w:rsidRPr="006F7519">
              <w:rPr>
                <w:rFonts w:eastAsia="Times New Roman"/>
                <w:sz w:val="22"/>
                <w:szCs w:val="22"/>
                <w:lang w:val="it-IT"/>
              </w:rPr>
              <w:t>În contextul depopulării, îmbătrâniri</w:t>
            </w:r>
            <w:r w:rsidR="00BF4451" w:rsidRPr="006F7519">
              <w:rPr>
                <w:rFonts w:eastAsia="Times New Roman"/>
                <w:sz w:val="22"/>
                <w:szCs w:val="22"/>
                <w:lang w:val="it-IT"/>
              </w:rPr>
              <w:t>i demografice şi migraţiei</w:t>
            </w:r>
            <w:r w:rsidRPr="006F7519">
              <w:rPr>
                <w:rFonts w:eastAsia="Times New Roman"/>
                <w:sz w:val="22"/>
                <w:szCs w:val="22"/>
                <w:lang w:val="it-IT"/>
              </w:rPr>
              <w:t xml:space="preserve"> din zona transfrontalieră, una din chestiunile cele mai stringente este situaţia actuală a locurilor de muncă care arată că oferta şi cererea de locuri de muncă nu este echilibrată ca urmare a unui climat general nefavorabil iniţiativelor legate de afaceri. </w:t>
            </w:r>
          </w:p>
          <w:p w:rsidR="00EF614F" w:rsidRPr="006F7519" w:rsidRDefault="00EF614F" w:rsidP="00EF614F">
            <w:pPr>
              <w:spacing w:before="60" w:after="0"/>
              <w:rPr>
                <w:rFonts w:eastAsia="Times New Roman"/>
                <w:sz w:val="22"/>
                <w:szCs w:val="22"/>
                <w:lang w:val="it-IT"/>
              </w:rPr>
            </w:pPr>
            <w:r w:rsidRPr="006F7519">
              <w:rPr>
                <w:rFonts w:eastAsia="Times New Roman"/>
                <w:sz w:val="22"/>
                <w:szCs w:val="22"/>
                <w:lang w:val="it-IT"/>
              </w:rPr>
              <w:t xml:space="preserve">Într-adevăr, zona este pentru moment închisă într-un model nociv în care lucrătorii preferă să părăsească regiunea când au studii şi în care companiile ezită să se stabilească de teamă că nu vor găsi lucrători calificaţi. </w:t>
            </w:r>
          </w:p>
          <w:p w:rsidR="00EF614F" w:rsidRPr="006F7519" w:rsidRDefault="00EF614F" w:rsidP="00EF614F">
            <w:pPr>
              <w:spacing w:before="60" w:after="0"/>
              <w:rPr>
                <w:rFonts w:eastAsia="Times New Roman"/>
                <w:sz w:val="22"/>
                <w:szCs w:val="22"/>
                <w:lang w:val="it-IT"/>
              </w:rPr>
            </w:pPr>
            <w:r w:rsidRPr="006F7519">
              <w:rPr>
                <w:rFonts w:eastAsia="Times New Roman"/>
                <w:sz w:val="22"/>
                <w:szCs w:val="22"/>
                <w:lang w:val="it-IT"/>
              </w:rPr>
              <w:t xml:space="preserve">Programul se aşteaptă să influenţeze creşterea mobilităţii şi incluziunii pieţei de muncă prin favorizarea iniţiativelor îndreptate în acelaşi timp către lucrători şi antreprenori. </w:t>
            </w:r>
          </w:p>
          <w:p w:rsidR="00EF614F" w:rsidRPr="006F7519" w:rsidRDefault="00EF614F" w:rsidP="00EF614F">
            <w:pPr>
              <w:spacing w:before="60" w:after="0"/>
              <w:rPr>
                <w:rFonts w:eastAsia="Times New Roman"/>
                <w:sz w:val="22"/>
                <w:szCs w:val="22"/>
                <w:lang w:val="it-IT"/>
              </w:rPr>
            </w:pPr>
            <w:r w:rsidRPr="006F7519">
              <w:rPr>
                <w:rFonts w:eastAsia="Times New Roman"/>
                <w:sz w:val="22"/>
                <w:szCs w:val="22"/>
                <w:lang w:val="it-IT"/>
              </w:rPr>
              <w:t xml:space="preserve">În acest scop, el subliniază nevoia construirii de reţele transfrontaliere care partajează cele mai bune practici şi strategii pentru a oferi încredere oamenilor şi angajatorilor despre oportunităţile regiunii şi a crea întâlniri valoroase şi sinergii între ei. </w:t>
            </w:r>
          </w:p>
          <w:p w:rsidR="00EF614F" w:rsidRPr="006F7519" w:rsidRDefault="00EF614F" w:rsidP="00EF614F">
            <w:pPr>
              <w:spacing w:before="60" w:after="0"/>
              <w:rPr>
                <w:rFonts w:eastAsia="Times New Roman"/>
                <w:sz w:val="22"/>
                <w:szCs w:val="22"/>
                <w:lang w:val="it-IT"/>
              </w:rPr>
            </w:pPr>
            <w:r w:rsidRPr="006F7519">
              <w:rPr>
                <w:rFonts w:eastAsia="Times New Roman"/>
                <w:sz w:val="22"/>
                <w:szCs w:val="22"/>
                <w:lang w:val="it-IT"/>
              </w:rPr>
              <w:t xml:space="preserve">De exemplu, partajarea celor mai bune practici în turism poate fi benefică pentru integrarea zonei deoarece operatorii vor avea apoi posibilitatea de a crea o ofertă comună transfrontalieră, cum ar fi o excursie având ca obiectiv turistic principal Dunărea. </w:t>
            </w:r>
          </w:p>
          <w:p w:rsidR="00EF614F" w:rsidRPr="00EF614F" w:rsidRDefault="00EF614F" w:rsidP="00EF614F">
            <w:pPr>
              <w:spacing w:before="60" w:after="0"/>
              <w:rPr>
                <w:rFonts w:eastAsia="Times New Roman"/>
                <w:sz w:val="22"/>
                <w:szCs w:val="22"/>
                <w:lang w:val="fr-FR"/>
              </w:rPr>
            </w:pPr>
            <w:r w:rsidRPr="00EF614F">
              <w:rPr>
                <w:rFonts w:eastAsia="Times New Roman"/>
                <w:sz w:val="22"/>
                <w:szCs w:val="22"/>
                <w:lang w:val="fr-FR"/>
              </w:rPr>
              <w:t xml:space="preserve">Această reţea va lega de asemenea sectorul privat de sistemul educaţional pentru a oferi o instruire mai concretă şi mai valoroasă elevilor sau lucrătorilor. Le va permite lucrătorilor să corespundă nevoilor angajatorilor şi de asemenea </w:t>
            </w:r>
            <w:proofErr w:type="gramStart"/>
            <w:r w:rsidRPr="00EF614F">
              <w:rPr>
                <w:rFonts w:eastAsia="Times New Roman"/>
                <w:sz w:val="22"/>
                <w:szCs w:val="22"/>
                <w:lang w:val="fr-FR"/>
              </w:rPr>
              <w:t>de a-i</w:t>
            </w:r>
            <w:proofErr w:type="gramEnd"/>
            <w:r w:rsidRPr="00EF614F">
              <w:rPr>
                <w:rFonts w:eastAsia="Times New Roman"/>
                <w:sz w:val="22"/>
                <w:szCs w:val="22"/>
                <w:lang w:val="fr-FR"/>
              </w:rPr>
              <w:t xml:space="preserve"> reasigura pe lucrători de viitorul lor profesional. </w:t>
            </w:r>
          </w:p>
          <w:p w:rsidR="00EF614F" w:rsidRPr="00EF614F" w:rsidRDefault="00EF614F" w:rsidP="00EF614F">
            <w:pPr>
              <w:spacing w:before="60" w:after="0"/>
              <w:rPr>
                <w:rFonts w:eastAsia="Times New Roman"/>
                <w:sz w:val="22"/>
                <w:szCs w:val="22"/>
                <w:lang w:val="fr-FR"/>
              </w:rPr>
            </w:pPr>
            <w:r w:rsidRPr="00EF614F">
              <w:rPr>
                <w:rFonts w:eastAsia="Times New Roman"/>
                <w:sz w:val="22"/>
                <w:szCs w:val="22"/>
                <w:lang w:val="fr-FR"/>
              </w:rPr>
              <w:t xml:space="preserve">Mai mult, se vor favoriza iniţiative de a oferi o mai bună accesibilitate şi promovare programului de învăţare a limbii. În acest scop va fi util să se furnizeze informaţii despre oportunităţile de muncă din cealaltă parte a graniţei. Astfel va fi posibil pentru populaţie să îşi schimbe scara cercetărilor şi să fie mai deschişi la învăţarea unei alte limbi. </w:t>
            </w:r>
          </w:p>
          <w:p w:rsidR="00EF614F" w:rsidRPr="00EF614F" w:rsidRDefault="00EF614F" w:rsidP="00EF614F">
            <w:pPr>
              <w:spacing w:before="60" w:after="0"/>
              <w:rPr>
                <w:rFonts w:eastAsia="Times New Roman"/>
                <w:sz w:val="22"/>
                <w:szCs w:val="22"/>
                <w:lang w:val="fr-FR"/>
              </w:rPr>
            </w:pPr>
            <w:r w:rsidRPr="00EF614F">
              <w:rPr>
                <w:rFonts w:eastAsia="Times New Roman"/>
                <w:sz w:val="22"/>
                <w:szCs w:val="22"/>
                <w:lang w:val="fr-FR"/>
              </w:rPr>
              <w:t xml:space="preserve">În acest scop, de asemenea pare necesar să se promoveze implementarea unor structuri transfrontaliere dedicate care vor avea rolul de a ajuta, zilnic, lucrători şi antreprenori transfrontalieri să depăşească obstacolele administrative, juridice sau fiscale în calea mobilităţii. </w:t>
            </w:r>
          </w:p>
          <w:p w:rsidR="00EF614F" w:rsidRPr="00EF614F" w:rsidRDefault="00EF614F" w:rsidP="00EF614F">
            <w:pPr>
              <w:spacing w:before="60" w:after="0"/>
              <w:rPr>
                <w:rFonts w:eastAsia="Times New Roman"/>
                <w:sz w:val="22"/>
                <w:szCs w:val="22"/>
                <w:lang w:val="fr-FR"/>
              </w:rPr>
            </w:pPr>
            <w:r w:rsidRPr="00EF614F">
              <w:rPr>
                <w:rFonts w:eastAsia="Times New Roman"/>
                <w:sz w:val="22"/>
                <w:szCs w:val="22"/>
                <w:lang w:val="fr-FR"/>
              </w:rPr>
              <w:t xml:space="preserve">Serviciul de Angajări al Uniunii Europene a creat deja 20 parteneriate transfrontaliere EURES în mai mult de 13 ţări. Acest parteneriat transfrontalier şi consilierii săi are scopul de a răspunde nevoii de informare şi coordonare referitoare la mobilitatea muncii în regiunile de graniţă, aceste parteneriate reunesc servicii de angajare publice şi servicii de instruire profesională, angajatori şi organizaţii de sindicat, autorităţi locale şi alte instituţii care se ocupă de angajări şi instruire profesională. </w:t>
            </w:r>
          </w:p>
          <w:p w:rsidR="00EF614F" w:rsidRPr="00EF614F" w:rsidRDefault="00EF614F" w:rsidP="00EF614F">
            <w:pPr>
              <w:spacing w:before="60" w:after="0"/>
              <w:rPr>
                <w:rFonts w:eastAsia="Times New Roman"/>
                <w:sz w:val="22"/>
                <w:szCs w:val="22"/>
                <w:lang w:val="fr-FR"/>
              </w:rPr>
            </w:pPr>
            <w:r w:rsidRPr="00EF614F">
              <w:rPr>
                <w:rFonts w:eastAsia="Times New Roman"/>
                <w:sz w:val="22"/>
                <w:szCs w:val="22"/>
                <w:lang w:val="fr-FR"/>
              </w:rPr>
              <w:t>Această bună practică poate fi un model valoros pentru a obţine iniţiativa noastră transfrontalieră ca un mod de a dobândi conştientizarea despre cadrul transfrontalier EURES şi impleme</w:t>
            </w:r>
            <w:r w:rsidR="00061B79">
              <w:rPr>
                <w:rFonts w:eastAsia="Times New Roman"/>
                <w:sz w:val="22"/>
                <w:szCs w:val="22"/>
                <w:lang w:val="fr-FR"/>
              </w:rPr>
              <w:t xml:space="preserve">ntarea </w:t>
            </w:r>
            <w:proofErr w:type="gramStart"/>
            <w:r w:rsidR="00061B79">
              <w:rPr>
                <w:rFonts w:eastAsia="Times New Roman"/>
                <w:sz w:val="22"/>
                <w:szCs w:val="22"/>
                <w:lang w:val="fr-FR"/>
              </w:rPr>
              <w:t>sa</w:t>
            </w:r>
            <w:proofErr w:type="gramEnd"/>
            <w:r w:rsidR="00061B79">
              <w:rPr>
                <w:rFonts w:eastAsia="Times New Roman"/>
                <w:sz w:val="22"/>
                <w:szCs w:val="22"/>
                <w:lang w:val="fr-FR"/>
              </w:rPr>
              <w:t xml:space="preserve"> în alte regiuni europ</w:t>
            </w:r>
            <w:r w:rsidRPr="00EF614F">
              <w:rPr>
                <w:rFonts w:eastAsia="Times New Roman"/>
                <w:sz w:val="22"/>
                <w:szCs w:val="22"/>
                <w:lang w:val="fr-FR"/>
              </w:rPr>
              <w:t xml:space="preserve">ene. </w:t>
            </w:r>
          </w:p>
          <w:p w:rsidR="00EF614F" w:rsidRPr="00EF614F" w:rsidRDefault="00EF614F" w:rsidP="00EF614F">
            <w:pPr>
              <w:spacing w:before="60" w:after="0"/>
              <w:rPr>
                <w:rFonts w:eastAsia="Times New Roman"/>
                <w:sz w:val="22"/>
                <w:szCs w:val="22"/>
                <w:lang w:val="fr-FR"/>
              </w:rPr>
            </w:pPr>
            <w:r w:rsidRPr="00EF614F">
              <w:rPr>
                <w:rFonts w:eastAsia="Times New Roman"/>
                <w:sz w:val="22"/>
                <w:szCs w:val="22"/>
                <w:lang w:val="fr-FR"/>
              </w:rPr>
              <w:t xml:space="preserve">Principalul rezultat urmărit de aceste iniţiative este de a favoriza integrarea ambelor pieţe ale muncii pentru a demonstra că procesul către o zonă transfrontalieră mai unificată este în curs de desfăşurare şi este plin de potenţial şi beneficii. </w:t>
            </w:r>
          </w:p>
          <w:p w:rsidR="00736205" w:rsidRPr="00EC00C7" w:rsidRDefault="00EF614F" w:rsidP="00EF614F">
            <w:pPr>
              <w:spacing w:before="60" w:after="0"/>
              <w:rPr>
                <w:rFonts w:eastAsia="Times New Roman"/>
                <w:sz w:val="22"/>
                <w:szCs w:val="22"/>
                <w:lang w:val="fr-FR"/>
              </w:rPr>
            </w:pPr>
            <w:r w:rsidRPr="00EC00C7">
              <w:rPr>
                <w:rFonts w:eastAsia="Times New Roman"/>
                <w:sz w:val="22"/>
                <w:szCs w:val="22"/>
                <w:lang w:val="fr-FR"/>
              </w:rPr>
              <w:t>Într-adevăr, aceşti lucrători transfrontalieri pot treptat lua în considerare că nu doar trăiesc la periferia oraşelor capitale sau ţări străine pentru a trăi şi căuta locuri de muncă, ci că trăiesc şi într-o zonă distinctă şi centrală unde poate fi posibil să găsească şi să menţină o meserie calificată şi sustenabilă şi să aibă acces la programe de instruire pe tot parcursul vieţii anume create pentru a corespunde câtorva din  nevoile noi şi provocatoare ale companiilor transfrontaliere.</w:t>
            </w:r>
          </w:p>
        </w:tc>
      </w:tr>
    </w:tbl>
    <w:p w:rsidR="00736205" w:rsidRPr="00EC00C7" w:rsidRDefault="00736205" w:rsidP="00736205">
      <w:pPr>
        <w:rPr>
          <w:lang w:val="fr-FR"/>
        </w:rPr>
      </w:pPr>
    </w:p>
    <w:p w:rsidR="002A230E" w:rsidRPr="00EC00C7" w:rsidRDefault="002A230E" w:rsidP="00FD2917">
      <w:pPr>
        <w:spacing w:line="276" w:lineRule="auto"/>
        <w:rPr>
          <w:b/>
          <w:lang w:val="fr-FR"/>
        </w:rPr>
        <w:sectPr w:rsidR="002A230E" w:rsidRPr="00EC00C7" w:rsidSect="00523803">
          <w:pgSz w:w="11906" w:h="16838"/>
          <w:pgMar w:top="1021" w:right="1418" w:bottom="1021" w:left="1418" w:header="454" w:footer="624" w:gutter="0"/>
          <w:cols w:space="708"/>
          <w:docGrid w:linePitch="326"/>
        </w:sectPr>
      </w:pPr>
    </w:p>
    <w:p w:rsidR="004D5CFB" w:rsidRPr="001327F3" w:rsidRDefault="001327F3" w:rsidP="001327F3">
      <w:pPr>
        <w:rPr>
          <w:highlight w:val="red"/>
          <w:lang w:val="fr-FR"/>
        </w:rPr>
      </w:pPr>
      <w:bookmarkStart w:id="111" w:name="_Toc394837832"/>
      <w:r w:rsidRPr="00A77C97">
        <w:rPr>
          <w:rStyle w:val="Heading2Char"/>
          <w:rFonts w:eastAsia="Calibri"/>
          <w:lang w:val="fr-FR"/>
        </w:rPr>
        <w:lastRenderedPageBreak/>
        <w:t>Tabelul 3: Indicatori de rezultat specifici programului</w:t>
      </w:r>
      <w:bookmarkEnd w:id="111"/>
      <w:r w:rsidRPr="001327F3">
        <w:rPr>
          <w:lang w:val="fr-FR"/>
        </w:rPr>
        <w:t xml:space="preserve"> (pe obiectiv specific)</w:t>
      </w:r>
    </w:p>
    <w:tbl>
      <w:tblPr>
        <w:tblW w:w="4561" w:type="pct"/>
        <w:jc w:val="center"/>
        <w:tblLayout w:type="fixed"/>
        <w:tblCellMar>
          <w:left w:w="10" w:type="dxa"/>
          <w:right w:w="10" w:type="dxa"/>
        </w:tblCellMar>
        <w:tblLook w:val="0000" w:firstRow="0" w:lastRow="0" w:firstColumn="0" w:lastColumn="0" w:noHBand="0" w:noVBand="0"/>
      </w:tblPr>
      <w:tblGrid>
        <w:gridCol w:w="1331"/>
        <w:gridCol w:w="2284"/>
        <w:gridCol w:w="1910"/>
        <w:gridCol w:w="1674"/>
        <w:gridCol w:w="1397"/>
        <w:gridCol w:w="2123"/>
        <w:gridCol w:w="1698"/>
        <w:gridCol w:w="1277"/>
      </w:tblGrid>
      <w:tr w:rsidR="001327F3" w:rsidRPr="001327F3" w:rsidTr="001327F3">
        <w:trPr>
          <w:trHeight w:val="531"/>
          <w:jc w:val="center"/>
        </w:trPr>
        <w:tc>
          <w:tcPr>
            <w:tcW w:w="13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27F3" w:rsidRPr="008C14D4" w:rsidRDefault="001327F3" w:rsidP="001327F3">
            <w:pPr>
              <w:tabs>
                <w:tab w:val="left" w:pos="720"/>
              </w:tabs>
              <w:spacing w:line="276" w:lineRule="auto"/>
              <w:jc w:val="left"/>
              <w:rPr>
                <w:rFonts w:eastAsia="Times New Roman"/>
                <w:b/>
                <w:szCs w:val="24"/>
                <w:lang w:val="en-US"/>
              </w:rPr>
            </w:pPr>
            <w:r w:rsidRPr="008C14D4">
              <w:rPr>
                <w:rFonts w:eastAsia="Times New Roman"/>
                <w:b/>
                <w:szCs w:val="24"/>
                <w:lang w:val="en-US"/>
              </w:rPr>
              <w:t>ID</w:t>
            </w: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27F3" w:rsidRPr="008C14D4" w:rsidRDefault="001327F3" w:rsidP="001327F3">
            <w:pPr>
              <w:tabs>
                <w:tab w:val="left" w:pos="720"/>
              </w:tabs>
              <w:spacing w:line="276" w:lineRule="auto"/>
              <w:jc w:val="left"/>
              <w:rPr>
                <w:rFonts w:eastAsia="Times New Roman"/>
                <w:b/>
                <w:szCs w:val="24"/>
                <w:lang w:val="en-US"/>
              </w:rPr>
            </w:pPr>
            <w:r w:rsidRPr="008C14D4">
              <w:rPr>
                <w:rFonts w:eastAsia="Times New Roman"/>
                <w:b/>
                <w:szCs w:val="24"/>
                <w:lang w:val="en-US"/>
              </w:rPr>
              <w:t xml:space="preserve">Indicator </w:t>
            </w: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27F3" w:rsidRPr="008C14D4" w:rsidRDefault="001327F3" w:rsidP="001327F3">
            <w:pPr>
              <w:snapToGrid w:val="0"/>
              <w:spacing w:line="276" w:lineRule="auto"/>
              <w:jc w:val="left"/>
              <w:rPr>
                <w:rFonts w:eastAsia="Times New Roman"/>
                <w:b/>
                <w:szCs w:val="24"/>
                <w:lang w:val="en-US"/>
              </w:rPr>
            </w:pPr>
            <w:r w:rsidRPr="008C14D4">
              <w:rPr>
                <w:rFonts w:eastAsia="Times New Roman"/>
                <w:b/>
                <w:szCs w:val="24"/>
                <w:lang w:val="en-US"/>
              </w:rPr>
              <w:t>Unitate de măsură</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27F3" w:rsidRPr="008C14D4" w:rsidRDefault="001327F3" w:rsidP="001327F3">
            <w:pPr>
              <w:tabs>
                <w:tab w:val="left" w:pos="720"/>
              </w:tabs>
              <w:spacing w:line="276" w:lineRule="auto"/>
              <w:jc w:val="left"/>
              <w:rPr>
                <w:rFonts w:eastAsia="Times New Roman"/>
                <w:b/>
                <w:szCs w:val="24"/>
                <w:lang w:val="en-US"/>
              </w:rPr>
            </w:pPr>
            <w:r w:rsidRPr="008C14D4">
              <w:rPr>
                <w:rFonts w:eastAsia="Times New Roman"/>
                <w:b/>
                <w:szCs w:val="24"/>
                <w:lang w:val="en-US"/>
              </w:rPr>
              <w:t>Valoarea de referință</w:t>
            </w:r>
          </w:p>
        </w:tc>
        <w:tc>
          <w:tcPr>
            <w:tcW w:w="1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27F3" w:rsidRPr="008C14D4" w:rsidRDefault="001327F3" w:rsidP="001327F3">
            <w:pPr>
              <w:snapToGrid w:val="0"/>
              <w:spacing w:line="276" w:lineRule="auto"/>
              <w:jc w:val="left"/>
              <w:rPr>
                <w:rFonts w:eastAsia="Times New Roman"/>
                <w:b/>
                <w:szCs w:val="24"/>
                <w:lang w:val="en-US"/>
              </w:rPr>
            </w:pPr>
            <w:r w:rsidRPr="008C14D4">
              <w:rPr>
                <w:rFonts w:eastAsia="Times New Roman"/>
                <w:b/>
                <w:szCs w:val="24"/>
                <w:lang w:val="en-US"/>
              </w:rPr>
              <w:t>Anul de referință</w:t>
            </w:r>
          </w:p>
        </w:tc>
        <w:tc>
          <w:tcPr>
            <w:tcW w:w="21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27F3" w:rsidRPr="008C14D4" w:rsidRDefault="001327F3" w:rsidP="001327F3">
            <w:pPr>
              <w:tabs>
                <w:tab w:val="left" w:pos="720"/>
              </w:tabs>
              <w:spacing w:line="276" w:lineRule="auto"/>
              <w:jc w:val="left"/>
              <w:rPr>
                <w:rFonts w:eastAsia="Times New Roman"/>
                <w:b/>
                <w:szCs w:val="24"/>
                <w:lang w:val="en-US"/>
              </w:rPr>
            </w:pPr>
            <w:r w:rsidRPr="008C14D4">
              <w:rPr>
                <w:rFonts w:eastAsia="Times New Roman"/>
                <w:b/>
                <w:szCs w:val="24"/>
                <w:lang w:val="en-US"/>
              </w:rPr>
              <w:t>Valoarea-țintă (2023)</w:t>
            </w:r>
            <w:r>
              <w:rPr>
                <w:rStyle w:val="FootnoteReference"/>
                <w:rFonts w:eastAsia="Times New Roman"/>
                <w:b/>
                <w:szCs w:val="24"/>
                <w:lang w:val="en-US"/>
              </w:rPr>
              <w:footnoteReference w:id="12"/>
            </w:r>
          </w:p>
        </w:tc>
        <w:tc>
          <w:tcPr>
            <w:tcW w:w="1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27F3" w:rsidRPr="008C14D4" w:rsidRDefault="001327F3" w:rsidP="001327F3">
            <w:pPr>
              <w:tabs>
                <w:tab w:val="left" w:pos="720"/>
              </w:tabs>
              <w:spacing w:line="276" w:lineRule="auto"/>
              <w:jc w:val="left"/>
              <w:rPr>
                <w:rFonts w:eastAsia="Times New Roman"/>
                <w:b/>
                <w:szCs w:val="24"/>
                <w:lang w:val="en-US"/>
              </w:rPr>
            </w:pPr>
            <w:r w:rsidRPr="008C14D4">
              <w:rPr>
                <w:rFonts w:eastAsia="Times New Roman"/>
                <w:b/>
                <w:szCs w:val="24"/>
                <w:lang w:val="en-US"/>
              </w:rPr>
              <w:t>Sursa datelor</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27F3" w:rsidRPr="008C14D4" w:rsidRDefault="001327F3" w:rsidP="001327F3">
            <w:pPr>
              <w:tabs>
                <w:tab w:val="left" w:pos="720"/>
              </w:tabs>
              <w:spacing w:line="276" w:lineRule="auto"/>
              <w:jc w:val="left"/>
              <w:rPr>
                <w:rFonts w:eastAsia="Times New Roman"/>
                <w:b/>
                <w:szCs w:val="24"/>
                <w:lang w:val="en-US"/>
              </w:rPr>
            </w:pPr>
            <w:r w:rsidRPr="008C14D4">
              <w:rPr>
                <w:rFonts w:eastAsia="Times New Roman"/>
                <w:b/>
                <w:szCs w:val="24"/>
                <w:lang w:val="en-US"/>
              </w:rPr>
              <w:t>Frecvența raportării</w:t>
            </w:r>
          </w:p>
        </w:tc>
      </w:tr>
      <w:tr w:rsidR="004D5CFB" w:rsidRPr="000B7282" w:rsidTr="004D5CFB">
        <w:trPr>
          <w:trHeight w:val="870"/>
          <w:jc w:val="center"/>
        </w:trPr>
        <w:tc>
          <w:tcPr>
            <w:tcW w:w="13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5CFB" w:rsidRPr="001327F3" w:rsidRDefault="0030358B" w:rsidP="004D5CFB">
            <w:pPr>
              <w:tabs>
                <w:tab w:val="left" w:pos="720"/>
              </w:tabs>
              <w:spacing w:line="276" w:lineRule="auto"/>
              <w:jc w:val="left"/>
              <w:rPr>
                <w:szCs w:val="24"/>
                <w:lang w:val="en-US"/>
              </w:rPr>
            </w:pPr>
            <w:r>
              <w:rPr>
                <w:szCs w:val="24"/>
                <w:lang w:val="en-US"/>
              </w:rPr>
              <w:t>R.</w:t>
            </w:r>
            <w:r w:rsidR="00AD5E5C" w:rsidRPr="001327F3">
              <w:rPr>
                <w:szCs w:val="24"/>
                <w:lang w:val="en-US"/>
              </w:rPr>
              <w:t>4</w:t>
            </w:r>
            <w:r w:rsidR="004D5CFB" w:rsidRPr="001327F3">
              <w:rPr>
                <w:szCs w:val="24"/>
                <w:lang w:val="en-US"/>
              </w:rPr>
              <w:t>.1</w:t>
            </w: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3635" w:rsidRPr="001327F3" w:rsidRDefault="001327F3" w:rsidP="001371FD">
            <w:pPr>
              <w:pStyle w:val="CommentText"/>
              <w:rPr>
                <w:sz w:val="24"/>
                <w:szCs w:val="24"/>
                <w:lang w:val="fr-FR"/>
              </w:rPr>
            </w:pPr>
            <w:r w:rsidRPr="001327F3">
              <w:rPr>
                <w:sz w:val="24"/>
                <w:szCs w:val="24"/>
                <w:lang w:val="fr-FR"/>
              </w:rPr>
              <w:t xml:space="preserve">Populația cu acces la inițiativele comune </w:t>
            </w:r>
            <w:proofErr w:type="gramStart"/>
            <w:r w:rsidRPr="001327F3">
              <w:rPr>
                <w:sz w:val="24"/>
                <w:szCs w:val="24"/>
                <w:lang w:val="fr-FR"/>
              </w:rPr>
              <w:t>de angajare</w:t>
            </w:r>
            <w:proofErr w:type="gramEnd"/>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5CFB" w:rsidRPr="001327F3" w:rsidRDefault="001327F3" w:rsidP="004D5CFB">
            <w:pPr>
              <w:tabs>
                <w:tab w:val="left" w:pos="720"/>
              </w:tabs>
              <w:spacing w:line="276" w:lineRule="auto"/>
              <w:jc w:val="left"/>
              <w:rPr>
                <w:szCs w:val="24"/>
                <w:lang w:val="en-US"/>
              </w:rPr>
            </w:pPr>
            <w:r>
              <w:rPr>
                <w:szCs w:val="24"/>
                <w:lang w:val="en-US"/>
              </w:rPr>
              <w:t>Număr</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5CFB" w:rsidRPr="001327F3" w:rsidRDefault="00BB505A" w:rsidP="004D5CFB">
            <w:pPr>
              <w:tabs>
                <w:tab w:val="left" w:pos="720"/>
              </w:tabs>
              <w:spacing w:line="276" w:lineRule="auto"/>
              <w:jc w:val="left"/>
              <w:rPr>
                <w:rFonts w:eastAsia="Times New Roman"/>
                <w:szCs w:val="24"/>
                <w:lang w:val="en-US"/>
              </w:rPr>
            </w:pPr>
            <w:r w:rsidRPr="001327F3">
              <w:rPr>
                <w:rFonts w:eastAsia="Times New Roman"/>
                <w:szCs w:val="24"/>
                <w:lang w:val="en-US"/>
              </w:rPr>
              <w:t>20</w:t>
            </w:r>
            <w:r w:rsidR="00794E09" w:rsidRPr="001327F3">
              <w:rPr>
                <w:rFonts w:eastAsia="Times New Roman"/>
                <w:szCs w:val="24"/>
                <w:lang w:val="en-US"/>
              </w:rPr>
              <w:t>0</w:t>
            </w:r>
            <w:r w:rsidRPr="001327F3">
              <w:rPr>
                <w:rFonts w:eastAsia="Times New Roman"/>
                <w:szCs w:val="24"/>
                <w:lang w:val="en-US"/>
              </w:rPr>
              <w:t xml:space="preserve"> 000</w:t>
            </w:r>
          </w:p>
        </w:tc>
        <w:tc>
          <w:tcPr>
            <w:tcW w:w="1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5CFB" w:rsidRPr="001327F3" w:rsidRDefault="00794E09" w:rsidP="004D5CFB">
            <w:pPr>
              <w:tabs>
                <w:tab w:val="left" w:pos="720"/>
              </w:tabs>
              <w:spacing w:line="276" w:lineRule="auto"/>
              <w:jc w:val="left"/>
              <w:rPr>
                <w:rFonts w:eastAsia="Times New Roman"/>
                <w:szCs w:val="24"/>
                <w:lang w:val="en-US"/>
              </w:rPr>
            </w:pPr>
            <w:r w:rsidRPr="001327F3">
              <w:rPr>
                <w:rFonts w:eastAsia="Times New Roman"/>
                <w:szCs w:val="24"/>
                <w:lang w:val="en-US"/>
              </w:rPr>
              <w:t>2014</w:t>
            </w:r>
          </w:p>
        </w:tc>
        <w:tc>
          <w:tcPr>
            <w:tcW w:w="21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5CFB" w:rsidRPr="001327F3" w:rsidRDefault="00BB505A" w:rsidP="004D5CFB">
            <w:pPr>
              <w:tabs>
                <w:tab w:val="left" w:pos="720"/>
              </w:tabs>
              <w:spacing w:line="276" w:lineRule="auto"/>
              <w:jc w:val="left"/>
              <w:rPr>
                <w:rFonts w:eastAsia="Times New Roman"/>
                <w:szCs w:val="24"/>
                <w:lang w:val="en-US"/>
              </w:rPr>
            </w:pPr>
            <w:r w:rsidRPr="001327F3">
              <w:rPr>
                <w:rFonts w:eastAsia="Times New Roman"/>
                <w:szCs w:val="24"/>
                <w:lang w:val="en-US"/>
              </w:rPr>
              <w:t>50</w:t>
            </w:r>
            <w:r w:rsidR="00794E09" w:rsidRPr="001327F3">
              <w:rPr>
                <w:rFonts w:eastAsia="Times New Roman"/>
                <w:szCs w:val="24"/>
                <w:lang w:val="en-US"/>
              </w:rPr>
              <w:t>0</w:t>
            </w:r>
            <w:r w:rsidRPr="001327F3">
              <w:rPr>
                <w:rFonts w:eastAsia="Times New Roman"/>
                <w:szCs w:val="24"/>
                <w:lang w:val="en-US"/>
              </w:rPr>
              <w:t xml:space="preserve"> 000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5CFB" w:rsidRPr="001327F3" w:rsidRDefault="001327F3" w:rsidP="004D5CFB">
            <w:pPr>
              <w:tabs>
                <w:tab w:val="left" w:pos="720"/>
              </w:tabs>
              <w:spacing w:after="240" w:line="276" w:lineRule="auto"/>
              <w:jc w:val="left"/>
              <w:rPr>
                <w:rFonts w:eastAsia="Times New Roman"/>
                <w:szCs w:val="24"/>
                <w:lang w:val="en-US"/>
              </w:rPr>
            </w:pPr>
            <w:r w:rsidRPr="001327F3">
              <w:rPr>
                <w:rFonts w:eastAsia="Times New Roman"/>
                <w:szCs w:val="24"/>
                <w:lang w:val="en-US"/>
              </w:rPr>
              <w:t>Rapoarte de monitorizare</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5CFB" w:rsidRPr="00B749E7" w:rsidRDefault="004D5CFB" w:rsidP="004D5CFB">
            <w:pPr>
              <w:tabs>
                <w:tab w:val="left" w:pos="720"/>
              </w:tabs>
              <w:spacing w:after="240" w:line="276" w:lineRule="auto"/>
              <w:jc w:val="left"/>
              <w:rPr>
                <w:rFonts w:eastAsia="Times New Roman"/>
                <w:szCs w:val="24"/>
                <w:lang w:val="en-US"/>
              </w:rPr>
            </w:pPr>
            <w:r w:rsidRPr="001327F3">
              <w:rPr>
                <w:rFonts w:eastAsia="Times New Roman"/>
                <w:szCs w:val="24"/>
                <w:lang w:val="en-US"/>
              </w:rPr>
              <w:t>2018, 2023</w:t>
            </w:r>
          </w:p>
        </w:tc>
      </w:tr>
    </w:tbl>
    <w:p w:rsidR="00FD2917" w:rsidRPr="0070649D" w:rsidRDefault="00FD2917" w:rsidP="00FD2917">
      <w:pPr>
        <w:rPr>
          <w:lang w:val="en-US"/>
        </w:rPr>
        <w:sectPr w:rsidR="00FD2917" w:rsidRPr="0070649D" w:rsidSect="00725EE4">
          <w:pgSz w:w="16838" w:h="11906" w:orient="landscape"/>
          <w:pgMar w:top="1418" w:right="1021" w:bottom="1418" w:left="1021" w:header="601" w:footer="1077" w:gutter="0"/>
          <w:cols w:space="708"/>
          <w:docGrid w:linePitch="326"/>
        </w:sectPr>
      </w:pPr>
    </w:p>
    <w:p w:rsidR="00BB3BAA" w:rsidRPr="00BB3BAA" w:rsidRDefault="00BB3BAA" w:rsidP="00BB3BAA">
      <w:pPr>
        <w:pStyle w:val="Heading2"/>
        <w:rPr>
          <w:lang w:val="fr-FR"/>
        </w:rPr>
      </w:pPr>
      <w:bookmarkStart w:id="112" w:name="_Toc394837833"/>
      <w:proofErr w:type="gramStart"/>
      <w:r w:rsidRPr="00BB3BAA">
        <w:rPr>
          <w:lang w:val="fr-FR"/>
        </w:rPr>
        <w:lastRenderedPageBreak/>
        <w:t>2.A.6</w:t>
      </w:r>
      <w:proofErr w:type="gramEnd"/>
      <w:r w:rsidRPr="00BB3BAA">
        <w:rPr>
          <w:lang w:val="fr-FR"/>
        </w:rPr>
        <w:t>. Acțiunile care urmează să fie sprijinite în cadrul priorității de investiții (pe prioritate de investiții)</w:t>
      </w:r>
      <w:bookmarkEnd w:id="112"/>
    </w:p>
    <w:p w:rsidR="004D5CFB" w:rsidRPr="00396473" w:rsidRDefault="00BB3BAA" w:rsidP="00BB3BAA">
      <w:pPr>
        <w:pStyle w:val="Heading2"/>
        <w:rPr>
          <w:lang w:val="fr-FR"/>
        </w:rPr>
      </w:pPr>
      <w:bookmarkStart w:id="113" w:name="_Toc394837834"/>
      <w:proofErr w:type="gramStart"/>
      <w:r w:rsidRPr="00396473">
        <w:rPr>
          <w:lang w:val="fr-FR"/>
        </w:rPr>
        <w:t>2.A.6.1</w:t>
      </w:r>
      <w:proofErr w:type="gramEnd"/>
      <w:r w:rsidRPr="00396473">
        <w:rPr>
          <w:lang w:val="fr-FR"/>
        </w:rPr>
        <w:t>. Descrierea tipului și exemple de acțiuni care urmează să fie sprijinite și contribuțiile preconizate la obiectivele specifice, inclusiv, după caz, identificarea principalelor grupuri țintă, a teritoriilor specifice vizate și a tipurilor de beneficiari</w:t>
      </w:r>
      <w:bookmarkEnd w:id="113"/>
    </w:p>
    <w:p w:rsidR="00B1269F" w:rsidRPr="00A77C97" w:rsidRDefault="00C90B9D" w:rsidP="004D5CFB">
      <w:pPr>
        <w:rPr>
          <w:b/>
          <w:szCs w:val="24"/>
          <w:lang w:val="fr-FR"/>
        </w:rPr>
      </w:pPr>
      <w:r w:rsidRPr="00A77C97">
        <w:rPr>
          <w:b/>
          <w:szCs w:val="24"/>
          <w:lang w:val="fr-FR"/>
        </w:rPr>
        <w:t>Acțiuni pentru î</w:t>
      </w:r>
      <w:r w:rsidR="00BB3BAA" w:rsidRPr="00A77C97">
        <w:rPr>
          <w:b/>
          <w:szCs w:val="24"/>
          <w:lang w:val="fr-FR"/>
        </w:rPr>
        <w:t xml:space="preserve">ncurajarea integrării zonei transfrontaliere în privința ocupării și mobilității forței de muncă </w:t>
      </w:r>
    </w:p>
    <w:p w:rsidR="00B1269F" w:rsidRPr="00BB3BAA" w:rsidRDefault="00B1269F" w:rsidP="00B1269F">
      <w:pPr>
        <w:rPr>
          <w:lang w:val="ro-RO"/>
        </w:rPr>
      </w:pPr>
      <w:r w:rsidRPr="00BB3BAA">
        <w:rPr>
          <w:lang w:val="ro-RO"/>
        </w:rPr>
        <w:t xml:space="preserve">Acțiunile ce vor fi susținute în cadrul acestui obiectiv specific caută să încurajeze dezvoltarea unei piețe a muncii mai integrate în zona transfrontalieră. Aceasta se va realiza în principal prin mecanisme de instruire și suport cu rol de întărire și facilitare pentru forța de muncă din zona transfrontalieră. </w:t>
      </w:r>
    </w:p>
    <w:p w:rsidR="009F3239" w:rsidRPr="008F648D" w:rsidRDefault="009F3239" w:rsidP="009F3239">
      <w:pPr>
        <w:rPr>
          <w:lang w:val="ro-RO"/>
        </w:rPr>
      </w:pPr>
      <w:r w:rsidRPr="008F648D">
        <w:rPr>
          <w:lang w:val="ro-RO"/>
        </w:rPr>
        <w:t xml:space="preserve">Căutând să determine forța de muncă să profite de oportunitățile de ocupare și antreprenoriat transfrontaliere, susținerea se va concentra în jurul a două aspecte principale: asigurarea deprinderilor adaptate resurselor și potențialului economic transfrontalier (pentru descătușarea potențialului economic autentic endogen și sustenabil în zone în care pot fi dezvoltate IMM și antreprenoriate) și susținerea măsurilor de facilitare a mobilității transfrontaliere (predarea limbilor, infrastructură si transport de trecere a frontierei etc.). </w:t>
      </w:r>
    </w:p>
    <w:p w:rsidR="009F3239" w:rsidRPr="008F648D" w:rsidRDefault="009F3239" w:rsidP="009F3239">
      <w:pPr>
        <w:rPr>
          <w:lang w:val="ro-RO"/>
        </w:rPr>
      </w:pPr>
      <w:r w:rsidRPr="008F648D">
        <w:rPr>
          <w:lang w:val="ro-RO"/>
        </w:rPr>
        <w:t>Toate acțiunile ce vor fi susținute vor contribui la îmbunătățirea integrării piețelor transfrontaliere ale muncii și a legăturilor dintre antreprenori</w:t>
      </w:r>
      <w:r w:rsidR="00BB3BAA" w:rsidRPr="008F648D">
        <w:rPr>
          <w:lang w:val="ro-RO"/>
        </w:rPr>
        <w:t xml:space="preserve"> pe ambele parți ale graniței.</w:t>
      </w:r>
    </w:p>
    <w:p w:rsidR="009B3442" w:rsidRPr="008F648D" w:rsidRDefault="009B3442" w:rsidP="009B3442">
      <w:pPr>
        <w:rPr>
          <w:lang w:val="ro-RO"/>
        </w:rPr>
      </w:pPr>
      <w:r w:rsidRPr="008F648D">
        <w:rPr>
          <w:lang w:val="ro-RO"/>
        </w:rPr>
        <w:t xml:space="preserve">Exemple de acțiuni ce vor fi susținute:   </w:t>
      </w:r>
    </w:p>
    <w:p w:rsidR="009B3442" w:rsidRPr="008F648D" w:rsidRDefault="008F648D" w:rsidP="009B3442">
      <w:pPr>
        <w:rPr>
          <w:b/>
          <w:u w:val="single"/>
          <w:lang w:val="ro-RO"/>
        </w:rPr>
      </w:pPr>
      <w:r w:rsidRPr="008F648D">
        <w:rPr>
          <w:b/>
          <w:u w:val="single"/>
          <w:lang w:val="ro-RO"/>
        </w:rPr>
        <w:t>Mă</w:t>
      </w:r>
      <w:r w:rsidR="009B3442" w:rsidRPr="008F648D">
        <w:rPr>
          <w:b/>
          <w:u w:val="single"/>
          <w:lang w:val="ro-RO"/>
        </w:rPr>
        <w:t>suri nestructurale:</w:t>
      </w:r>
    </w:p>
    <w:p w:rsidR="009B3442" w:rsidRPr="008F648D" w:rsidRDefault="009B3442" w:rsidP="00EC1DA9">
      <w:pPr>
        <w:numPr>
          <w:ilvl w:val="0"/>
          <w:numId w:val="13"/>
        </w:numPr>
        <w:rPr>
          <w:lang w:val="ro-RO"/>
        </w:rPr>
      </w:pPr>
      <w:r w:rsidRPr="008F648D">
        <w:rPr>
          <w:lang w:val="ro-RO"/>
        </w:rPr>
        <w:t>anticiparea oportunităților de ocupare a fortei de munca pe termen lung create de modificările structurale de pe piața muncii și dezvoltarea serviciilor în domeniile îndrumării și învățării pe tot parcursul vieții pentru încurajarea tranzițiilor de carieră</w:t>
      </w:r>
    </w:p>
    <w:p w:rsidR="009B3442" w:rsidRPr="008F648D" w:rsidRDefault="009B3442" w:rsidP="00EC1DA9">
      <w:pPr>
        <w:numPr>
          <w:ilvl w:val="0"/>
          <w:numId w:val="13"/>
        </w:numPr>
        <w:rPr>
          <w:lang w:val="ro-RO"/>
        </w:rPr>
      </w:pPr>
      <w:r w:rsidRPr="008F648D">
        <w:rPr>
          <w:lang w:val="ro-RO"/>
        </w:rPr>
        <w:t>dezvoltarea de strategii, planuri și studii comune referitoare l</w:t>
      </w:r>
      <w:r w:rsidR="00484E2A">
        <w:rPr>
          <w:lang w:val="ro-RO"/>
        </w:rPr>
        <w:t>a mobilitatea transfrontalieră ş</w:t>
      </w:r>
      <w:r w:rsidRPr="008F648D">
        <w:rPr>
          <w:lang w:val="ro-RO"/>
        </w:rPr>
        <w:t xml:space="preserve">i identificarea principalelor ramuri ce pot activa mobilitatea forței de muncă </w:t>
      </w:r>
    </w:p>
    <w:p w:rsidR="009B3442" w:rsidRPr="008F648D" w:rsidRDefault="009B3442" w:rsidP="00EC1DA9">
      <w:pPr>
        <w:numPr>
          <w:ilvl w:val="0"/>
          <w:numId w:val="13"/>
        </w:numPr>
        <w:rPr>
          <w:lang w:val="ro-RO"/>
        </w:rPr>
      </w:pPr>
      <w:r w:rsidRPr="008F648D">
        <w:rPr>
          <w:lang w:val="ro-RO"/>
        </w:rPr>
        <w:t>colaborare în oferirea de servicii angajatorilor și stabilirea de parteneriate cu instituțiile de învățământ și alte servicii de ocupare pentr</w:t>
      </w:r>
      <w:r w:rsidR="00484E2A">
        <w:rPr>
          <w:lang w:val="ro-RO"/>
        </w:rPr>
        <w:t>u a asigura furnizarea flexibilă, preventivă</w:t>
      </w:r>
      <w:r w:rsidRPr="008F648D">
        <w:rPr>
          <w:lang w:val="ro-RO"/>
        </w:rPr>
        <w:t xml:space="preserve"> și eficienta a serviciilor acestora</w:t>
      </w:r>
    </w:p>
    <w:p w:rsidR="009B3442" w:rsidRPr="008F648D" w:rsidRDefault="009B3442" w:rsidP="00EC1DA9">
      <w:pPr>
        <w:numPr>
          <w:ilvl w:val="0"/>
          <w:numId w:val="13"/>
        </w:numPr>
        <w:rPr>
          <w:lang w:val="ro-RO"/>
        </w:rPr>
      </w:pPr>
      <w:r w:rsidRPr="008F648D">
        <w:rPr>
          <w:lang w:val="ro-RO"/>
        </w:rPr>
        <w:t>of</w:t>
      </w:r>
      <w:r w:rsidR="00484E2A">
        <w:rPr>
          <w:lang w:val="ro-RO"/>
        </w:rPr>
        <w:t>erirea de informații  complete ş</w:t>
      </w:r>
      <w:r w:rsidRPr="008F648D">
        <w:rPr>
          <w:lang w:val="ro-RO"/>
        </w:rPr>
        <w:t>i oficiale cu privire la asigurarile sociale, legislația muncii și aspectelor fiscale din regiunile de graniță din România și Bulgaria, prin sesiuni de instruire periodică și cursuri despre reglementările legale relevante în vederea reducerii incertitudinilor unităților administrative și angajatorilor în ceea ce privește modul de interpretare și aplicare a reglementărilor specifice</w:t>
      </w:r>
    </w:p>
    <w:p w:rsidR="009B3442" w:rsidRPr="008F648D" w:rsidRDefault="009B3442" w:rsidP="00EC1DA9">
      <w:pPr>
        <w:numPr>
          <w:ilvl w:val="0"/>
          <w:numId w:val="13"/>
        </w:numPr>
        <w:rPr>
          <w:lang w:val="ro-RO"/>
        </w:rPr>
      </w:pPr>
      <w:r w:rsidRPr="008F648D">
        <w:rPr>
          <w:lang w:val="ro-RO"/>
        </w:rPr>
        <w:t xml:space="preserve">dezvoltarea și asigurarea de programe speciale comune de </w:t>
      </w:r>
      <w:r w:rsidR="00484E2A">
        <w:rPr>
          <w:lang w:val="ro-RO"/>
        </w:rPr>
        <w:t>formare profesională/vocatională</w:t>
      </w:r>
      <w:r w:rsidRPr="008F648D">
        <w:rPr>
          <w:lang w:val="ro-RO"/>
        </w:rPr>
        <w:t xml:space="preserve"> în sec</w:t>
      </w:r>
      <w:r w:rsidR="00484E2A">
        <w:rPr>
          <w:lang w:val="ro-RO"/>
        </w:rPr>
        <w:t>toare în care lipsesc  competenţ</w:t>
      </w:r>
      <w:r w:rsidRPr="008F648D">
        <w:rPr>
          <w:lang w:val="ro-RO"/>
        </w:rPr>
        <w:t xml:space="preserve">ele  specifice </w:t>
      </w:r>
    </w:p>
    <w:p w:rsidR="009B3442" w:rsidRPr="008F648D" w:rsidRDefault="009B3442" w:rsidP="00EC1DA9">
      <w:pPr>
        <w:numPr>
          <w:ilvl w:val="0"/>
          <w:numId w:val="13"/>
        </w:numPr>
        <w:rPr>
          <w:lang w:val="ro-RO"/>
        </w:rPr>
      </w:pPr>
      <w:r w:rsidRPr="008F648D">
        <w:rPr>
          <w:lang w:val="ro-RO"/>
        </w:rPr>
        <w:t xml:space="preserve">instruire și sprijin comun, schimburi de bune practici pentru o mai bună integrare pe piața muncii </w:t>
      </w:r>
    </w:p>
    <w:p w:rsidR="009B3442" w:rsidRPr="008F648D" w:rsidRDefault="009B3442" w:rsidP="00EC1DA9">
      <w:pPr>
        <w:numPr>
          <w:ilvl w:val="0"/>
          <w:numId w:val="13"/>
        </w:numPr>
        <w:rPr>
          <w:lang w:val="ro-RO"/>
        </w:rPr>
      </w:pPr>
      <w:r w:rsidRPr="008F648D">
        <w:rPr>
          <w:lang w:val="ro-RO"/>
        </w:rPr>
        <w:t xml:space="preserve">acțiuni de conștientizare a oportunităților de ocupare în zona PCT RO-BG </w:t>
      </w:r>
    </w:p>
    <w:p w:rsidR="00894605" w:rsidRPr="008F648D" w:rsidRDefault="00894605" w:rsidP="00EC1DA9">
      <w:pPr>
        <w:numPr>
          <w:ilvl w:val="0"/>
          <w:numId w:val="13"/>
        </w:numPr>
        <w:rPr>
          <w:lang w:val="ro-RO"/>
        </w:rPr>
      </w:pPr>
      <w:r w:rsidRPr="008F648D">
        <w:rPr>
          <w:lang w:val="ro-RO"/>
        </w:rPr>
        <w:lastRenderedPageBreak/>
        <w:t>oferirea unor cursuri speciale de limbă pentru angajații mobili și persoanelor în căutare de loc de muncă, care pot crește  ș</w:t>
      </w:r>
      <w:r w:rsidR="00484E2A">
        <w:rPr>
          <w:lang w:val="ro-RO"/>
        </w:rPr>
        <w:t>ansele acestora de a se angaja î</w:t>
      </w:r>
      <w:r w:rsidRPr="008F648D">
        <w:rPr>
          <w:lang w:val="ro-RO"/>
        </w:rPr>
        <w:t>n munca în zona eligibilă.</w:t>
      </w:r>
    </w:p>
    <w:p w:rsidR="006A4B51" w:rsidRPr="008F648D" w:rsidRDefault="008F648D" w:rsidP="006A4B51">
      <w:pPr>
        <w:rPr>
          <w:b/>
          <w:u w:val="single"/>
          <w:lang w:val="ro-RO"/>
        </w:rPr>
      </w:pPr>
      <w:r>
        <w:rPr>
          <w:b/>
          <w:u w:val="single"/>
          <w:lang w:val="ro-RO"/>
        </w:rPr>
        <w:t>Mă</w:t>
      </w:r>
      <w:r w:rsidR="006A4B51" w:rsidRPr="008F648D">
        <w:rPr>
          <w:b/>
          <w:u w:val="single"/>
          <w:lang w:val="ro-RO"/>
        </w:rPr>
        <w:t>suri structurale:</w:t>
      </w:r>
    </w:p>
    <w:p w:rsidR="006A4B51" w:rsidRPr="008F648D" w:rsidRDefault="006A4B51" w:rsidP="00EC1DA9">
      <w:pPr>
        <w:numPr>
          <w:ilvl w:val="0"/>
          <w:numId w:val="16"/>
        </w:numPr>
        <w:rPr>
          <w:lang w:val="ro-RO"/>
        </w:rPr>
      </w:pPr>
      <w:r w:rsidRPr="008F648D">
        <w:rPr>
          <w:lang w:val="ro-RO"/>
        </w:rPr>
        <w:t>crearea/dezvoltarea infrastructurii pentru   cresterea mobilității forței de muncă</w:t>
      </w:r>
    </w:p>
    <w:p w:rsidR="006A4B51" w:rsidRPr="008F648D" w:rsidRDefault="008F648D" w:rsidP="006A4B51">
      <w:pPr>
        <w:rPr>
          <w:b/>
          <w:u w:val="single"/>
          <w:lang w:val="ro-RO"/>
        </w:rPr>
      </w:pPr>
      <w:r>
        <w:rPr>
          <w:b/>
          <w:u w:val="single"/>
          <w:lang w:val="ro-RO"/>
        </w:rPr>
        <w:t>Mă</w:t>
      </w:r>
      <w:r w:rsidR="006A4B51" w:rsidRPr="008F648D">
        <w:rPr>
          <w:b/>
          <w:u w:val="single"/>
          <w:lang w:val="ro-RO"/>
        </w:rPr>
        <w:t>suri integrate:</w:t>
      </w:r>
    </w:p>
    <w:p w:rsidR="006A4B51" w:rsidRPr="008F648D" w:rsidRDefault="006A4B51" w:rsidP="00EC1DA9">
      <w:pPr>
        <w:numPr>
          <w:ilvl w:val="0"/>
          <w:numId w:val="17"/>
        </w:numPr>
        <w:rPr>
          <w:lang w:val="ro-RO"/>
        </w:rPr>
      </w:pPr>
      <w:r w:rsidRPr="008F648D">
        <w:rPr>
          <w:lang w:val="ro-RO"/>
        </w:rPr>
        <w:t xml:space="preserve">strategii și măsuri pentru o mai buna incluziune pe piața muncii a categoriilor de populație defavorizate </w:t>
      </w:r>
    </w:p>
    <w:p w:rsidR="006A4B51" w:rsidRPr="008F648D" w:rsidRDefault="006A4B51" w:rsidP="00EC1DA9">
      <w:pPr>
        <w:numPr>
          <w:ilvl w:val="0"/>
          <w:numId w:val="17"/>
        </w:numPr>
        <w:rPr>
          <w:lang w:val="ro-RO"/>
        </w:rPr>
      </w:pPr>
      <w:r w:rsidRPr="008F648D">
        <w:rPr>
          <w:lang w:val="ro-RO"/>
        </w:rPr>
        <w:t>furnizarea  de informații și consultanță pentru navetiștii transfrontalieri și potențiali angajatorii prin crearea și dezvoltarea de baze de date comune  pentru mobilitatea forței de muncă</w:t>
      </w:r>
    </w:p>
    <w:p w:rsidR="006A4B51" w:rsidRPr="008F648D" w:rsidRDefault="006A4B51" w:rsidP="00EC1DA9">
      <w:pPr>
        <w:numPr>
          <w:ilvl w:val="0"/>
          <w:numId w:val="17"/>
        </w:numPr>
        <w:rPr>
          <w:lang w:val="ro-RO"/>
        </w:rPr>
      </w:pPr>
      <w:r w:rsidRPr="008F648D">
        <w:rPr>
          <w:lang w:val="ro-RO"/>
        </w:rPr>
        <w:t>s</w:t>
      </w:r>
      <w:r w:rsidR="00484E2A">
        <w:rPr>
          <w:lang w:val="ro-RO"/>
        </w:rPr>
        <w:t>prijinirea  adaptată nevoilor de pe ambele parţi ale frontierei</w:t>
      </w:r>
      <w:r w:rsidRPr="008F648D">
        <w:rPr>
          <w:lang w:val="ro-RO"/>
        </w:rPr>
        <w:t xml:space="preserve"> </w:t>
      </w:r>
      <w:r w:rsidR="00484E2A">
        <w:rPr>
          <w:lang w:val="ro-RO"/>
        </w:rPr>
        <w:t>celor care cauta locuri de muncă , cu extinderea furnizării de servicii celor care îşi schimbă locul de muncă sau în direcţia celor inactivi care se întorc în câ</w:t>
      </w:r>
      <w:r w:rsidRPr="008F648D">
        <w:rPr>
          <w:lang w:val="ro-RO"/>
        </w:rPr>
        <w:t xml:space="preserve">mpul muncii  </w:t>
      </w:r>
    </w:p>
    <w:p w:rsidR="006A4B51" w:rsidRPr="008F648D" w:rsidRDefault="006A4B51" w:rsidP="00EC1DA9">
      <w:pPr>
        <w:numPr>
          <w:ilvl w:val="0"/>
          <w:numId w:val="17"/>
        </w:numPr>
        <w:rPr>
          <w:lang w:val="ro-RO"/>
        </w:rPr>
      </w:pPr>
      <w:r w:rsidRPr="008F648D">
        <w:rPr>
          <w:lang w:val="ro-RO"/>
        </w:rPr>
        <w:t>crearea și dezvoltarea incubatoarelor de afaceri transfrontaliere și a incubatoarelor v</w:t>
      </w:r>
      <w:r w:rsidR="00484E2A">
        <w:rPr>
          <w:lang w:val="ro-RO"/>
        </w:rPr>
        <w:t>irtuale pentru promovarea angajă</w:t>
      </w:r>
      <w:r w:rsidRPr="008F648D">
        <w:rPr>
          <w:lang w:val="ro-RO"/>
        </w:rPr>
        <w:t>rii  personalului de ambele părți ale frontierei (companii bazate pe resurse locale și nevoi locale de servicii  precum produsele inovatoare de turism cultural , turism nautic și acvatic și ecoturism localizate în regiune)</w:t>
      </w:r>
    </w:p>
    <w:p w:rsidR="008F648D" w:rsidRPr="00F2516F" w:rsidRDefault="008F648D" w:rsidP="008F648D">
      <w:pPr>
        <w:rPr>
          <w:b/>
          <w:szCs w:val="24"/>
          <w:lang w:val="ro-RO"/>
        </w:rPr>
      </w:pPr>
      <w:r w:rsidRPr="00F2516F">
        <w:rPr>
          <w:b/>
          <w:szCs w:val="24"/>
          <w:lang w:val="ro-RO"/>
        </w:rPr>
        <w:t>Tipuri de re</w:t>
      </w:r>
      <w:r>
        <w:rPr>
          <w:b/>
          <w:szCs w:val="24"/>
          <w:lang w:val="ro-RO"/>
        </w:rPr>
        <w:t>alizări</w:t>
      </w:r>
    </w:p>
    <w:p w:rsidR="008F648D" w:rsidRPr="00F2516F" w:rsidRDefault="008F648D" w:rsidP="008F648D">
      <w:pPr>
        <w:rPr>
          <w:szCs w:val="24"/>
          <w:lang w:val="ro-RO"/>
        </w:rPr>
      </w:pPr>
      <w:r w:rsidRPr="00F2516F">
        <w:rPr>
          <w:szCs w:val="24"/>
          <w:lang w:val="ro-RO"/>
        </w:rPr>
        <w:t>În cadrul acțiunilor sprijinite, tipuri diferite de re</w:t>
      </w:r>
      <w:r>
        <w:rPr>
          <w:szCs w:val="24"/>
          <w:lang w:val="ro-RO"/>
        </w:rPr>
        <w:t>alizări</w:t>
      </w:r>
      <w:r w:rsidRPr="00F2516F">
        <w:rPr>
          <w:szCs w:val="24"/>
          <w:lang w:val="ro-RO"/>
        </w:rPr>
        <w:t xml:space="preserve"> pot fi obținute. Un interes special </w:t>
      </w:r>
      <w:r>
        <w:rPr>
          <w:szCs w:val="24"/>
          <w:lang w:val="ro-RO"/>
        </w:rPr>
        <w:t>va privi furnizarea de servicii și</w:t>
      </w:r>
      <w:r w:rsidRPr="00F2516F">
        <w:rPr>
          <w:szCs w:val="24"/>
          <w:lang w:val="ro-RO"/>
        </w:rPr>
        <w:t xml:space="preserve"> dezvoltarea strategiilor și infrastructurii pentru creșterea mobilității forței de muncă în zona transfrontalieră. Tipurile de re</w:t>
      </w:r>
      <w:r>
        <w:rPr>
          <w:szCs w:val="24"/>
          <w:lang w:val="ro-RO"/>
        </w:rPr>
        <w:t>alizări (fără a fi limitate</w:t>
      </w:r>
      <w:r w:rsidRPr="00F2516F">
        <w:rPr>
          <w:szCs w:val="24"/>
          <w:lang w:val="ro-RO"/>
        </w:rPr>
        <w:t xml:space="preserve"> la această listă) pot fi:</w:t>
      </w:r>
    </w:p>
    <w:p w:rsidR="008F648D" w:rsidRPr="00F2516F" w:rsidRDefault="008F648D" w:rsidP="00EC1DA9">
      <w:pPr>
        <w:pStyle w:val="ListParagraph"/>
        <w:numPr>
          <w:ilvl w:val="0"/>
          <w:numId w:val="24"/>
        </w:numPr>
        <w:rPr>
          <w:szCs w:val="24"/>
          <w:lang w:val="ro-RO"/>
        </w:rPr>
      </w:pPr>
      <w:r w:rsidRPr="00F2516F">
        <w:rPr>
          <w:szCs w:val="24"/>
          <w:lang w:val="ro-RO"/>
        </w:rPr>
        <w:t>Servicii care încurajează ocuparea forței de muncă și învătământul pe tot parcursul vieții,</w:t>
      </w:r>
    </w:p>
    <w:p w:rsidR="008F648D" w:rsidRPr="00F2516F" w:rsidRDefault="008F648D" w:rsidP="00EC1DA9">
      <w:pPr>
        <w:pStyle w:val="ListParagraph"/>
        <w:numPr>
          <w:ilvl w:val="0"/>
          <w:numId w:val="24"/>
        </w:numPr>
        <w:rPr>
          <w:szCs w:val="24"/>
          <w:lang w:val="ro-RO"/>
        </w:rPr>
      </w:pPr>
      <w:r w:rsidRPr="00F2516F">
        <w:rPr>
          <w:szCs w:val="24"/>
          <w:lang w:val="ro-RO"/>
        </w:rPr>
        <w:t>Elemente cheie de infrastructură care încurajează mobilitatea forței de muncă,</w:t>
      </w:r>
    </w:p>
    <w:p w:rsidR="008F648D" w:rsidRPr="00F2516F" w:rsidRDefault="008F648D" w:rsidP="00EC1DA9">
      <w:pPr>
        <w:pStyle w:val="ListParagraph"/>
        <w:numPr>
          <w:ilvl w:val="0"/>
          <w:numId w:val="24"/>
        </w:numPr>
        <w:rPr>
          <w:szCs w:val="24"/>
          <w:lang w:val="ro-RO"/>
        </w:rPr>
      </w:pPr>
      <w:r w:rsidRPr="00F2516F">
        <w:rPr>
          <w:szCs w:val="24"/>
          <w:lang w:val="ro-RO"/>
        </w:rPr>
        <w:t>Strategii comune pentru o mai bună incluziune pe piața muncii,</w:t>
      </w:r>
    </w:p>
    <w:p w:rsidR="008F648D" w:rsidRPr="00F2516F" w:rsidRDefault="008F648D" w:rsidP="00EC1DA9">
      <w:pPr>
        <w:pStyle w:val="ListParagraph"/>
        <w:numPr>
          <w:ilvl w:val="0"/>
          <w:numId w:val="24"/>
        </w:numPr>
        <w:rPr>
          <w:szCs w:val="24"/>
          <w:lang w:val="ro-RO"/>
        </w:rPr>
      </w:pPr>
      <w:r w:rsidRPr="00F2516F">
        <w:rPr>
          <w:szCs w:val="24"/>
          <w:lang w:val="ro-RO"/>
        </w:rPr>
        <w:t>Informații (baze de date) și consiliere pentru a crește mobilitatea forței de muncă,</w:t>
      </w:r>
    </w:p>
    <w:p w:rsidR="008F648D" w:rsidRPr="00F2516F" w:rsidRDefault="008F648D" w:rsidP="00EC1DA9">
      <w:pPr>
        <w:pStyle w:val="ListParagraph"/>
        <w:numPr>
          <w:ilvl w:val="0"/>
          <w:numId w:val="24"/>
        </w:numPr>
        <w:rPr>
          <w:szCs w:val="24"/>
          <w:lang w:val="ro-RO"/>
        </w:rPr>
      </w:pPr>
      <w:r w:rsidRPr="00F2516F">
        <w:rPr>
          <w:szCs w:val="24"/>
          <w:lang w:val="ro-RO"/>
        </w:rPr>
        <w:t>Campanii de creștere a conștientizării, cursuri de limbi străine și sesiuni de formare pentru a încuraja oportunitățile de pe piața de muncă,</w:t>
      </w:r>
    </w:p>
    <w:p w:rsidR="008F648D" w:rsidRPr="00F2516F" w:rsidRDefault="008F648D" w:rsidP="00EC1DA9">
      <w:pPr>
        <w:pStyle w:val="ListParagraph"/>
        <w:numPr>
          <w:ilvl w:val="0"/>
          <w:numId w:val="24"/>
        </w:numPr>
        <w:rPr>
          <w:lang w:val="ro-RO" w:eastAsia="hu-HU"/>
        </w:rPr>
      </w:pPr>
      <w:r w:rsidRPr="00F2516F">
        <w:rPr>
          <w:szCs w:val="24"/>
          <w:lang w:val="ro-RO"/>
        </w:rPr>
        <w:t xml:space="preserve">Incubatoare de afaceri transfrontaliere și incubatoare virtuale pentru promovarea ocupării forței de muncă. </w:t>
      </w:r>
    </w:p>
    <w:p w:rsidR="008F648D" w:rsidRPr="00F2516F" w:rsidRDefault="008F648D" w:rsidP="008F648D">
      <w:pPr>
        <w:rPr>
          <w:b/>
          <w:szCs w:val="24"/>
          <w:lang w:val="ro-RO" w:eastAsia="fr-BE"/>
        </w:rPr>
      </w:pPr>
      <w:r w:rsidRPr="00F2516F">
        <w:rPr>
          <w:b/>
          <w:szCs w:val="24"/>
          <w:lang w:val="ro-RO" w:eastAsia="fr-BE"/>
        </w:rPr>
        <w:t>Principalele grupuri țint</w:t>
      </w:r>
      <w:r w:rsidR="00F07BD1">
        <w:rPr>
          <w:b/>
          <w:szCs w:val="24"/>
          <w:lang w:val="ro-RO" w:eastAsia="fr-BE"/>
        </w:rPr>
        <w:t xml:space="preserve">ă și tipurile de beneficiari </w:t>
      </w:r>
    </w:p>
    <w:p w:rsidR="008F648D" w:rsidRPr="00F2516F" w:rsidRDefault="008F648D" w:rsidP="008F648D">
      <w:pPr>
        <w:rPr>
          <w:szCs w:val="24"/>
          <w:lang w:val="ro-RO"/>
        </w:rPr>
      </w:pPr>
      <w:r>
        <w:rPr>
          <w:szCs w:val="24"/>
          <w:lang w:val="ro-RO"/>
        </w:rPr>
        <w:t xml:space="preserve">Principalele </w:t>
      </w:r>
      <w:r w:rsidRPr="00250152">
        <w:rPr>
          <w:b/>
          <w:szCs w:val="24"/>
          <w:lang w:val="ro-RO"/>
        </w:rPr>
        <w:t>grupuri țintă</w:t>
      </w:r>
      <w:r w:rsidRPr="00F2516F">
        <w:rPr>
          <w:szCs w:val="24"/>
          <w:lang w:val="ro-RO"/>
        </w:rPr>
        <w:t xml:space="preserve"> al</w:t>
      </w:r>
      <w:r>
        <w:rPr>
          <w:szCs w:val="24"/>
          <w:lang w:val="ro-RO"/>
        </w:rPr>
        <w:t>e acestei axe vor</w:t>
      </w:r>
      <w:r w:rsidRPr="00F2516F">
        <w:rPr>
          <w:szCs w:val="24"/>
          <w:lang w:val="ro-RO"/>
        </w:rPr>
        <w:t xml:space="preserve"> fi cel</w:t>
      </w:r>
      <w:r>
        <w:rPr>
          <w:szCs w:val="24"/>
          <w:lang w:val="ro-RO"/>
        </w:rPr>
        <w:t>e</w:t>
      </w:r>
      <w:r w:rsidRPr="00F2516F">
        <w:rPr>
          <w:szCs w:val="24"/>
          <w:lang w:val="ro-RO"/>
        </w:rPr>
        <w:t xml:space="preserve"> al</w:t>
      </w:r>
      <w:r>
        <w:rPr>
          <w:szCs w:val="24"/>
          <w:lang w:val="ro-RO"/>
        </w:rPr>
        <w:t>e</w:t>
      </w:r>
      <w:r w:rsidRPr="00F2516F">
        <w:rPr>
          <w:szCs w:val="24"/>
          <w:lang w:val="ro-RO"/>
        </w:rPr>
        <w:t xml:space="preserve"> persoanelor </w:t>
      </w:r>
      <w:r>
        <w:rPr>
          <w:szCs w:val="24"/>
          <w:lang w:val="ro-RO"/>
        </w:rPr>
        <w:t>inactive apte de muncă</w:t>
      </w:r>
      <w:r w:rsidRPr="00F2516F">
        <w:rPr>
          <w:szCs w:val="24"/>
          <w:lang w:val="ro-RO"/>
        </w:rPr>
        <w:t xml:space="preserve"> și</w:t>
      </w:r>
      <w:r>
        <w:rPr>
          <w:szCs w:val="24"/>
          <w:lang w:val="ro-RO"/>
        </w:rPr>
        <w:t xml:space="preserve"> ale întreprinzătorilor</w:t>
      </w:r>
      <w:r w:rsidRPr="00F2516F">
        <w:rPr>
          <w:szCs w:val="24"/>
          <w:lang w:val="ro-RO"/>
        </w:rPr>
        <w:t xml:space="preserve"> potențiali sau activi din zona transfrontalieră. Totuși, persoanele care au ieșit din câmpul</w:t>
      </w:r>
      <w:r w:rsidR="00484E2A">
        <w:rPr>
          <w:szCs w:val="24"/>
          <w:lang w:val="ro-RO"/>
        </w:rPr>
        <w:t xml:space="preserve"> muncii și tinerii vor fi vizaţi</w:t>
      </w:r>
      <w:r w:rsidRPr="00F2516F">
        <w:rPr>
          <w:szCs w:val="24"/>
          <w:lang w:val="ro-RO"/>
        </w:rPr>
        <w:t xml:space="preserve"> datorită importanței lor pentru asigurarea coeziunii comunităților locale (</w:t>
      </w:r>
      <w:r>
        <w:rPr>
          <w:szCs w:val="24"/>
          <w:lang w:val="ro-RO"/>
        </w:rPr>
        <w:t>cu privire la îmbătrânirea activă, scăderea gradului</w:t>
      </w:r>
      <w:r w:rsidRPr="00F2516F">
        <w:rPr>
          <w:szCs w:val="24"/>
          <w:lang w:val="ro-RO"/>
        </w:rPr>
        <w:t xml:space="preserve"> de depedență </w:t>
      </w:r>
      <w:r>
        <w:rPr>
          <w:szCs w:val="24"/>
          <w:lang w:val="ro-RO"/>
        </w:rPr>
        <w:t>și creșterea veniturilor) și unei</w:t>
      </w:r>
      <w:r w:rsidRPr="00F2516F">
        <w:rPr>
          <w:szCs w:val="24"/>
          <w:lang w:val="ro-RO"/>
        </w:rPr>
        <w:t xml:space="preserve"> viitoare forță de muncă calificată și bine adaptată.</w:t>
      </w:r>
    </w:p>
    <w:p w:rsidR="008F648D" w:rsidRPr="00F2516F" w:rsidRDefault="008F648D" w:rsidP="008F648D">
      <w:pPr>
        <w:rPr>
          <w:szCs w:val="24"/>
          <w:lang w:val="ro-RO"/>
        </w:rPr>
      </w:pPr>
      <w:r w:rsidRPr="00F2516F">
        <w:rPr>
          <w:szCs w:val="24"/>
          <w:lang w:val="ro-RO"/>
        </w:rPr>
        <w:t>Un accent important va fi pus și pe femei și perso</w:t>
      </w:r>
      <w:r>
        <w:rPr>
          <w:szCs w:val="24"/>
          <w:lang w:val="ro-RO"/>
        </w:rPr>
        <w:t>a</w:t>
      </w:r>
      <w:r w:rsidRPr="00F2516F">
        <w:rPr>
          <w:szCs w:val="24"/>
          <w:lang w:val="ro-RO"/>
        </w:rPr>
        <w:t>nele ce aparțin grupurilor dezavantajate (minorități entice,</w:t>
      </w:r>
      <w:r>
        <w:rPr>
          <w:szCs w:val="24"/>
          <w:lang w:val="ro-RO"/>
        </w:rPr>
        <w:t xml:space="preserve"> persoane cu dizabilități, etc.</w:t>
      </w:r>
      <w:r w:rsidRPr="00F2516F">
        <w:rPr>
          <w:szCs w:val="24"/>
          <w:lang w:val="ro-RO"/>
        </w:rPr>
        <w:t>) pentru a crește gradul de angajabilitate și pentru a le permite să beneficieze de oportunitățile de muncă transfrontaliere.</w:t>
      </w:r>
    </w:p>
    <w:p w:rsidR="008F648D" w:rsidRPr="00F2516F" w:rsidRDefault="008F648D" w:rsidP="008F648D">
      <w:pPr>
        <w:rPr>
          <w:szCs w:val="24"/>
          <w:lang w:val="ro-RO"/>
        </w:rPr>
      </w:pPr>
      <w:r w:rsidRPr="00F2516F">
        <w:rPr>
          <w:b/>
          <w:szCs w:val="24"/>
          <w:lang w:val="ro-RO"/>
        </w:rPr>
        <w:lastRenderedPageBreak/>
        <w:t xml:space="preserve">Beneficiarii </w:t>
      </w:r>
      <w:r w:rsidRPr="00F2516F">
        <w:rPr>
          <w:szCs w:val="24"/>
          <w:lang w:val="ro-RO"/>
        </w:rPr>
        <w:t xml:space="preserve">acțiunilor indicate anterior vor fi, cel mai probabil, autoritățile publice (furnizorii de politici publice, </w:t>
      </w:r>
      <w:r>
        <w:rPr>
          <w:szCs w:val="24"/>
          <w:lang w:val="ro-RO"/>
        </w:rPr>
        <w:t>avantaje</w:t>
      </w:r>
      <w:r w:rsidRPr="00F2516F">
        <w:rPr>
          <w:szCs w:val="24"/>
          <w:lang w:val="ro-RO"/>
        </w:rPr>
        <w:t xml:space="preserve"> economice și sociale, servicii publice), organizațiile din sectorul educațional, furnizorii de servicii de formare (pentru </w:t>
      </w:r>
      <w:r>
        <w:rPr>
          <w:szCs w:val="24"/>
          <w:lang w:val="ro-RO"/>
        </w:rPr>
        <w:t>furnizarea</w:t>
      </w:r>
      <w:r w:rsidRPr="00F2516F">
        <w:rPr>
          <w:szCs w:val="24"/>
          <w:lang w:val="ro-RO"/>
        </w:rPr>
        <w:t xml:space="preserve"> de competențe și abilități relevante transfrontalier) și ONG-uri, în special asociațiile de oameni de afaceri din ambele părți ale frontierei (pentru sprijinul IMM-urilor și lu</w:t>
      </w:r>
      <w:r>
        <w:rPr>
          <w:szCs w:val="24"/>
          <w:lang w:val="ro-RO"/>
        </w:rPr>
        <w:t>crătorilor pe cont propriu) și C</w:t>
      </w:r>
      <w:r w:rsidRPr="00F2516F">
        <w:rPr>
          <w:szCs w:val="24"/>
          <w:lang w:val="ro-RO"/>
        </w:rPr>
        <w:t xml:space="preserve">amerele de </w:t>
      </w:r>
      <w:r>
        <w:rPr>
          <w:szCs w:val="24"/>
          <w:lang w:val="ro-RO"/>
        </w:rPr>
        <w:t>C</w:t>
      </w:r>
      <w:r w:rsidRPr="00F2516F">
        <w:rPr>
          <w:szCs w:val="24"/>
          <w:lang w:val="ro-RO"/>
        </w:rPr>
        <w:t>omerț.</w:t>
      </w:r>
    </w:p>
    <w:p w:rsidR="008F648D" w:rsidRPr="00F2516F" w:rsidRDefault="008F648D" w:rsidP="008F648D">
      <w:pPr>
        <w:rPr>
          <w:b/>
          <w:lang w:val="ro-RO"/>
        </w:rPr>
      </w:pPr>
      <w:r w:rsidRPr="00F2516F">
        <w:rPr>
          <w:b/>
          <w:lang w:val="ro-RO"/>
        </w:rPr>
        <w:t>Regiunile specifice vizate</w:t>
      </w:r>
    </w:p>
    <w:p w:rsidR="008F648D" w:rsidRPr="00F2516F" w:rsidRDefault="008F648D" w:rsidP="008F648D">
      <w:pPr>
        <w:rPr>
          <w:lang w:val="ro-RO"/>
        </w:rPr>
      </w:pPr>
      <w:r>
        <w:rPr>
          <w:lang w:val="ro-RO"/>
        </w:rPr>
        <w:t>Zona</w:t>
      </w:r>
      <w:r w:rsidRPr="00F2516F">
        <w:rPr>
          <w:lang w:val="ro-RO"/>
        </w:rPr>
        <w:t xml:space="preserve"> transfrontalieră România-Bugaria include unele din cele mai sărăce zone din cadrul </w:t>
      </w:r>
      <w:r>
        <w:rPr>
          <w:lang w:val="ro-RO"/>
        </w:rPr>
        <w:t xml:space="preserve">teritoriului </w:t>
      </w:r>
      <w:r w:rsidRPr="00F2516F">
        <w:rPr>
          <w:lang w:val="ro-RO"/>
        </w:rPr>
        <w:t>UE. Doar un număr limitat de centre urbane din cadrul regiunii au o situație socio-economică bună comparativ cu standardele naționale.</w:t>
      </w:r>
    </w:p>
    <w:p w:rsidR="008F648D" w:rsidRPr="00F2516F" w:rsidRDefault="008F648D" w:rsidP="008F648D">
      <w:pPr>
        <w:rPr>
          <w:lang w:val="ro-RO"/>
        </w:rPr>
      </w:pPr>
      <w:r w:rsidRPr="00F2516F">
        <w:rPr>
          <w:lang w:val="ro-RO"/>
        </w:rPr>
        <w:t>Piața muncii este afectată de gradul înalt de inactivitate și de oferta slabă și foarte puțin diversificată de angajare, în special în zonele rurale și chiar și în unele zone urbane mici. Acesta este motivul pentru care această axă încearcă să abordeze problemele de angajabilitate și nivelul slab de antreprenoriat din regiune prin sprijinul acordat măsurilor privind lucrătorii pe cont propriu, co</w:t>
      </w:r>
      <w:r w:rsidR="00484E2A">
        <w:rPr>
          <w:lang w:val="ro-RO"/>
        </w:rPr>
        <w:t>mpaniile nou formate și micile î</w:t>
      </w:r>
      <w:r w:rsidRPr="00F2516F">
        <w:rPr>
          <w:lang w:val="ro-RO"/>
        </w:rPr>
        <w:t>ntreprinderi care fructifică resursele nefolosite care provin din zonele rurale:</w:t>
      </w:r>
      <w:r>
        <w:rPr>
          <w:lang w:val="ro-RO"/>
        </w:rPr>
        <w:t xml:space="preserve"> prin</w:t>
      </w:r>
      <w:r w:rsidRPr="00F2516F">
        <w:rPr>
          <w:lang w:val="ro-RO"/>
        </w:rPr>
        <w:t xml:space="preserve"> îmbunătățirea calității agriculturii, </w:t>
      </w:r>
      <w:r>
        <w:rPr>
          <w:lang w:val="ro-RO"/>
        </w:rPr>
        <w:t xml:space="preserve">prin </w:t>
      </w:r>
      <w:r w:rsidRPr="00F2516F">
        <w:rPr>
          <w:lang w:val="ro-RO"/>
        </w:rPr>
        <w:t xml:space="preserve">produse agriculturale brute și producția și procesarea produselor alimentare specifice, </w:t>
      </w:r>
      <w:r>
        <w:rPr>
          <w:lang w:val="ro-RO"/>
        </w:rPr>
        <w:t xml:space="preserve">prin </w:t>
      </w:r>
      <w:r w:rsidRPr="00F2516F">
        <w:rPr>
          <w:lang w:val="ro-RO"/>
        </w:rPr>
        <w:t xml:space="preserve">nealterarea mediului natural și rural pentru turismul natural și cultural, etc. </w:t>
      </w:r>
    </w:p>
    <w:p w:rsidR="008F648D" w:rsidRPr="00F2516F" w:rsidRDefault="008F648D" w:rsidP="008F648D">
      <w:pPr>
        <w:rPr>
          <w:lang w:val="ro-RO"/>
        </w:rPr>
      </w:pPr>
      <w:r>
        <w:rPr>
          <w:lang w:val="ro-RO"/>
        </w:rPr>
        <w:t>Totuși, întreaga zonă</w:t>
      </w:r>
      <w:r w:rsidRPr="00F2516F">
        <w:rPr>
          <w:lang w:val="ro-RO"/>
        </w:rPr>
        <w:t xml:space="preserve"> transfrontalieră România-Bulgaria este vizată într-un mod diferit din moment ce zonele urbane mici și cele rurale au o nevoie stringentă de măsuri inclusive și de formare. </w:t>
      </w:r>
    </w:p>
    <w:p w:rsidR="008F648D" w:rsidRDefault="008F648D" w:rsidP="008F648D">
      <w:pPr>
        <w:pStyle w:val="Heading2"/>
        <w:rPr>
          <w:lang w:val="ro-RO" w:eastAsia="fr-BE"/>
        </w:rPr>
      </w:pPr>
      <w:bookmarkStart w:id="114" w:name="_Toc394837835"/>
      <w:r w:rsidRPr="00F2516F">
        <w:rPr>
          <w:lang w:val="ro-RO" w:eastAsia="fr-BE"/>
        </w:rPr>
        <w:t>2.A.6.2. Principiile directoare pentru selectarea operațiunilor</w:t>
      </w:r>
      <w:bookmarkEnd w:id="114"/>
    </w:p>
    <w:p w:rsidR="008F648D" w:rsidRPr="006F7519" w:rsidRDefault="008F648D" w:rsidP="008F64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eastAsiaTheme="minorEastAsia"/>
          <w:b/>
          <w:color w:val="000000"/>
          <w:szCs w:val="24"/>
          <w:lang w:val="it-IT" w:eastAsia="ja-JP"/>
        </w:rPr>
      </w:pPr>
      <w:r w:rsidRPr="006F7519">
        <w:rPr>
          <w:rFonts w:eastAsia="Times New Roman"/>
          <w:b/>
          <w:i/>
          <w:szCs w:val="24"/>
          <w:lang w:val="it-IT"/>
        </w:rPr>
        <w:t>Prioritate de investiții</w:t>
      </w:r>
      <w:r w:rsidRPr="006F7519">
        <w:rPr>
          <w:b/>
          <w:szCs w:val="24"/>
          <w:lang w:val="it-IT"/>
        </w:rPr>
        <w:t>8.i</w:t>
      </w:r>
    </w:p>
    <w:p w:rsidR="008F648D" w:rsidRPr="00F2516F" w:rsidRDefault="008F648D" w:rsidP="008F648D">
      <w:pPr>
        <w:rPr>
          <w:szCs w:val="24"/>
          <w:lang w:val="ro-RO"/>
        </w:rPr>
      </w:pPr>
      <w:r w:rsidRPr="00F2516F">
        <w:rPr>
          <w:szCs w:val="24"/>
          <w:lang w:val="ro-RO"/>
        </w:rPr>
        <w:t>Selectarea operațiunilor va fi realizată într-o manieră similară pentru toate axele prioritare. O atenție specială va fi acordată asigurării că investițiile sprijinite sub acest obiectiv specific nu se vor suprapune cu orice alte activități/</w:t>
      </w:r>
      <w:r>
        <w:rPr>
          <w:szCs w:val="24"/>
          <w:lang w:val="ro-RO"/>
        </w:rPr>
        <w:t>realizări</w:t>
      </w:r>
      <w:r w:rsidRPr="00F2516F">
        <w:rPr>
          <w:szCs w:val="24"/>
          <w:lang w:val="ro-RO"/>
        </w:rPr>
        <w:t xml:space="preserve"> finanțate prin alte instrumente de intervenție. </w:t>
      </w:r>
    </w:p>
    <w:p w:rsidR="008F648D" w:rsidRPr="00F2516F" w:rsidRDefault="008F648D" w:rsidP="008F648D">
      <w:pPr>
        <w:rPr>
          <w:szCs w:val="24"/>
          <w:lang w:val="ro-RO"/>
        </w:rPr>
      </w:pPr>
      <w:r w:rsidRPr="00F2516F">
        <w:rPr>
          <w:szCs w:val="24"/>
          <w:lang w:val="ro-RO"/>
        </w:rPr>
        <w:t xml:space="preserve">Evaluarea va avea două faze. O fază va privi criteriile administrative și de eligibilitate, realizată într-un mod strict de către Secretariatul Comun (SC). A doua fază va privi evaluarea tehnică, realizată, dacă este necesar, cu ajutorul experților externi contractați. </w:t>
      </w:r>
    </w:p>
    <w:p w:rsidR="008F648D" w:rsidRPr="00F2516F" w:rsidRDefault="008F648D" w:rsidP="008F648D">
      <w:pPr>
        <w:rPr>
          <w:szCs w:val="24"/>
          <w:lang w:val="ro-RO"/>
        </w:rPr>
      </w:pPr>
      <w:r w:rsidRPr="00F2516F">
        <w:rPr>
          <w:szCs w:val="24"/>
          <w:lang w:val="ro-RO"/>
        </w:rPr>
        <w:t xml:space="preserve">Criteriile de eligibilitate vor verifica atât eligibilitatea operațiunilor, cât și a beneficiarilor și a cheltuielilor. </w:t>
      </w:r>
    </w:p>
    <w:p w:rsidR="008F648D" w:rsidRPr="00F2516F" w:rsidRDefault="008F648D" w:rsidP="008F648D">
      <w:pPr>
        <w:rPr>
          <w:rFonts w:eastAsia="Times New Roman"/>
          <w:szCs w:val="24"/>
          <w:lang w:val="ro-RO" w:eastAsia="fr-BE"/>
        </w:rPr>
      </w:pPr>
      <w:r w:rsidRPr="00F2516F">
        <w:rPr>
          <w:rFonts w:eastAsia="Times New Roman"/>
          <w:szCs w:val="24"/>
          <w:lang w:val="ro-RO" w:eastAsia="fr-BE"/>
        </w:rPr>
        <w:t xml:space="preserve">Operațiunile sunt eligibile dacă sunt cuprinse în obiectivele specifice ale Programului și dacă ele contribuie la măcar unul din rezultatele programului. </w:t>
      </w:r>
    </w:p>
    <w:p w:rsidR="008F648D" w:rsidRPr="00F2516F" w:rsidRDefault="008F648D" w:rsidP="008F648D">
      <w:pPr>
        <w:rPr>
          <w:rFonts w:eastAsia="Times New Roman"/>
          <w:szCs w:val="24"/>
          <w:lang w:val="ro-RO" w:eastAsia="fr-BE"/>
        </w:rPr>
      </w:pPr>
      <w:r w:rsidRPr="00F2516F">
        <w:rPr>
          <w:rFonts w:eastAsia="Times New Roman"/>
          <w:szCs w:val="24"/>
          <w:lang w:val="ro-RO" w:eastAsia="fr-BE"/>
        </w:rPr>
        <w:t xml:space="preserve">În cazul în care o operațiune nu contribuie la obiectivul specific și la unul din rezultatele programului, ea va fi respinsă în prima fază (evaluarea administrativă și de eligibilitate). Gradul în care o operațiune contribuie la obiectivele specifice și </w:t>
      </w:r>
      <w:r>
        <w:rPr>
          <w:rFonts w:eastAsia="Times New Roman"/>
          <w:szCs w:val="24"/>
          <w:lang w:val="ro-RO" w:eastAsia="fr-BE"/>
        </w:rPr>
        <w:t xml:space="preserve">la </w:t>
      </w:r>
      <w:r w:rsidRPr="00F2516F">
        <w:rPr>
          <w:rFonts w:eastAsia="Times New Roman"/>
          <w:szCs w:val="24"/>
          <w:lang w:val="ro-RO" w:eastAsia="fr-BE"/>
        </w:rPr>
        <w:t xml:space="preserve">rezultate va fi punctată în cadrul evaluării tehnice. </w:t>
      </w:r>
    </w:p>
    <w:p w:rsidR="008F648D" w:rsidRPr="00F2516F" w:rsidRDefault="008F648D" w:rsidP="008F648D">
      <w:pPr>
        <w:rPr>
          <w:rFonts w:eastAsia="Times New Roman"/>
          <w:szCs w:val="24"/>
          <w:lang w:val="ro-RO" w:eastAsia="fr-BE"/>
        </w:rPr>
      </w:pPr>
      <w:r w:rsidRPr="00F2516F">
        <w:rPr>
          <w:rFonts w:eastAsia="Times New Roman"/>
          <w:szCs w:val="24"/>
          <w:lang w:val="ro-RO" w:eastAsia="fr-BE"/>
        </w:rPr>
        <w:t>Beneficiarii eligibil</w:t>
      </w:r>
      <w:r>
        <w:rPr>
          <w:rFonts w:eastAsia="Times New Roman"/>
          <w:szCs w:val="24"/>
          <w:lang w:val="ro-RO" w:eastAsia="fr-BE"/>
        </w:rPr>
        <w:t>i</w:t>
      </w:r>
      <w:r w:rsidRPr="00F2516F">
        <w:rPr>
          <w:rFonts w:eastAsia="Times New Roman"/>
          <w:szCs w:val="24"/>
          <w:lang w:val="ro-RO" w:eastAsia="fr-BE"/>
        </w:rPr>
        <w:t xml:space="preserve"> sunt instituțiile publice și private responsabile pentru inițierea sau inițierea și implementarea operațiunilor ce respectă condițiile specifice din cererile de propuneri. </w:t>
      </w:r>
    </w:p>
    <w:p w:rsidR="008F648D" w:rsidRPr="00F2516F" w:rsidRDefault="008F648D" w:rsidP="008F648D">
      <w:pPr>
        <w:rPr>
          <w:rFonts w:eastAsia="Times New Roman"/>
          <w:szCs w:val="24"/>
          <w:lang w:val="ro-RO" w:eastAsia="fr-BE"/>
        </w:rPr>
      </w:pPr>
      <w:r w:rsidRPr="00F2516F">
        <w:rPr>
          <w:rFonts w:eastAsia="Times New Roman"/>
          <w:szCs w:val="24"/>
          <w:lang w:val="ro-RO" w:eastAsia="fr-BE"/>
        </w:rPr>
        <w:t xml:space="preserve">În ceea ce privește cheltuielile eligibile, lista va fi aprobată de către Comitetul de Monitorizare. </w:t>
      </w:r>
      <w:r w:rsidRPr="00AB6AD7">
        <w:rPr>
          <w:rFonts w:eastAsia="Times New Roman"/>
          <w:szCs w:val="24"/>
          <w:lang w:val="ro-RO" w:eastAsia="fr-BE"/>
        </w:rPr>
        <w:t>Niciun alt act legal național nu este necesar</w:t>
      </w:r>
      <w:r w:rsidRPr="00F2516F">
        <w:rPr>
          <w:rFonts w:eastAsia="Times New Roman"/>
          <w:color w:val="FF0000"/>
          <w:szCs w:val="24"/>
          <w:lang w:val="ro-RO" w:eastAsia="fr-BE"/>
        </w:rPr>
        <w:t xml:space="preserve">. </w:t>
      </w:r>
      <w:r w:rsidRPr="00F2516F">
        <w:rPr>
          <w:rFonts w:eastAsia="Times New Roman"/>
          <w:szCs w:val="24"/>
          <w:lang w:val="ro-RO" w:eastAsia="fr-BE"/>
        </w:rPr>
        <w:t>În cadrul fazei administrative va fi verificată doar conformitatea tipurilor de cheltuieli.</w:t>
      </w:r>
    </w:p>
    <w:p w:rsidR="008F648D" w:rsidRPr="00F2516F" w:rsidRDefault="008F648D" w:rsidP="008F648D">
      <w:pPr>
        <w:rPr>
          <w:rFonts w:eastAsia="Times New Roman"/>
          <w:szCs w:val="24"/>
          <w:lang w:val="ro-RO" w:eastAsia="fr-BE"/>
        </w:rPr>
      </w:pPr>
      <w:r w:rsidRPr="00F2516F">
        <w:rPr>
          <w:rFonts w:eastAsia="Times New Roman"/>
          <w:szCs w:val="24"/>
          <w:lang w:val="ro-RO" w:eastAsia="fr-BE"/>
        </w:rPr>
        <w:lastRenderedPageBreak/>
        <w:t xml:space="preserve">După ce SC </w:t>
      </w:r>
      <w:r>
        <w:rPr>
          <w:rFonts w:eastAsia="Times New Roman"/>
          <w:szCs w:val="24"/>
          <w:lang w:val="ro-RO" w:eastAsia="fr-BE"/>
        </w:rPr>
        <w:t>evaluează</w:t>
      </w:r>
      <w:r w:rsidRPr="00F2516F">
        <w:rPr>
          <w:rFonts w:eastAsia="Times New Roman"/>
          <w:szCs w:val="24"/>
          <w:lang w:val="ro-RO" w:eastAsia="fr-BE"/>
        </w:rPr>
        <w:t xml:space="preserve"> proiectele, lista va fi înaintată Comitetului de Monitorizare pentru decizia privind selectarea.</w:t>
      </w:r>
    </w:p>
    <w:p w:rsidR="00316548" w:rsidRPr="0000777B" w:rsidRDefault="00316548" w:rsidP="00EF614F">
      <w:pPr>
        <w:pStyle w:val="Heading2"/>
        <w:rPr>
          <w:highlight w:val="red"/>
          <w:lang w:val="ro-RO"/>
        </w:rPr>
      </w:pPr>
      <w:bookmarkStart w:id="115" w:name="_Toc394837836"/>
      <w:r w:rsidRPr="0000777B">
        <w:rPr>
          <w:lang w:val="ro-RO"/>
        </w:rPr>
        <w:t>2.A.6.3. Utilizarea planificată a instrumentelor financiare (după caz)</w:t>
      </w:r>
      <w:bookmarkEnd w:id="115"/>
    </w:p>
    <w:p w:rsidR="008F648D" w:rsidRPr="0000777B" w:rsidRDefault="008F648D" w:rsidP="008F648D">
      <w:pPr>
        <w:keepNext/>
        <w:spacing w:after="240"/>
        <w:outlineLvl w:val="2"/>
        <w:rPr>
          <w:rFonts w:eastAsia="Times New Roman"/>
          <w:b/>
          <w:i/>
          <w:lang w:val="ro-RO"/>
        </w:rPr>
      </w:pPr>
      <w:r w:rsidRPr="0000777B">
        <w:rPr>
          <w:lang w:val="ro-RO"/>
        </w:rPr>
        <w:t>Nu se aplică</w:t>
      </w:r>
    </w:p>
    <w:p w:rsidR="00316548" w:rsidRPr="0000777B" w:rsidRDefault="00316548" w:rsidP="00EF614F">
      <w:pPr>
        <w:pStyle w:val="Heading2"/>
        <w:rPr>
          <w:lang w:val="ro-RO"/>
        </w:rPr>
      </w:pPr>
      <w:bookmarkStart w:id="116" w:name="_Toc394837837"/>
      <w:r w:rsidRPr="0000777B">
        <w:rPr>
          <w:lang w:val="ro-RO"/>
        </w:rPr>
        <w:t>2.A.6.4. Utilizarea planificată a proiectelor majore (după caz)</w:t>
      </w:r>
      <w:bookmarkEnd w:id="116"/>
    </w:p>
    <w:p w:rsidR="008F648D" w:rsidRPr="0000777B" w:rsidRDefault="008F648D" w:rsidP="008F648D">
      <w:pPr>
        <w:keepNext/>
        <w:spacing w:after="240"/>
        <w:outlineLvl w:val="2"/>
        <w:rPr>
          <w:rFonts w:eastAsia="Times New Roman"/>
          <w:b/>
          <w:i/>
          <w:lang w:val="ro-RO"/>
        </w:rPr>
      </w:pPr>
      <w:r w:rsidRPr="0000777B">
        <w:rPr>
          <w:lang w:val="ro-RO"/>
        </w:rPr>
        <w:t>Nu se aplică</w:t>
      </w:r>
    </w:p>
    <w:p w:rsidR="008F648D" w:rsidRPr="0000777B" w:rsidRDefault="008F648D" w:rsidP="00EF614F">
      <w:pPr>
        <w:pStyle w:val="Heading2"/>
        <w:rPr>
          <w:lang w:val="fr-FR"/>
        </w:rPr>
      </w:pPr>
      <w:bookmarkStart w:id="117" w:name="_Toc394837838"/>
      <w:r w:rsidRPr="0000777B">
        <w:rPr>
          <w:lang w:val="ro-RO"/>
        </w:rPr>
        <w:t>2.A.6.5. Indicatori de realizare (pe prioritate de investiții)</w:t>
      </w:r>
      <w:bookmarkEnd w:id="117"/>
    </w:p>
    <w:p w:rsidR="008F648D" w:rsidRPr="0000777B" w:rsidRDefault="008F648D" w:rsidP="00EF614F">
      <w:pPr>
        <w:pStyle w:val="Heading2"/>
        <w:rPr>
          <w:highlight w:val="red"/>
          <w:lang w:val="fr-FR"/>
        </w:rPr>
      </w:pPr>
      <w:bookmarkStart w:id="118" w:name="_Toc394837839"/>
      <w:r w:rsidRPr="0000777B">
        <w:rPr>
          <w:lang w:val="fr-FR"/>
        </w:rPr>
        <w:t>Tabelul 4: Indicatori de realizare comuni și specifici programului</w:t>
      </w:r>
      <w:bookmarkEnd w:id="118"/>
    </w:p>
    <w:tbl>
      <w:tblPr>
        <w:tblW w:w="5000" w:type="pct"/>
        <w:jc w:val="center"/>
        <w:tblCellMar>
          <w:left w:w="10" w:type="dxa"/>
          <w:right w:w="10" w:type="dxa"/>
        </w:tblCellMar>
        <w:tblLook w:val="0000" w:firstRow="0" w:lastRow="0" w:firstColumn="0" w:lastColumn="0" w:noHBand="0" w:noVBand="0"/>
      </w:tblPr>
      <w:tblGrid>
        <w:gridCol w:w="1095"/>
        <w:gridCol w:w="1925"/>
        <w:gridCol w:w="1629"/>
        <w:gridCol w:w="1311"/>
        <w:gridCol w:w="1658"/>
        <w:gridCol w:w="1668"/>
      </w:tblGrid>
      <w:tr w:rsidR="008F648D" w:rsidRPr="008C14D4" w:rsidTr="005F21D0">
        <w:trPr>
          <w:trHeight w:val="706"/>
          <w:jc w:val="center"/>
        </w:trPr>
        <w:tc>
          <w:tcPr>
            <w:tcW w:w="1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648D" w:rsidRPr="008C14D4" w:rsidRDefault="008F648D" w:rsidP="005F21D0">
            <w:pPr>
              <w:spacing w:after="240" w:line="276" w:lineRule="auto"/>
              <w:jc w:val="left"/>
              <w:rPr>
                <w:rFonts w:eastAsia="Times New Roman"/>
                <w:b/>
                <w:szCs w:val="24"/>
                <w:lang w:val="en-US"/>
              </w:rPr>
            </w:pPr>
            <w:r w:rsidRPr="008C14D4">
              <w:rPr>
                <w:rFonts w:eastAsia="Times New Roman"/>
                <w:b/>
                <w:szCs w:val="24"/>
                <w:lang w:val="en-US"/>
              </w:rPr>
              <w:t>ID</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648D" w:rsidRPr="008C14D4" w:rsidRDefault="008F648D" w:rsidP="005F21D0">
            <w:pPr>
              <w:spacing w:after="240" w:line="276" w:lineRule="auto"/>
              <w:jc w:val="left"/>
              <w:rPr>
                <w:rFonts w:eastAsia="Times New Roman"/>
                <w:b/>
                <w:szCs w:val="24"/>
                <w:lang w:val="en-US"/>
              </w:rPr>
            </w:pPr>
            <w:r w:rsidRPr="008C14D4">
              <w:rPr>
                <w:rFonts w:eastAsia="Times New Roman"/>
                <w:b/>
                <w:szCs w:val="24"/>
                <w:lang w:val="en-US"/>
              </w:rPr>
              <w:t>Indicator (denumirea indicatorului)</w:t>
            </w:r>
          </w:p>
        </w:tc>
        <w:tc>
          <w:tcPr>
            <w:tcW w:w="1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648D" w:rsidRPr="008C14D4" w:rsidRDefault="008F648D" w:rsidP="005F21D0">
            <w:pPr>
              <w:spacing w:after="240" w:line="276" w:lineRule="auto"/>
              <w:jc w:val="left"/>
              <w:rPr>
                <w:rFonts w:eastAsia="Times New Roman"/>
                <w:b/>
                <w:szCs w:val="24"/>
                <w:lang w:val="en-US"/>
              </w:rPr>
            </w:pPr>
            <w:r w:rsidRPr="008C14D4">
              <w:rPr>
                <w:rFonts w:eastAsia="Times New Roman"/>
                <w:b/>
                <w:szCs w:val="24"/>
                <w:lang w:val="en-US"/>
              </w:rPr>
              <w:t>Unitate de măsură</w:t>
            </w: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648D" w:rsidRPr="008C14D4" w:rsidRDefault="008F648D" w:rsidP="005F21D0">
            <w:pPr>
              <w:spacing w:after="240" w:line="276" w:lineRule="auto"/>
              <w:jc w:val="left"/>
              <w:rPr>
                <w:rFonts w:eastAsia="Times New Roman"/>
                <w:b/>
                <w:szCs w:val="24"/>
                <w:lang w:val="en-US"/>
              </w:rPr>
            </w:pPr>
            <w:r w:rsidRPr="008C14D4">
              <w:rPr>
                <w:rFonts w:eastAsia="Times New Roman"/>
                <w:b/>
                <w:szCs w:val="24"/>
                <w:lang w:val="en-US"/>
              </w:rPr>
              <w:t>Valoarea-țintă (2023)</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648D" w:rsidRPr="008C14D4" w:rsidRDefault="008F648D" w:rsidP="005F21D0">
            <w:pPr>
              <w:spacing w:after="240" w:line="276" w:lineRule="auto"/>
              <w:jc w:val="left"/>
              <w:rPr>
                <w:rFonts w:eastAsia="Times New Roman"/>
                <w:b/>
                <w:szCs w:val="24"/>
                <w:lang w:val="en-US"/>
              </w:rPr>
            </w:pPr>
            <w:r w:rsidRPr="008C14D4">
              <w:rPr>
                <w:rFonts w:eastAsia="Times New Roman"/>
                <w:b/>
                <w:szCs w:val="24"/>
                <w:lang w:val="en-US"/>
              </w:rPr>
              <w:t>Sursa datelor</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648D" w:rsidRPr="008C14D4" w:rsidRDefault="008F648D" w:rsidP="005F21D0">
            <w:pPr>
              <w:spacing w:after="240" w:line="276" w:lineRule="auto"/>
              <w:jc w:val="left"/>
              <w:rPr>
                <w:rFonts w:eastAsia="Times New Roman"/>
                <w:b/>
                <w:szCs w:val="24"/>
                <w:lang w:val="en-US"/>
              </w:rPr>
            </w:pPr>
            <w:r w:rsidRPr="008C14D4">
              <w:rPr>
                <w:rFonts w:eastAsia="Times New Roman"/>
                <w:b/>
                <w:szCs w:val="24"/>
                <w:lang w:val="en-US"/>
              </w:rPr>
              <w:t>Frecvența raportării</w:t>
            </w:r>
          </w:p>
        </w:tc>
      </w:tr>
      <w:tr w:rsidR="004D5CFB" w:rsidRPr="000B7282" w:rsidTr="005F21D0">
        <w:trPr>
          <w:trHeight w:val="706"/>
          <w:jc w:val="center"/>
        </w:trPr>
        <w:tc>
          <w:tcPr>
            <w:tcW w:w="1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5CFB" w:rsidRPr="00B549BA" w:rsidRDefault="004D5CFB" w:rsidP="005F21D0">
            <w:pPr>
              <w:spacing w:after="240" w:line="276" w:lineRule="auto"/>
              <w:jc w:val="left"/>
              <w:rPr>
                <w:szCs w:val="24"/>
                <w:lang w:val="en-US"/>
              </w:rPr>
            </w:pPr>
            <w:r w:rsidRPr="00B549BA">
              <w:rPr>
                <w:szCs w:val="24"/>
                <w:lang w:val="en-US"/>
              </w:rPr>
              <w:t>8</w:t>
            </w:r>
            <w:r w:rsidR="0030358B">
              <w:rPr>
                <w:szCs w:val="24"/>
                <w:lang w:val="en-US"/>
              </w:rPr>
              <w:t>e</w:t>
            </w:r>
            <w:r w:rsidRPr="00B549BA">
              <w:rPr>
                <w:szCs w:val="24"/>
                <w:lang w:val="en-US"/>
              </w:rPr>
              <w:t>.1</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5CFB" w:rsidRPr="00EF614F" w:rsidRDefault="009D3593" w:rsidP="005F21D0">
            <w:pPr>
              <w:jc w:val="left"/>
              <w:rPr>
                <w:lang w:val="ro-RO"/>
              </w:rPr>
            </w:pPr>
            <w:r w:rsidRPr="008F648D">
              <w:rPr>
                <w:lang w:val="ro-RO"/>
              </w:rPr>
              <w:t>Numărul de inițiative (instruiri, scheme educa</w:t>
            </w:r>
            <w:r w:rsidR="008F648D">
              <w:rPr>
                <w:lang w:val="ro-RO"/>
              </w:rPr>
              <w:t>ț</w:t>
            </w:r>
            <w:r w:rsidRPr="008F648D">
              <w:rPr>
                <w:lang w:val="ro-RO"/>
              </w:rPr>
              <w:t>ionale, domenii pe internet, acorduri, re</w:t>
            </w:r>
            <w:r w:rsidR="008F648D">
              <w:rPr>
                <w:lang w:val="ro-RO"/>
              </w:rPr>
              <w:t>ț</w:t>
            </w:r>
            <w:r w:rsidRPr="008F648D">
              <w:rPr>
                <w:lang w:val="ro-RO"/>
              </w:rPr>
              <w:t xml:space="preserve">ele, </w:t>
            </w:r>
            <w:r w:rsidR="004B7E37">
              <w:t>t</w:t>
            </w:r>
            <w:r w:rsidR="004B7E37">
              <w:t>ârgurile pentru ocuparea locurilor de muncă</w:t>
            </w:r>
            <w:r w:rsidRPr="008F648D">
              <w:rPr>
                <w:lang w:val="ro-RO"/>
              </w:rPr>
              <w:t xml:space="preserve">, </w:t>
            </w:r>
            <w:r w:rsidR="008F648D">
              <w:rPr>
                <w:lang w:val="ro-RO"/>
              </w:rPr>
              <w:t>etc) care activează mobilitatea forței de muncăîn zona transfrontalieră</w:t>
            </w:r>
          </w:p>
        </w:tc>
        <w:tc>
          <w:tcPr>
            <w:tcW w:w="1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5CFB" w:rsidRPr="00B549BA" w:rsidRDefault="008F648D" w:rsidP="005F21D0">
            <w:pPr>
              <w:spacing w:after="240" w:line="276" w:lineRule="auto"/>
              <w:jc w:val="left"/>
              <w:rPr>
                <w:szCs w:val="24"/>
                <w:lang w:val="en-US"/>
              </w:rPr>
            </w:pPr>
            <w:r>
              <w:rPr>
                <w:szCs w:val="24"/>
                <w:lang w:val="en-US"/>
              </w:rPr>
              <w:t>Număr</w:t>
            </w: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5CFB" w:rsidRPr="00B549BA" w:rsidRDefault="00BB505A" w:rsidP="005F21D0">
            <w:pPr>
              <w:spacing w:after="240" w:line="276" w:lineRule="auto"/>
              <w:jc w:val="left"/>
              <w:rPr>
                <w:szCs w:val="24"/>
                <w:lang w:val="en-US"/>
              </w:rPr>
            </w:pPr>
            <w:r w:rsidRPr="00B549BA">
              <w:rPr>
                <w:szCs w:val="24"/>
                <w:lang w:val="en-US"/>
              </w:rPr>
              <w:t>50</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648D" w:rsidRDefault="008F648D" w:rsidP="005F21D0">
            <w:pPr>
              <w:spacing w:before="0" w:after="0"/>
              <w:jc w:val="left"/>
              <w:rPr>
                <w:b/>
                <w:bCs/>
                <w:szCs w:val="26"/>
                <w:lang w:val="fr-FR"/>
              </w:rPr>
            </w:pPr>
            <w:r w:rsidRPr="00461E3D">
              <w:rPr>
                <w:color w:val="000000"/>
                <w:szCs w:val="24"/>
              </w:rPr>
              <w:t>Rapoarte de</w:t>
            </w:r>
            <w:r w:rsidR="00484E2A">
              <w:rPr>
                <w:color w:val="000000"/>
                <w:szCs w:val="24"/>
              </w:rPr>
              <w:t xml:space="preserve"> </w:t>
            </w:r>
            <w:r w:rsidRPr="00461E3D">
              <w:rPr>
                <w:color w:val="000000"/>
                <w:szCs w:val="24"/>
              </w:rPr>
              <w:t>monitorizare</w:t>
            </w:r>
          </w:p>
          <w:p w:rsidR="004D5CFB" w:rsidRPr="00B549BA" w:rsidRDefault="004D5CFB" w:rsidP="005F21D0">
            <w:pPr>
              <w:spacing w:after="240" w:line="276" w:lineRule="auto"/>
              <w:jc w:val="left"/>
              <w:rPr>
                <w:szCs w:val="24"/>
                <w:lang w:val="en-US"/>
              </w:rPr>
            </w:pP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5CFB" w:rsidRPr="00B27A21" w:rsidRDefault="008F648D" w:rsidP="005F21D0">
            <w:pPr>
              <w:spacing w:after="240" w:line="276" w:lineRule="auto"/>
              <w:jc w:val="left"/>
              <w:rPr>
                <w:rFonts w:eastAsia="Times New Roman"/>
                <w:i/>
                <w:szCs w:val="24"/>
                <w:lang w:val="en-US"/>
              </w:rPr>
            </w:pPr>
            <w:r>
              <w:rPr>
                <w:rFonts w:eastAsia="Times New Roman"/>
                <w:i/>
                <w:szCs w:val="24"/>
                <w:lang w:val="en-US"/>
              </w:rPr>
              <w:t>A</w:t>
            </w:r>
            <w:r w:rsidR="00593C32" w:rsidRPr="00B27A21">
              <w:rPr>
                <w:rFonts w:eastAsia="Times New Roman"/>
                <w:i/>
                <w:szCs w:val="24"/>
                <w:lang w:val="en-US"/>
              </w:rPr>
              <w:t>nual</w:t>
            </w:r>
          </w:p>
        </w:tc>
      </w:tr>
    </w:tbl>
    <w:p w:rsidR="004D5CFB" w:rsidRPr="00B549BA" w:rsidRDefault="004D5CFB" w:rsidP="00725EE4">
      <w:pPr>
        <w:spacing w:after="240" w:line="276" w:lineRule="auto"/>
        <w:rPr>
          <w:rFonts w:eastAsia="Times New Roman"/>
          <w:b/>
          <w:lang w:val="en-US"/>
        </w:rPr>
      </w:pPr>
    </w:p>
    <w:p w:rsidR="009139B4" w:rsidRPr="00B549BA" w:rsidRDefault="009139B4" w:rsidP="00725EE4">
      <w:pPr>
        <w:spacing w:after="240" w:line="276" w:lineRule="auto"/>
        <w:rPr>
          <w:rFonts w:eastAsia="Times New Roman"/>
          <w:b/>
          <w:lang w:val="en-US"/>
        </w:rPr>
        <w:sectPr w:rsidR="009139B4" w:rsidRPr="00B549BA">
          <w:headerReference w:type="default" r:id="rId27"/>
          <w:footerReference w:type="default" r:id="rId28"/>
          <w:pgSz w:w="11906" w:h="16838"/>
          <w:pgMar w:top="1021" w:right="1418" w:bottom="1021" w:left="1418" w:header="601" w:footer="1077" w:gutter="0"/>
          <w:cols w:space="720"/>
        </w:sectPr>
      </w:pPr>
    </w:p>
    <w:p w:rsidR="009139B4" w:rsidRPr="005F21D0" w:rsidRDefault="009139B4" w:rsidP="00BB60A1">
      <w:pPr>
        <w:pStyle w:val="Heading2"/>
        <w:rPr>
          <w:lang w:val="en-US"/>
        </w:rPr>
      </w:pPr>
      <w:bookmarkStart w:id="119" w:name="_Toc394837840"/>
      <w:proofErr w:type="gramStart"/>
      <w:r w:rsidRPr="005F21D0">
        <w:rPr>
          <w:lang w:val="en-US"/>
        </w:rPr>
        <w:lastRenderedPageBreak/>
        <w:t>2.A.7</w:t>
      </w:r>
      <w:proofErr w:type="gramEnd"/>
      <w:r w:rsidRPr="005F21D0">
        <w:rPr>
          <w:lang w:val="en-US"/>
        </w:rPr>
        <w:t xml:space="preserve">. </w:t>
      </w:r>
      <w:r w:rsidR="005F21D0" w:rsidRPr="005F21D0">
        <w:rPr>
          <w:lang w:val="en-US"/>
        </w:rPr>
        <w:t>Cadrul de performanță</w:t>
      </w:r>
      <w:bookmarkEnd w:id="119"/>
    </w:p>
    <w:p w:rsidR="009139B4" w:rsidRPr="006F7519" w:rsidRDefault="005F21D0" w:rsidP="009139B4">
      <w:pPr>
        <w:spacing w:after="0" w:line="276" w:lineRule="auto"/>
        <w:rPr>
          <w:rFonts w:eastAsia="Times New Roman"/>
          <w:sz w:val="20"/>
          <w:lang w:val="it-IT"/>
        </w:rPr>
      </w:pPr>
      <w:r w:rsidRPr="006F7519">
        <w:rPr>
          <w:rFonts w:eastAsia="Times New Roman"/>
          <w:sz w:val="20"/>
          <w:lang w:val="it-IT"/>
        </w:rPr>
        <w:t>[Referință: articolul 8 alineatul (2) litera (b) punctul (iv) din Regulamentul (UE) nr. 1299/2013 și anexa II la Regulamentul (UE) nr. 1303/2013]</w:t>
      </w:r>
    </w:p>
    <w:p w:rsidR="009139B4" w:rsidRPr="006F7519" w:rsidRDefault="005F21D0" w:rsidP="00BB60A1">
      <w:pPr>
        <w:pStyle w:val="Heading2"/>
        <w:rPr>
          <w:lang w:val="it-IT"/>
        </w:rPr>
      </w:pPr>
      <w:bookmarkStart w:id="120" w:name="_Toc394837841"/>
      <w:r w:rsidRPr="006F7519">
        <w:rPr>
          <w:lang w:val="it-IT"/>
        </w:rPr>
        <w:t>Tabelul</w:t>
      </w:r>
      <w:r w:rsidR="009139B4" w:rsidRPr="006F7519">
        <w:rPr>
          <w:lang w:val="it-IT"/>
        </w:rPr>
        <w:t xml:space="preserve"> 5: </w:t>
      </w:r>
      <w:r w:rsidRPr="006F7519">
        <w:rPr>
          <w:lang w:val="it-IT"/>
        </w:rPr>
        <w:t>Cadrul de performanță al axei prioritare</w:t>
      </w:r>
      <w:r w:rsidR="00467C3C" w:rsidRPr="006F7519">
        <w:rPr>
          <w:lang w:val="it-IT"/>
        </w:rPr>
        <w:t>4</w:t>
      </w:r>
      <w:r w:rsidR="009139B4" w:rsidRPr="006F7519">
        <w:rPr>
          <w:lang w:val="it-IT"/>
        </w:rPr>
        <w:t xml:space="preserve"> – </w:t>
      </w:r>
      <w:r w:rsidRPr="002A0466">
        <w:rPr>
          <w:lang w:val="fr-FR"/>
        </w:rPr>
        <w:t>O regiune calificat</w:t>
      </w:r>
      <w:r>
        <w:rPr>
          <w:lang w:val="fr-FR"/>
        </w:rPr>
        <w:t>ăși inclusivă</w:t>
      </w:r>
      <w:bookmarkEnd w:id="120"/>
    </w:p>
    <w:tbl>
      <w:tblPr>
        <w:tblW w:w="4437" w:type="pct"/>
        <w:jc w:val="center"/>
        <w:tblLayout w:type="fixed"/>
        <w:tblCellMar>
          <w:left w:w="10" w:type="dxa"/>
          <w:right w:w="10" w:type="dxa"/>
        </w:tblCellMar>
        <w:tblLook w:val="04A0" w:firstRow="1" w:lastRow="0" w:firstColumn="1" w:lastColumn="0" w:noHBand="0" w:noVBand="1"/>
      </w:tblPr>
      <w:tblGrid>
        <w:gridCol w:w="1152"/>
        <w:gridCol w:w="1678"/>
        <w:gridCol w:w="864"/>
        <w:gridCol w:w="2068"/>
        <w:gridCol w:w="1474"/>
        <w:gridCol w:w="1542"/>
        <w:gridCol w:w="1404"/>
        <w:gridCol w:w="1542"/>
        <w:gridCol w:w="1598"/>
      </w:tblGrid>
      <w:tr w:rsidR="005F21D0" w:rsidRPr="00A158A9" w:rsidTr="005F21D0">
        <w:trPr>
          <w:trHeight w:val="2064"/>
          <w:jc w:val="center"/>
        </w:trPr>
        <w:tc>
          <w:tcPr>
            <w:tcW w:w="11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21D0" w:rsidRPr="00EF614F" w:rsidRDefault="005F21D0" w:rsidP="005F21D0">
            <w:pPr>
              <w:suppressAutoHyphens/>
              <w:autoSpaceDN w:val="0"/>
              <w:spacing w:before="0" w:after="0" w:line="276" w:lineRule="auto"/>
              <w:jc w:val="left"/>
              <w:rPr>
                <w:rFonts w:eastAsia="Times New Roman"/>
                <w:b/>
                <w:sz w:val="20"/>
                <w:lang w:val="en-US"/>
              </w:rPr>
            </w:pPr>
            <w:r w:rsidRPr="00EF614F">
              <w:rPr>
                <w:rFonts w:eastAsia="Times New Roman"/>
                <w:b/>
                <w:sz w:val="20"/>
                <w:lang w:val="en-US"/>
              </w:rPr>
              <w:t>Axa prioritară</w:t>
            </w:r>
          </w:p>
        </w:tc>
        <w:tc>
          <w:tcPr>
            <w:tcW w:w="1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21D0" w:rsidRPr="00EF614F" w:rsidRDefault="005F21D0" w:rsidP="005F21D0">
            <w:pPr>
              <w:spacing w:before="0" w:after="0" w:line="276" w:lineRule="auto"/>
              <w:jc w:val="left"/>
              <w:rPr>
                <w:rFonts w:eastAsia="Times New Roman"/>
                <w:b/>
                <w:sz w:val="20"/>
                <w:lang w:val="fr-FR"/>
              </w:rPr>
            </w:pPr>
            <w:r w:rsidRPr="00EF614F">
              <w:rPr>
                <w:rFonts w:eastAsia="Times New Roman"/>
                <w:b/>
                <w:sz w:val="20"/>
                <w:lang w:val="fr-FR"/>
              </w:rPr>
              <w:t xml:space="preserve">Tipul Indicatorului (Etapa cheie </w:t>
            </w:r>
            <w:proofErr w:type="gramStart"/>
            <w:r w:rsidRPr="00EF614F">
              <w:rPr>
                <w:rFonts w:eastAsia="Times New Roman"/>
                <w:b/>
                <w:sz w:val="20"/>
                <w:lang w:val="fr-FR"/>
              </w:rPr>
              <w:t>de implementare</w:t>
            </w:r>
            <w:proofErr w:type="gramEnd"/>
            <w:r w:rsidRPr="00EF614F">
              <w:rPr>
                <w:rFonts w:eastAsia="Times New Roman"/>
                <w:b/>
                <w:sz w:val="20"/>
                <w:lang w:val="fr-FR"/>
              </w:rPr>
              <w:t>, indicatorul financiar, indicatorul de realizare sau, dacă este cazul, indicatorul de rezultat)</w:t>
            </w:r>
          </w:p>
        </w:tc>
        <w:tc>
          <w:tcPr>
            <w:tcW w:w="8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21D0" w:rsidRPr="00EF614F" w:rsidRDefault="005F21D0" w:rsidP="005F21D0">
            <w:pPr>
              <w:suppressAutoHyphens/>
              <w:autoSpaceDN w:val="0"/>
              <w:spacing w:before="0" w:after="0" w:line="276" w:lineRule="auto"/>
              <w:jc w:val="left"/>
              <w:rPr>
                <w:rFonts w:eastAsia="Times New Roman"/>
                <w:b/>
                <w:sz w:val="20"/>
                <w:lang w:val="en-US"/>
              </w:rPr>
            </w:pPr>
            <w:r w:rsidRPr="00EF614F">
              <w:rPr>
                <w:rFonts w:eastAsia="Times New Roman"/>
                <w:b/>
                <w:sz w:val="20"/>
                <w:lang w:val="en-US"/>
              </w:rPr>
              <w:t>ID</w:t>
            </w:r>
          </w:p>
        </w:tc>
        <w:tc>
          <w:tcPr>
            <w:tcW w:w="2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21D0" w:rsidRPr="00EF614F" w:rsidRDefault="005F21D0" w:rsidP="005F21D0">
            <w:pPr>
              <w:suppressAutoHyphens/>
              <w:autoSpaceDN w:val="0"/>
              <w:spacing w:before="0" w:after="0" w:line="276" w:lineRule="auto"/>
              <w:jc w:val="left"/>
              <w:rPr>
                <w:b/>
                <w:sz w:val="20"/>
                <w:lang w:val="fr-FR"/>
              </w:rPr>
            </w:pPr>
            <w:r w:rsidRPr="00EF614F">
              <w:rPr>
                <w:b/>
                <w:sz w:val="20"/>
                <w:lang w:val="fr-FR"/>
              </w:rPr>
              <w:t xml:space="preserve">Indicator sau etapă cheie </w:t>
            </w:r>
            <w:proofErr w:type="gramStart"/>
            <w:r w:rsidRPr="00EF614F">
              <w:rPr>
                <w:b/>
                <w:sz w:val="20"/>
                <w:lang w:val="fr-FR"/>
              </w:rPr>
              <w:t>de implementare</w:t>
            </w:r>
            <w:proofErr w:type="gramEnd"/>
          </w:p>
        </w:tc>
        <w:tc>
          <w:tcPr>
            <w:tcW w:w="1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21D0" w:rsidRPr="00EF614F" w:rsidRDefault="005F21D0" w:rsidP="005F21D0">
            <w:pPr>
              <w:suppressAutoHyphens/>
              <w:autoSpaceDN w:val="0"/>
              <w:spacing w:before="0" w:after="0" w:line="276" w:lineRule="auto"/>
              <w:jc w:val="left"/>
              <w:rPr>
                <w:rFonts w:eastAsia="Times New Roman"/>
                <w:b/>
                <w:sz w:val="20"/>
                <w:lang w:val="fr-FR"/>
              </w:rPr>
            </w:pPr>
            <w:r w:rsidRPr="00EF614F">
              <w:rPr>
                <w:rFonts w:eastAsia="Times New Roman"/>
                <w:b/>
                <w:sz w:val="20"/>
                <w:lang w:val="fr-FR"/>
              </w:rPr>
              <w:t>Unitate de măsură, dacă este cazul</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21D0" w:rsidRPr="00EF614F" w:rsidRDefault="005F21D0" w:rsidP="005F21D0">
            <w:pPr>
              <w:suppressAutoHyphens/>
              <w:autoSpaceDN w:val="0"/>
              <w:spacing w:before="0" w:after="0" w:line="276" w:lineRule="auto"/>
              <w:jc w:val="left"/>
              <w:rPr>
                <w:rFonts w:eastAsia="Times New Roman"/>
                <w:b/>
                <w:sz w:val="20"/>
                <w:lang w:val="en-US"/>
              </w:rPr>
            </w:pPr>
            <w:r w:rsidRPr="00EF614F">
              <w:rPr>
                <w:rFonts w:eastAsia="Times New Roman"/>
                <w:b/>
                <w:sz w:val="20"/>
                <w:lang w:val="en-US"/>
              </w:rPr>
              <w:t>Punctul de referință pentru 2018</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21D0" w:rsidRPr="00EF614F" w:rsidRDefault="005F21D0" w:rsidP="005F21D0">
            <w:pPr>
              <w:suppressAutoHyphens/>
              <w:autoSpaceDN w:val="0"/>
              <w:spacing w:before="0" w:after="0" w:line="276" w:lineRule="auto"/>
              <w:jc w:val="left"/>
              <w:rPr>
                <w:rFonts w:eastAsia="Times New Roman"/>
                <w:b/>
                <w:sz w:val="20"/>
                <w:lang w:val="en-US"/>
              </w:rPr>
            </w:pPr>
            <w:r w:rsidRPr="00EF614F">
              <w:rPr>
                <w:rFonts w:eastAsia="Times New Roman"/>
                <w:b/>
                <w:sz w:val="20"/>
                <w:lang w:val="en-US"/>
              </w:rPr>
              <w:t>Obiectivul final (2023)</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21D0" w:rsidRPr="00EF614F" w:rsidRDefault="005F21D0" w:rsidP="005F21D0">
            <w:pPr>
              <w:suppressAutoHyphens/>
              <w:autoSpaceDN w:val="0"/>
              <w:spacing w:before="0" w:after="0" w:line="276" w:lineRule="auto"/>
              <w:jc w:val="left"/>
              <w:rPr>
                <w:rFonts w:eastAsia="Times New Roman"/>
                <w:b/>
                <w:sz w:val="20"/>
                <w:lang w:val="en-US"/>
              </w:rPr>
            </w:pPr>
            <w:r w:rsidRPr="00EF614F">
              <w:rPr>
                <w:rFonts w:eastAsia="Times New Roman"/>
                <w:b/>
                <w:sz w:val="20"/>
                <w:lang w:val="en-US"/>
              </w:rPr>
              <w:t>Sursa datelor</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21D0" w:rsidRPr="00EF614F" w:rsidRDefault="005F21D0" w:rsidP="005F21D0">
            <w:pPr>
              <w:suppressAutoHyphens/>
              <w:autoSpaceDN w:val="0"/>
              <w:spacing w:before="0" w:after="0" w:line="276" w:lineRule="auto"/>
              <w:jc w:val="left"/>
              <w:rPr>
                <w:rFonts w:eastAsia="Times New Roman"/>
                <w:b/>
                <w:sz w:val="20"/>
                <w:lang w:val="fr-FR"/>
              </w:rPr>
            </w:pPr>
            <w:r w:rsidRPr="00EF614F">
              <w:rPr>
                <w:rFonts w:eastAsia="Times New Roman"/>
                <w:b/>
                <w:sz w:val="20"/>
                <w:lang w:val="fr-FR"/>
              </w:rPr>
              <w:t>Explicarea relevanței indicatorului, dacă este cazul</w:t>
            </w:r>
          </w:p>
        </w:tc>
      </w:tr>
      <w:tr w:rsidR="00467C3C" w:rsidRPr="005F21D0" w:rsidTr="005F21D0">
        <w:trPr>
          <w:jc w:val="center"/>
        </w:trPr>
        <w:tc>
          <w:tcPr>
            <w:tcW w:w="11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67C3C" w:rsidRPr="005F21D0" w:rsidRDefault="00467C3C" w:rsidP="005F21D0">
            <w:pPr>
              <w:suppressAutoHyphens/>
              <w:autoSpaceDN w:val="0"/>
              <w:spacing w:before="0" w:after="0" w:line="276" w:lineRule="auto"/>
              <w:jc w:val="left"/>
              <w:rPr>
                <w:rFonts w:eastAsia="Times New Roman"/>
                <w:szCs w:val="24"/>
                <w:lang w:val="en-US"/>
              </w:rPr>
            </w:pPr>
            <w:r w:rsidRPr="005F21D0">
              <w:rPr>
                <w:rFonts w:eastAsia="Times New Roman"/>
                <w:szCs w:val="24"/>
                <w:lang w:val="en-US"/>
              </w:rPr>
              <w:t>4</w:t>
            </w:r>
          </w:p>
        </w:tc>
        <w:tc>
          <w:tcPr>
            <w:tcW w:w="1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5F21D0" w:rsidRDefault="00467C3C" w:rsidP="005F21D0">
            <w:pPr>
              <w:spacing w:before="0" w:after="0" w:line="276" w:lineRule="auto"/>
              <w:jc w:val="left"/>
              <w:rPr>
                <w:color w:val="000000"/>
                <w:szCs w:val="24"/>
                <w:lang w:val="en-US"/>
              </w:rPr>
            </w:pPr>
            <w:r w:rsidRPr="005F21D0">
              <w:rPr>
                <w:color w:val="000000"/>
                <w:lang w:val="en-US"/>
              </w:rPr>
              <w:t>Indicator</w:t>
            </w:r>
            <w:r w:rsidR="005F21D0">
              <w:rPr>
                <w:color w:val="000000"/>
                <w:lang w:val="en-US"/>
              </w:rPr>
              <w:t xml:space="preserve"> de realizare</w:t>
            </w:r>
          </w:p>
        </w:tc>
        <w:tc>
          <w:tcPr>
            <w:tcW w:w="8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5F21D0" w:rsidRDefault="0030358B" w:rsidP="005F21D0">
            <w:pPr>
              <w:suppressAutoHyphens/>
              <w:autoSpaceDN w:val="0"/>
              <w:spacing w:before="0" w:after="0" w:line="276" w:lineRule="auto"/>
              <w:jc w:val="left"/>
              <w:rPr>
                <w:rFonts w:eastAsia="Times New Roman"/>
                <w:szCs w:val="24"/>
                <w:lang w:val="en-US"/>
              </w:rPr>
            </w:pPr>
            <w:r>
              <w:rPr>
                <w:rFonts w:eastAsia="Times New Roman"/>
                <w:szCs w:val="24"/>
                <w:lang w:val="en-US"/>
              </w:rPr>
              <w:t>8e.1</w:t>
            </w:r>
          </w:p>
        </w:tc>
        <w:tc>
          <w:tcPr>
            <w:tcW w:w="2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5F21D0" w:rsidRDefault="005F21D0" w:rsidP="005F21D0">
            <w:pPr>
              <w:jc w:val="left"/>
              <w:rPr>
                <w:lang w:val="ro-RO"/>
              </w:rPr>
            </w:pPr>
            <w:r w:rsidRPr="008F648D">
              <w:rPr>
                <w:lang w:val="ro-RO"/>
              </w:rPr>
              <w:t>Numărul de inițiative (instruiri, scheme educa</w:t>
            </w:r>
            <w:r>
              <w:rPr>
                <w:lang w:val="ro-RO"/>
              </w:rPr>
              <w:t>ț</w:t>
            </w:r>
            <w:r w:rsidRPr="008F648D">
              <w:rPr>
                <w:lang w:val="ro-RO"/>
              </w:rPr>
              <w:t>ionale, domenii pe internet, acorduri, re</w:t>
            </w:r>
            <w:r>
              <w:rPr>
                <w:lang w:val="ro-RO"/>
              </w:rPr>
              <w:t>ț</w:t>
            </w:r>
            <w:r w:rsidRPr="008F648D">
              <w:rPr>
                <w:lang w:val="ro-RO"/>
              </w:rPr>
              <w:t>ele, oferte de munc</w:t>
            </w:r>
            <w:r>
              <w:rPr>
                <w:lang w:val="ro-RO"/>
              </w:rPr>
              <w:t>ă</w:t>
            </w:r>
            <w:r w:rsidRPr="008F648D">
              <w:rPr>
                <w:lang w:val="ro-RO"/>
              </w:rPr>
              <w:t xml:space="preserve">, </w:t>
            </w:r>
            <w:r>
              <w:rPr>
                <w:lang w:val="ro-RO"/>
              </w:rPr>
              <w:t>etc) care activează mobilitatea forței de muncăîn zona transfrontalieră</w:t>
            </w:r>
          </w:p>
        </w:tc>
        <w:tc>
          <w:tcPr>
            <w:tcW w:w="1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5F21D0" w:rsidRDefault="005F21D0" w:rsidP="005F21D0">
            <w:pPr>
              <w:spacing w:before="0" w:after="0" w:line="276" w:lineRule="auto"/>
              <w:jc w:val="left"/>
              <w:rPr>
                <w:color w:val="000000"/>
                <w:szCs w:val="24"/>
                <w:lang w:val="en-US"/>
              </w:rPr>
            </w:pPr>
            <w:r>
              <w:rPr>
                <w:color w:val="000000"/>
                <w:lang w:val="en-US"/>
              </w:rPr>
              <w:t>Număr</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5F21D0" w:rsidRDefault="00BB505A" w:rsidP="005F21D0">
            <w:pPr>
              <w:spacing w:before="0" w:after="0" w:line="276" w:lineRule="auto"/>
              <w:jc w:val="left"/>
              <w:rPr>
                <w:color w:val="000000"/>
                <w:szCs w:val="24"/>
                <w:lang w:val="en-US"/>
              </w:rPr>
            </w:pPr>
            <w:r w:rsidRPr="005F21D0">
              <w:rPr>
                <w:color w:val="000000"/>
                <w:lang w:val="en-US"/>
              </w:rPr>
              <w:t>10</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5F21D0" w:rsidRDefault="00467C3C" w:rsidP="005F21D0">
            <w:pPr>
              <w:spacing w:before="0" w:after="0" w:line="276" w:lineRule="auto"/>
              <w:jc w:val="left"/>
              <w:rPr>
                <w:color w:val="000000"/>
                <w:szCs w:val="24"/>
                <w:lang w:val="en-US"/>
              </w:rPr>
            </w:pPr>
            <w:r w:rsidRPr="005F21D0">
              <w:rPr>
                <w:color w:val="000000"/>
                <w:lang w:val="en-US"/>
              </w:rPr>
              <w:t>50</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F21D0" w:rsidRDefault="005F21D0" w:rsidP="005F21D0">
            <w:pPr>
              <w:spacing w:before="0" w:after="0"/>
              <w:jc w:val="left"/>
              <w:rPr>
                <w:b/>
                <w:bCs/>
                <w:szCs w:val="26"/>
                <w:lang w:val="fr-FR"/>
              </w:rPr>
            </w:pPr>
            <w:r w:rsidRPr="00461E3D">
              <w:rPr>
                <w:color w:val="000000"/>
                <w:szCs w:val="24"/>
              </w:rPr>
              <w:t>Rapoarte de</w:t>
            </w:r>
            <w:r w:rsidR="00727B4D">
              <w:rPr>
                <w:color w:val="000000"/>
                <w:szCs w:val="24"/>
              </w:rPr>
              <w:t xml:space="preserve"> </w:t>
            </w:r>
            <w:r w:rsidRPr="00461E3D">
              <w:rPr>
                <w:color w:val="000000"/>
                <w:szCs w:val="24"/>
              </w:rPr>
              <w:t>monitorizare</w:t>
            </w:r>
          </w:p>
          <w:p w:rsidR="00467C3C" w:rsidRPr="005F21D0" w:rsidRDefault="00467C3C" w:rsidP="005F21D0">
            <w:pPr>
              <w:spacing w:before="0" w:after="0" w:line="276" w:lineRule="auto"/>
              <w:jc w:val="left"/>
              <w:rPr>
                <w:color w:val="000000"/>
                <w:szCs w:val="24"/>
                <w:lang w:val="en-US"/>
              </w:rPr>
            </w:pP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5F21D0" w:rsidRDefault="00467C3C" w:rsidP="005F21D0">
            <w:pPr>
              <w:spacing w:before="0" w:after="0" w:line="276" w:lineRule="auto"/>
              <w:jc w:val="left"/>
              <w:rPr>
                <w:color w:val="000000"/>
                <w:szCs w:val="24"/>
                <w:lang w:val="en-US"/>
              </w:rPr>
            </w:pPr>
          </w:p>
        </w:tc>
      </w:tr>
      <w:tr w:rsidR="00467C3C" w:rsidRPr="000B7282" w:rsidTr="005F21D0">
        <w:trPr>
          <w:jc w:val="center"/>
        </w:trPr>
        <w:tc>
          <w:tcPr>
            <w:tcW w:w="11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5F21D0" w:rsidRDefault="00467C3C" w:rsidP="005F21D0">
            <w:pPr>
              <w:suppressAutoHyphens/>
              <w:autoSpaceDN w:val="0"/>
              <w:spacing w:before="0" w:after="0" w:line="276" w:lineRule="auto"/>
              <w:jc w:val="left"/>
              <w:rPr>
                <w:rFonts w:eastAsia="Times New Roman"/>
                <w:szCs w:val="24"/>
                <w:lang w:val="en-US"/>
              </w:rPr>
            </w:pPr>
            <w:r w:rsidRPr="005F21D0">
              <w:rPr>
                <w:rFonts w:eastAsia="Times New Roman"/>
                <w:szCs w:val="24"/>
                <w:lang w:val="en-US"/>
              </w:rPr>
              <w:t>4</w:t>
            </w:r>
          </w:p>
        </w:tc>
        <w:tc>
          <w:tcPr>
            <w:tcW w:w="1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5F21D0" w:rsidRDefault="005F21D0" w:rsidP="005F21D0">
            <w:pPr>
              <w:spacing w:before="0" w:after="0" w:line="276" w:lineRule="auto"/>
              <w:jc w:val="left"/>
              <w:rPr>
                <w:color w:val="000000"/>
                <w:szCs w:val="24"/>
                <w:lang w:val="en-US"/>
              </w:rPr>
            </w:pPr>
            <w:r>
              <w:rPr>
                <w:color w:val="000000"/>
                <w:lang w:val="en-US"/>
              </w:rPr>
              <w:t>I</w:t>
            </w:r>
            <w:r w:rsidR="00467C3C" w:rsidRPr="005F21D0">
              <w:rPr>
                <w:color w:val="000000"/>
                <w:lang w:val="en-US"/>
              </w:rPr>
              <w:t>ndicator</w:t>
            </w:r>
            <w:r>
              <w:rPr>
                <w:color w:val="000000"/>
                <w:lang w:val="en-US"/>
              </w:rPr>
              <w:t xml:space="preserve"> financiar</w:t>
            </w:r>
          </w:p>
        </w:tc>
        <w:tc>
          <w:tcPr>
            <w:tcW w:w="8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5F21D0" w:rsidRDefault="0030358B" w:rsidP="005F21D0">
            <w:pPr>
              <w:suppressAutoHyphens/>
              <w:autoSpaceDN w:val="0"/>
              <w:spacing w:before="0" w:after="0" w:line="276" w:lineRule="auto"/>
              <w:jc w:val="left"/>
              <w:rPr>
                <w:rFonts w:eastAsia="Times New Roman"/>
                <w:szCs w:val="24"/>
                <w:lang w:val="en-US"/>
              </w:rPr>
            </w:pPr>
            <w:r>
              <w:rPr>
                <w:rFonts w:eastAsia="Times New Roman"/>
                <w:szCs w:val="24"/>
                <w:lang w:val="en-US"/>
              </w:rPr>
              <w:t>4F1</w:t>
            </w:r>
          </w:p>
        </w:tc>
        <w:tc>
          <w:tcPr>
            <w:tcW w:w="2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5F21D0" w:rsidRDefault="005F21D0" w:rsidP="005F21D0">
            <w:pPr>
              <w:spacing w:before="0" w:after="0" w:line="276" w:lineRule="auto"/>
              <w:jc w:val="left"/>
              <w:rPr>
                <w:color w:val="000000"/>
                <w:szCs w:val="24"/>
                <w:lang w:val="en-US"/>
              </w:rPr>
            </w:pPr>
            <w:r>
              <w:rPr>
                <w:color w:val="000000"/>
                <w:lang w:val="en-US"/>
              </w:rPr>
              <w:t>Cheltuieli</w:t>
            </w:r>
            <w:r w:rsidR="0022587E">
              <w:rPr>
                <w:color w:val="000000"/>
                <w:lang w:val="en-US"/>
              </w:rPr>
              <w:t xml:space="preserve"> (Certificate)</w:t>
            </w:r>
          </w:p>
        </w:tc>
        <w:tc>
          <w:tcPr>
            <w:tcW w:w="1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5F21D0" w:rsidRDefault="00467C3C" w:rsidP="005F21D0">
            <w:pPr>
              <w:spacing w:before="0" w:after="0" w:line="276" w:lineRule="auto"/>
              <w:jc w:val="left"/>
              <w:rPr>
                <w:color w:val="000000"/>
                <w:szCs w:val="24"/>
                <w:lang w:val="en-US"/>
              </w:rPr>
            </w:pPr>
            <w:r w:rsidRPr="005F21D0">
              <w:rPr>
                <w:color w:val="000000"/>
                <w:lang w:val="en-US"/>
              </w:rPr>
              <w:t>EUR</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5F21D0" w:rsidRDefault="00467C3C" w:rsidP="005F21D0">
            <w:pPr>
              <w:spacing w:before="0" w:after="0" w:line="276" w:lineRule="auto"/>
              <w:jc w:val="left"/>
              <w:rPr>
                <w:color w:val="000000"/>
                <w:szCs w:val="24"/>
                <w:lang w:val="en-US"/>
              </w:rPr>
            </w:pPr>
            <w:r w:rsidRPr="005F21D0">
              <w:rPr>
                <w:color w:val="000000"/>
                <w:lang w:val="en-US"/>
              </w:rPr>
              <w:t>1 000 000</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5F21D0" w:rsidRDefault="00467C3C" w:rsidP="005F21D0">
            <w:pPr>
              <w:spacing w:before="0" w:after="0" w:line="276" w:lineRule="auto"/>
              <w:jc w:val="left"/>
              <w:rPr>
                <w:color w:val="000000"/>
                <w:szCs w:val="24"/>
                <w:lang w:val="en-US"/>
              </w:rPr>
            </w:pPr>
            <w:r w:rsidRPr="005F21D0">
              <w:rPr>
                <w:color w:val="000000"/>
                <w:lang w:val="en-US"/>
              </w:rPr>
              <w:t xml:space="preserve">14 </w:t>
            </w:r>
            <w:r w:rsidR="00593C32" w:rsidRPr="005F21D0">
              <w:rPr>
                <w:color w:val="000000"/>
                <w:lang w:val="en-US"/>
              </w:rPr>
              <w:t>000 000</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5F21D0" w:rsidRDefault="005F21D0" w:rsidP="005F21D0">
            <w:pPr>
              <w:spacing w:before="0" w:after="0" w:line="276" w:lineRule="auto"/>
              <w:jc w:val="left"/>
              <w:rPr>
                <w:color w:val="000000"/>
                <w:szCs w:val="24"/>
                <w:lang w:val="en-US"/>
              </w:rPr>
            </w:pPr>
            <w:r>
              <w:rPr>
                <w:color w:val="000000"/>
                <w:lang w:val="en-US"/>
              </w:rPr>
              <w:t>Cereri de plată</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B549BA" w:rsidRDefault="00467C3C" w:rsidP="005F21D0">
            <w:pPr>
              <w:spacing w:before="0" w:after="0" w:line="276" w:lineRule="auto"/>
              <w:jc w:val="left"/>
              <w:rPr>
                <w:color w:val="000000"/>
                <w:szCs w:val="24"/>
                <w:lang w:val="en-US"/>
              </w:rPr>
            </w:pPr>
          </w:p>
        </w:tc>
      </w:tr>
    </w:tbl>
    <w:p w:rsidR="00725EE4" w:rsidRPr="0070649D" w:rsidRDefault="00725EE4" w:rsidP="00725EE4">
      <w:pPr>
        <w:spacing w:before="0" w:after="0" w:line="276" w:lineRule="auto"/>
        <w:jc w:val="left"/>
        <w:rPr>
          <w:rFonts w:eastAsia="Times New Roman"/>
          <w:b/>
          <w:lang w:val="en-US"/>
        </w:rPr>
        <w:sectPr w:rsidR="00725EE4" w:rsidRPr="0070649D" w:rsidSect="009139B4">
          <w:pgSz w:w="16838" w:h="11906" w:orient="landscape"/>
          <w:pgMar w:top="1418" w:right="1021" w:bottom="1418" w:left="1021" w:header="601" w:footer="1077" w:gutter="0"/>
          <w:cols w:space="720"/>
          <w:docGrid w:linePitch="326"/>
        </w:sectPr>
      </w:pPr>
    </w:p>
    <w:p w:rsidR="004D5CFB" w:rsidRPr="005F21D0" w:rsidRDefault="004D5CFB" w:rsidP="00BB60A1">
      <w:pPr>
        <w:pStyle w:val="Heading2"/>
        <w:rPr>
          <w:highlight w:val="red"/>
          <w:lang w:val="fr-FR"/>
        </w:rPr>
      </w:pPr>
      <w:bookmarkStart w:id="121" w:name="_Toc394837842"/>
      <w:proofErr w:type="gramStart"/>
      <w:r w:rsidRPr="00A77C97">
        <w:rPr>
          <w:lang w:val="fr-FR"/>
        </w:rPr>
        <w:lastRenderedPageBreak/>
        <w:t>2.A.1</w:t>
      </w:r>
      <w:proofErr w:type="gramEnd"/>
      <w:r w:rsidRPr="00A77C97">
        <w:rPr>
          <w:lang w:val="fr-FR"/>
        </w:rPr>
        <w:t xml:space="preserve">. </w:t>
      </w:r>
      <w:r w:rsidR="005F21D0" w:rsidRPr="005F21D0">
        <w:rPr>
          <w:lang w:val="fr-FR"/>
        </w:rPr>
        <w:t>Axa prioritară (se repetă pentru fiecare axă prioritară)</w:t>
      </w:r>
      <w:bookmarkEnd w:id="1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4D5CFB" w:rsidRPr="00A158A9" w:rsidTr="004D5CFB">
        <w:trPr>
          <w:jc w:val="center"/>
        </w:trPr>
        <w:tc>
          <w:tcPr>
            <w:tcW w:w="9210" w:type="dxa"/>
          </w:tcPr>
          <w:p w:rsidR="004D5CFB" w:rsidRPr="006F7519" w:rsidRDefault="005F21D0" w:rsidP="005F21D0">
            <w:pPr>
              <w:pStyle w:val="Heading4"/>
              <w:rPr>
                <w:lang w:val="it-IT"/>
              </w:rPr>
            </w:pPr>
            <w:bookmarkStart w:id="122" w:name="_Toc394837843"/>
            <w:r w:rsidRPr="006F7519">
              <w:rPr>
                <w:lang w:val="it-IT"/>
              </w:rPr>
              <w:t xml:space="preserve">Axa prioritară </w:t>
            </w:r>
            <w:r w:rsidR="004D5CFB" w:rsidRPr="006F7519">
              <w:rPr>
                <w:lang w:val="it-IT"/>
              </w:rPr>
              <w:t xml:space="preserve">5: </w:t>
            </w:r>
            <w:r w:rsidRPr="006F7519">
              <w:rPr>
                <w:lang w:val="it-IT"/>
              </w:rPr>
              <w:t>O regiune eficientă</w:t>
            </w:r>
            <w:bookmarkEnd w:id="122"/>
          </w:p>
        </w:tc>
      </w:tr>
    </w:tbl>
    <w:p w:rsidR="004D5CFB" w:rsidRPr="006F7519" w:rsidRDefault="004D5CFB" w:rsidP="004D5CFB">
      <w:pPr>
        <w:spacing w:after="240" w:line="276" w:lineRule="auto"/>
        <w:rPr>
          <w:szCs w:val="24"/>
          <w:highlight w:val="red"/>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7"/>
      </w:tblGrid>
      <w:tr w:rsidR="004D5CFB" w:rsidRPr="00A158A9" w:rsidTr="00AC796F">
        <w:trPr>
          <w:jc w:val="center"/>
        </w:trPr>
        <w:tc>
          <w:tcPr>
            <w:tcW w:w="7937" w:type="dxa"/>
            <w:tcBorders>
              <w:top w:val="single" w:sz="4" w:space="0" w:color="auto"/>
              <w:left w:val="single" w:sz="4" w:space="0" w:color="auto"/>
              <w:bottom w:val="single" w:sz="4" w:space="0" w:color="auto"/>
              <w:right w:val="single" w:sz="4" w:space="0" w:color="auto"/>
            </w:tcBorders>
            <w:hideMark/>
          </w:tcPr>
          <w:p w:rsidR="004D5CFB" w:rsidRPr="005F21D0" w:rsidRDefault="00FF412A" w:rsidP="005F21D0">
            <w:pPr>
              <w:suppressAutoHyphens/>
              <w:autoSpaceDN w:val="0"/>
              <w:spacing w:after="240" w:line="276" w:lineRule="auto"/>
              <w:ind w:left="480" w:hanging="480"/>
              <w:rPr>
                <w:rFonts w:eastAsia="Times New Roman"/>
                <w:szCs w:val="24"/>
                <w:lang w:val="fr-FR"/>
              </w:rPr>
            </w:pPr>
            <w:r w:rsidRPr="005F21D0">
              <w:rPr>
                <w:rFonts w:eastAsia="Times New Roman"/>
                <w:szCs w:val="24"/>
                <w:lang w:val="en-US"/>
              </w:rPr>
              <w:fldChar w:fldCharType="begin">
                <w:ffData>
                  <w:name w:val="Check1"/>
                  <w:enabled/>
                  <w:calcOnExit w:val="0"/>
                  <w:checkBox>
                    <w:sizeAuto/>
                    <w:default w:val="0"/>
                  </w:checkBox>
                </w:ffData>
              </w:fldChar>
            </w:r>
            <w:r w:rsidR="00C12B77" w:rsidRPr="005F21D0">
              <w:rPr>
                <w:rFonts w:eastAsia="Times New Roman"/>
                <w:szCs w:val="24"/>
                <w:lang w:val="fr-FR"/>
              </w:rPr>
              <w:instrText xml:space="preserve"> FORMCHECKBOX </w:instrText>
            </w:r>
            <w:r w:rsidR="006D5DA0">
              <w:rPr>
                <w:rFonts w:eastAsia="Times New Roman"/>
                <w:szCs w:val="24"/>
                <w:lang w:val="en-US"/>
              </w:rPr>
            </w:r>
            <w:r w:rsidR="006D5DA0">
              <w:rPr>
                <w:rFonts w:eastAsia="Times New Roman"/>
                <w:szCs w:val="24"/>
                <w:lang w:val="en-US"/>
              </w:rPr>
              <w:fldChar w:fldCharType="separate"/>
            </w:r>
            <w:r w:rsidRPr="005F21D0">
              <w:rPr>
                <w:rFonts w:eastAsia="Times New Roman"/>
                <w:szCs w:val="24"/>
                <w:lang w:val="en-US"/>
              </w:rPr>
              <w:fldChar w:fldCharType="end"/>
            </w:r>
            <w:r w:rsidR="004D5CFB" w:rsidRPr="005F21D0">
              <w:rPr>
                <w:rFonts w:eastAsia="Times New Roman"/>
                <w:szCs w:val="24"/>
                <w:lang w:val="fr-FR"/>
              </w:rPr>
              <w:tab/>
            </w:r>
            <w:r w:rsidR="005F21D0" w:rsidRPr="005F21D0">
              <w:rPr>
                <w:rFonts w:eastAsia="Times New Roman"/>
                <w:szCs w:val="24"/>
                <w:lang w:val="fr-FR"/>
              </w:rPr>
              <w:t>Întreaga axă prioritară se va implementa exclusiv prin instrumente financiare</w:t>
            </w:r>
          </w:p>
        </w:tc>
      </w:tr>
      <w:tr w:rsidR="004D5CFB" w:rsidRPr="00A158A9" w:rsidTr="00AC796F">
        <w:trPr>
          <w:jc w:val="center"/>
        </w:trPr>
        <w:tc>
          <w:tcPr>
            <w:tcW w:w="7937" w:type="dxa"/>
            <w:tcBorders>
              <w:top w:val="single" w:sz="4" w:space="0" w:color="auto"/>
              <w:left w:val="single" w:sz="4" w:space="0" w:color="auto"/>
              <w:bottom w:val="single" w:sz="4" w:space="0" w:color="auto"/>
              <w:right w:val="single" w:sz="4" w:space="0" w:color="auto"/>
            </w:tcBorders>
            <w:hideMark/>
          </w:tcPr>
          <w:p w:rsidR="004D5CFB" w:rsidRPr="005F21D0" w:rsidRDefault="006D5DA0" w:rsidP="005F21D0">
            <w:pPr>
              <w:tabs>
                <w:tab w:val="left" w:pos="2302"/>
              </w:tabs>
              <w:suppressAutoHyphens/>
              <w:autoSpaceDN w:val="0"/>
              <w:spacing w:after="240" w:line="276" w:lineRule="auto"/>
              <w:ind w:left="480" w:hanging="480"/>
              <w:rPr>
                <w:rFonts w:eastAsia="Times New Roman"/>
                <w:szCs w:val="24"/>
                <w:lang w:val="fr-FR"/>
              </w:rPr>
            </w:pPr>
            <w:r>
              <w:rPr>
                <w:szCs w:val="24"/>
                <w:lang w:val="en-US"/>
              </w:rPr>
              <w:fldChar w:fldCharType="begin">
                <w:ffData>
                  <w:name w:val=""/>
                  <w:enabled/>
                  <w:calcOnExit w:val="0"/>
                  <w:checkBox>
                    <w:sizeAuto/>
                    <w:default w:val="0"/>
                  </w:checkBox>
                </w:ffData>
              </w:fldChar>
            </w:r>
            <w:r>
              <w:rPr>
                <w:szCs w:val="24"/>
                <w:lang w:val="en-US"/>
              </w:rPr>
              <w:instrText xml:space="preserve"> FORMCHECKBOX </w:instrText>
            </w:r>
            <w:r>
              <w:rPr>
                <w:szCs w:val="24"/>
                <w:lang w:val="en-US"/>
              </w:rPr>
            </w:r>
            <w:r>
              <w:rPr>
                <w:szCs w:val="24"/>
                <w:lang w:val="en-US"/>
              </w:rPr>
              <w:fldChar w:fldCharType="end"/>
            </w:r>
            <w:r w:rsidR="004D5CFB" w:rsidRPr="005F21D0">
              <w:rPr>
                <w:rFonts w:eastAsia="Times New Roman"/>
                <w:szCs w:val="24"/>
                <w:lang w:val="fr-FR"/>
              </w:rPr>
              <w:tab/>
            </w:r>
            <w:r w:rsidR="005F21D0" w:rsidRPr="005F21D0">
              <w:rPr>
                <w:rFonts w:eastAsia="Times New Roman"/>
                <w:szCs w:val="24"/>
                <w:lang w:val="fr-FR"/>
              </w:rPr>
              <w:t>Întreaga axă prioritară se va implementa exclusiv prin instrumente financiare stabilite la nivelul Uniunii</w:t>
            </w:r>
          </w:p>
        </w:tc>
      </w:tr>
      <w:tr w:rsidR="004D5CFB" w:rsidRPr="00A158A9" w:rsidTr="00AC796F">
        <w:trPr>
          <w:jc w:val="center"/>
        </w:trPr>
        <w:tc>
          <w:tcPr>
            <w:tcW w:w="7937" w:type="dxa"/>
            <w:tcBorders>
              <w:top w:val="single" w:sz="4" w:space="0" w:color="auto"/>
              <w:left w:val="single" w:sz="4" w:space="0" w:color="auto"/>
              <w:bottom w:val="single" w:sz="4" w:space="0" w:color="auto"/>
              <w:right w:val="single" w:sz="4" w:space="0" w:color="auto"/>
            </w:tcBorders>
            <w:hideMark/>
          </w:tcPr>
          <w:p w:rsidR="004D5CFB" w:rsidRPr="005F21D0" w:rsidRDefault="00FF412A" w:rsidP="005F21D0">
            <w:pPr>
              <w:tabs>
                <w:tab w:val="left" w:pos="2302"/>
              </w:tabs>
              <w:suppressAutoHyphens/>
              <w:autoSpaceDN w:val="0"/>
              <w:spacing w:after="240" w:line="276" w:lineRule="auto"/>
              <w:ind w:left="480" w:hanging="480"/>
              <w:rPr>
                <w:rFonts w:eastAsia="Times New Roman"/>
                <w:szCs w:val="24"/>
                <w:lang w:val="fr-FR"/>
              </w:rPr>
            </w:pPr>
            <w:r w:rsidRPr="005F21D0">
              <w:rPr>
                <w:rFonts w:eastAsia="Times New Roman"/>
                <w:szCs w:val="24"/>
                <w:lang w:val="en-US"/>
              </w:rPr>
              <w:fldChar w:fldCharType="begin">
                <w:ffData>
                  <w:name w:val="Check3"/>
                  <w:enabled/>
                  <w:calcOnExit w:val="0"/>
                  <w:checkBox>
                    <w:sizeAuto/>
                    <w:default w:val="0"/>
                  </w:checkBox>
                </w:ffData>
              </w:fldChar>
            </w:r>
            <w:r w:rsidR="00C12B77" w:rsidRPr="005F21D0">
              <w:rPr>
                <w:rFonts w:eastAsia="Times New Roman"/>
                <w:szCs w:val="24"/>
                <w:lang w:val="fr-FR"/>
              </w:rPr>
              <w:instrText xml:space="preserve"> FORMCHECKBOX </w:instrText>
            </w:r>
            <w:r w:rsidR="006D5DA0">
              <w:rPr>
                <w:rFonts w:eastAsia="Times New Roman"/>
                <w:szCs w:val="24"/>
                <w:lang w:val="en-US"/>
              </w:rPr>
            </w:r>
            <w:r w:rsidR="006D5DA0">
              <w:rPr>
                <w:rFonts w:eastAsia="Times New Roman"/>
                <w:szCs w:val="24"/>
                <w:lang w:val="en-US"/>
              </w:rPr>
              <w:fldChar w:fldCharType="separate"/>
            </w:r>
            <w:r w:rsidRPr="005F21D0">
              <w:rPr>
                <w:rFonts w:eastAsia="Times New Roman"/>
                <w:szCs w:val="24"/>
                <w:lang w:val="en-US"/>
              </w:rPr>
              <w:fldChar w:fldCharType="end"/>
            </w:r>
            <w:r w:rsidR="004D5CFB" w:rsidRPr="005F21D0">
              <w:rPr>
                <w:rFonts w:eastAsia="Times New Roman"/>
                <w:szCs w:val="24"/>
                <w:lang w:val="fr-FR"/>
              </w:rPr>
              <w:tab/>
            </w:r>
            <w:r w:rsidR="005F21D0" w:rsidRPr="005F21D0">
              <w:rPr>
                <w:rFonts w:eastAsia="Times New Roman"/>
                <w:szCs w:val="24"/>
                <w:lang w:val="fr-FR"/>
              </w:rPr>
              <w:t>Întreaga axă prioritară se va implementa prin dezvoltare locală plasată sub responsabilitatea comunității</w:t>
            </w:r>
          </w:p>
        </w:tc>
      </w:tr>
    </w:tbl>
    <w:p w:rsidR="00BB60A1" w:rsidRPr="005F21D0" w:rsidRDefault="00BB60A1" w:rsidP="00BB60A1">
      <w:pPr>
        <w:pStyle w:val="Heading2"/>
        <w:rPr>
          <w:highlight w:val="red"/>
          <w:lang w:val="fr-FR"/>
        </w:rPr>
      </w:pPr>
    </w:p>
    <w:p w:rsidR="004D5CFB" w:rsidRPr="00A65597" w:rsidRDefault="004D5CFB" w:rsidP="00BB60A1">
      <w:pPr>
        <w:pStyle w:val="Heading2"/>
        <w:rPr>
          <w:lang w:val="fr-FR"/>
        </w:rPr>
      </w:pPr>
      <w:bookmarkStart w:id="123" w:name="_Toc394837844"/>
      <w:proofErr w:type="gramStart"/>
      <w:r w:rsidRPr="00A77C97">
        <w:rPr>
          <w:lang w:val="fr-FR"/>
        </w:rPr>
        <w:t>2.A.2</w:t>
      </w:r>
      <w:proofErr w:type="gramEnd"/>
      <w:r w:rsidRPr="00A77C97">
        <w:rPr>
          <w:lang w:val="fr-FR"/>
        </w:rPr>
        <w:t xml:space="preserve">. </w:t>
      </w:r>
      <w:r w:rsidR="00A65597" w:rsidRPr="00A65597">
        <w:rPr>
          <w:lang w:val="fr-FR"/>
        </w:rPr>
        <w:t>Justificarea stabilirii unei axe prioritare care acoperă mai mult de un obiectiv tematic (dacă este cazul)</w:t>
      </w:r>
      <w:bookmarkEnd w:id="123"/>
    </w:p>
    <w:tbl>
      <w:tblPr>
        <w:tblW w:w="9293" w:type="dxa"/>
        <w:jc w:val="center"/>
        <w:tblCellMar>
          <w:left w:w="10" w:type="dxa"/>
          <w:right w:w="10" w:type="dxa"/>
        </w:tblCellMar>
        <w:tblLook w:val="04A0" w:firstRow="1" w:lastRow="0" w:firstColumn="1" w:lastColumn="0" w:noHBand="0" w:noVBand="1"/>
      </w:tblPr>
      <w:tblGrid>
        <w:gridCol w:w="9293"/>
      </w:tblGrid>
      <w:tr w:rsidR="004D5CFB" w:rsidRPr="005F21D0" w:rsidTr="00AC796F">
        <w:trPr>
          <w:jc w:val="center"/>
        </w:trPr>
        <w:tc>
          <w:tcPr>
            <w:tcW w:w="9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5CFB" w:rsidRPr="005F21D0" w:rsidRDefault="00A65597" w:rsidP="00AC796F">
            <w:pPr>
              <w:tabs>
                <w:tab w:val="left" w:pos="1787"/>
              </w:tabs>
              <w:suppressAutoHyphens/>
              <w:autoSpaceDN w:val="0"/>
              <w:spacing w:line="276" w:lineRule="auto"/>
              <w:rPr>
                <w:szCs w:val="24"/>
                <w:lang w:val="en-US"/>
              </w:rPr>
            </w:pPr>
            <w:r>
              <w:rPr>
                <w:szCs w:val="24"/>
                <w:lang w:val="en-US"/>
              </w:rPr>
              <w:t>Nu se aplică</w:t>
            </w:r>
          </w:p>
        </w:tc>
      </w:tr>
    </w:tbl>
    <w:p w:rsidR="00BB60A1" w:rsidRPr="005F21D0" w:rsidRDefault="00BB60A1" w:rsidP="00BB60A1">
      <w:pPr>
        <w:pStyle w:val="Heading2"/>
        <w:rPr>
          <w:lang w:val="en-US"/>
        </w:rPr>
      </w:pPr>
    </w:p>
    <w:p w:rsidR="004D5CFB" w:rsidRPr="00A65597" w:rsidRDefault="004D5CFB" w:rsidP="00BB60A1">
      <w:pPr>
        <w:pStyle w:val="Heading2"/>
        <w:rPr>
          <w:lang w:val="fr-FR"/>
        </w:rPr>
      </w:pPr>
      <w:bookmarkStart w:id="124" w:name="_Toc394837845"/>
      <w:proofErr w:type="gramStart"/>
      <w:r w:rsidRPr="00A77C97">
        <w:rPr>
          <w:lang w:val="fr-FR"/>
        </w:rPr>
        <w:t>2.A.3</w:t>
      </w:r>
      <w:proofErr w:type="gramEnd"/>
      <w:r w:rsidRPr="00A77C97">
        <w:rPr>
          <w:lang w:val="fr-FR"/>
        </w:rPr>
        <w:t xml:space="preserve">. </w:t>
      </w:r>
      <w:r w:rsidR="00A65597" w:rsidRPr="00A65597">
        <w:rPr>
          <w:lang w:val="fr-FR"/>
        </w:rPr>
        <w:t>Fondul și baza de calcul pentru sprijinul Uniunii</w:t>
      </w:r>
      <w:bookmarkEnd w:id="124"/>
    </w:p>
    <w:p w:rsidR="00BB60A1" w:rsidRPr="00A65597" w:rsidRDefault="00BB60A1" w:rsidP="00BB60A1">
      <w:pPr>
        <w:rPr>
          <w:highlight w:val="red"/>
          <w:lang w:val="fr-FR"/>
        </w:rPr>
      </w:pPr>
    </w:p>
    <w:tbl>
      <w:tblPr>
        <w:tblW w:w="7032" w:type="dxa"/>
        <w:jc w:val="center"/>
        <w:tblCellMar>
          <w:left w:w="10" w:type="dxa"/>
          <w:right w:w="10" w:type="dxa"/>
        </w:tblCellMar>
        <w:tblLook w:val="04A0" w:firstRow="1" w:lastRow="0" w:firstColumn="1" w:lastColumn="0" w:noHBand="0" w:noVBand="1"/>
      </w:tblPr>
      <w:tblGrid>
        <w:gridCol w:w="2070"/>
        <w:gridCol w:w="4962"/>
      </w:tblGrid>
      <w:tr w:rsidR="004D5CFB" w:rsidRPr="00A65597" w:rsidTr="00AC796F">
        <w:trPr>
          <w:jc w:val="center"/>
        </w:trPr>
        <w:tc>
          <w:tcPr>
            <w:tcW w:w="2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5CFB" w:rsidRPr="00A65597" w:rsidRDefault="00A65597" w:rsidP="00EF614F">
            <w:pPr>
              <w:suppressAutoHyphens/>
              <w:autoSpaceDN w:val="0"/>
              <w:spacing w:before="0" w:after="0" w:line="276" w:lineRule="auto"/>
              <w:rPr>
                <w:rFonts w:eastAsia="Times New Roman"/>
                <w:i/>
                <w:szCs w:val="24"/>
                <w:lang w:val="en-US"/>
              </w:rPr>
            </w:pPr>
            <w:r>
              <w:rPr>
                <w:rFonts w:eastAsia="Times New Roman"/>
                <w:i/>
                <w:szCs w:val="24"/>
                <w:lang w:val="en-US"/>
              </w:rPr>
              <w:t>Fo</w:t>
            </w:r>
            <w:r w:rsidR="004D5CFB" w:rsidRPr="00A65597">
              <w:rPr>
                <w:rFonts w:eastAsia="Times New Roman"/>
                <w:i/>
                <w:szCs w:val="24"/>
                <w:lang w:val="en-US"/>
              </w:rPr>
              <w:t>nd</w:t>
            </w: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5CFB" w:rsidRPr="00A65597" w:rsidRDefault="00EF614F" w:rsidP="00EF614F">
            <w:pPr>
              <w:suppressAutoHyphens/>
              <w:autoSpaceDN w:val="0"/>
              <w:spacing w:before="0" w:after="0" w:line="276" w:lineRule="auto"/>
              <w:rPr>
                <w:rFonts w:eastAsia="Times New Roman"/>
                <w:i/>
                <w:szCs w:val="24"/>
                <w:lang w:val="en-US"/>
              </w:rPr>
            </w:pPr>
            <w:r>
              <w:rPr>
                <w:rFonts w:eastAsia="Times New Roman"/>
                <w:i/>
                <w:szCs w:val="24"/>
                <w:lang w:val="en-US"/>
              </w:rPr>
              <w:t>FEDR</w:t>
            </w:r>
          </w:p>
        </w:tc>
      </w:tr>
      <w:tr w:rsidR="004D5CFB" w:rsidRPr="003E68C7" w:rsidTr="00AC796F">
        <w:trPr>
          <w:jc w:val="center"/>
        </w:trPr>
        <w:tc>
          <w:tcPr>
            <w:tcW w:w="2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5CFB" w:rsidRPr="006F7519" w:rsidRDefault="00A65597" w:rsidP="00EF614F">
            <w:pPr>
              <w:suppressAutoHyphens/>
              <w:autoSpaceDN w:val="0"/>
              <w:spacing w:before="0" w:after="0" w:line="276" w:lineRule="auto"/>
              <w:rPr>
                <w:rFonts w:eastAsia="Times New Roman"/>
                <w:i/>
                <w:szCs w:val="24"/>
                <w:lang w:val="it-IT"/>
              </w:rPr>
            </w:pPr>
            <w:r w:rsidRPr="006F7519">
              <w:rPr>
                <w:rFonts w:eastAsia="Times New Roman"/>
                <w:i/>
                <w:szCs w:val="24"/>
                <w:lang w:val="it-IT"/>
              </w:rPr>
              <w:t>Baza de calcul (totalul cheltuielilor eligibile sau al cheltuielilor publice eligibile)</w:t>
            </w: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5CFB" w:rsidRPr="00A65597" w:rsidRDefault="004D5CFB" w:rsidP="00EF614F">
            <w:pPr>
              <w:suppressAutoHyphens/>
              <w:autoSpaceDN w:val="0"/>
              <w:spacing w:before="0" w:after="0" w:line="276" w:lineRule="auto"/>
              <w:rPr>
                <w:rFonts w:eastAsia="Times New Roman"/>
                <w:i/>
                <w:color w:val="8DB3E2"/>
                <w:szCs w:val="24"/>
                <w:lang w:val="en-US"/>
              </w:rPr>
            </w:pPr>
            <w:r w:rsidRPr="00A65597">
              <w:rPr>
                <w:rFonts w:eastAsia="Times New Roman"/>
                <w:i/>
                <w:szCs w:val="24"/>
                <w:lang w:val="en-US"/>
              </w:rPr>
              <w:t>Total</w:t>
            </w:r>
            <w:r w:rsidR="00A65597">
              <w:rPr>
                <w:rFonts w:eastAsia="Times New Roman"/>
                <w:i/>
                <w:szCs w:val="24"/>
                <w:lang w:val="en-US"/>
              </w:rPr>
              <w:t>ul</w:t>
            </w:r>
            <w:r w:rsidR="000F0078">
              <w:rPr>
                <w:rFonts w:eastAsia="Times New Roman"/>
                <w:i/>
                <w:szCs w:val="24"/>
                <w:lang w:val="en-US"/>
              </w:rPr>
              <w:t xml:space="preserve"> </w:t>
            </w:r>
            <w:r w:rsidR="00A65597" w:rsidRPr="00A65597">
              <w:rPr>
                <w:rFonts w:eastAsia="Times New Roman"/>
                <w:i/>
                <w:szCs w:val="24"/>
                <w:lang w:val="en-US"/>
              </w:rPr>
              <w:t>cheltuielilor eligibile</w:t>
            </w:r>
          </w:p>
        </w:tc>
      </w:tr>
    </w:tbl>
    <w:p w:rsidR="004D5CFB" w:rsidRPr="00A65597" w:rsidRDefault="004D5CFB" w:rsidP="00BB60A1">
      <w:pPr>
        <w:pStyle w:val="Heading2"/>
        <w:rPr>
          <w:lang w:val="fr-FR"/>
        </w:rPr>
      </w:pPr>
      <w:bookmarkStart w:id="125" w:name="_Toc394837846"/>
      <w:proofErr w:type="gramStart"/>
      <w:r w:rsidRPr="00A77C97">
        <w:rPr>
          <w:lang w:val="fr-FR"/>
        </w:rPr>
        <w:lastRenderedPageBreak/>
        <w:t>2.A.4</w:t>
      </w:r>
      <w:proofErr w:type="gramEnd"/>
      <w:r w:rsidRPr="00A77C97">
        <w:rPr>
          <w:lang w:val="fr-FR"/>
        </w:rPr>
        <w:t xml:space="preserve">. </w:t>
      </w:r>
      <w:r w:rsidR="00A65597" w:rsidRPr="00A65597">
        <w:rPr>
          <w:lang w:val="fr-FR"/>
        </w:rPr>
        <w:t>Prioritatea de investiții (se repetă pentru fiecare prioritate de investiții în cadrul unei axe prioritare)</w:t>
      </w:r>
      <w:bookmarkEnd w:id="125"/>
    </w:p>
    <w:p w:rsidR="004D5CFB" w:rsidRPr="00A77C97" w:rsidRDefault="00A65597" w:rsidP="00A65597">
      <w:pPr>
        <w:pStyle w:val="Heading4"/>
        <w:rPr>
          <w:lang w:val="fr-FR"/>
        </w:rPr>
      </w:pPr>
      <w:bookmarkStart w:id="126" w:name="_Toc394837847"/>
      <w:r w:rsidRPr="00A77C97">
        <w:rPr>
          <w:lang w:val="fr-FR"/>
        </w:rPr>
        <w:t xml:space="preserve">Prioritatea de investiții </w:t>
      </w:r>
      <w:r w:rsidR="004D5CFB" w:rsidRPr="00A77C97">
        <w:rPr>
          <w:lang w:val="fr-FR"/>
        </w:rPr>
        <w:t xml:space="preserve">11.iv:  </w:t>
      </w:r>
      <w:r w:rsidRPr="00A77C97">
        <w:rPr>
          <w:lang w:val="fr-FR"/>
        </w:rPr>
        <w:t>Consolidarea capacității instituționale a autorităților publice și a părților interesate și o administrație publică eficientă prin promovarea cooperării juridice și administrative și a cooperării între cetățeni și instituții</w:t>
      </w:r>
      <w:bookmarkEnd w:id="126"/>
    </w:p>
    <w:p w:rsidR="004D5CFB" w:rsidRPr="006F7519" w:rsidRDefault="004D5CFB" w:rsidP="00BB60A1">
      <w:pPr>
        <w:pStyle w:val="Heading2"/>
        <w:rPr>
          <w:lang w:val="it-IT"/>
        </w:rPr>
      </w:pPr>
      <w:bookmarkStart w:id="127" w:name="_Toc394837848"/>
      <w:proofErr w:type="gramStart"/>
      <w:r w:rsidRPr="00A65597">
        <w:rPr>
          <w:lang w:val="fr-FR"/>
        </w:rPr>
        <w:t>2.A.5</w:t>
      </w:r>
      <w:proofErr w:type="gramEnd"/>
      <w:r w:rsidRPr="00A65597">
        <w:rPr>
          <w:lang w:val="fr-FR"/>
        </w:rPr>
        <w:t xml:space="preserve">. </w:t>
      </w:r>
      <w:r w:rsidR="00A65597" w:rsidRPr="00A65597">
        <w:rPr>
          <w:lang w:val="fr-FR"/>
        </w:rPr>
        <w:t>Obiective specifice corespunzătoare priorității de investiții și rezultate preconizate</w:t>
      </w:r>
      <w:bookmarkEnd w:id="127"/>
    </w:p>
    <w:tbl>
      <w:tblPr>
        <w:tblStyle w:val="TableGrid2"/>
        <w:tblW w:w="10944" w:type="dxa"/>
        <w:jc w:val="center"/>
        <w:tblLook w:val="04A0" w:firstRow="1" w:lastRow="0" w:firstColumn="1" w:lastColumn="0" w:noHBand="0" w:noVBand="1"/>
      </w:tblPr>
      <w:tblGrid>
        <w:gridCol w:w="2736"/>
        <w:gridCol w:w="8208"/>
      </w:tblGrid>
      <w:tr w:rsidR="00736205" w:rsidRPr="00EF614F" w:rsidTr="00BC5673">
        <w:trPr>
          <w:jc w:val="center"/>
        </w:trPr>
        <w:tc>
          <w:tcPr>
            <w:tcW w:w="2736" w:type="dxa"/>
          </w:tcPr>
          <w:p w:rsidR="00736205" w:rsidRPr="00EF614F" w:rsidRDefault="00736205" w:rsidP="00BC5673">
            <w:pPr>
              <w:spacing w:before="60" w:after="0"/>
              <w:rPr>
                <w:rFonts w:eastAsia="Times New Roman"/>
                <w:b/>
                <w:i/>
                <w:sz w:val="22"/>
                <w:szCs w:val="22"/>
                <w:lang w:val="en-US" w:eastAsia="en-US"/>
              </w:rPr>
            </w:pPr>
            <w:r w:rsidRPr="00EF614F">
              <w:rPr>
                <w:rFonts w:eastAsia="Times New Roman"/>
                <w:b/>
                <w:i/>
                <w:sz w:val="22"/>
                <w:szCs w:val="22"/>
                <w:lang w:val="en-US" w:eastAsia="en-US"/>
              </w:rPr>
              <w:t>ID</w:t>
            </w:r>
          </w:p>
        </w:tc>
        <w:tc>
          <w:tcPr>
            <w:tcW w:w="8208" w:type="dxa"/>
          </w:tcPr>
          <w:p w:rsidR="00736205" w:rsidRPr="00EF614F" w:rsidRDefault="00736205" w:rsidP="00BC5673">
            <w:pPr>
              <w:spacing w:before="60" w:after="0"/>
              <w:rPr>
                <w:rFonts w:eastAsia="Times New Roman"/>
                <w:b/>
                <w:sz w:val="22"/>
                <w:szCs w:val="22"/>
                <w:lang w:val="en-US" w:eastAsia="en-US"/>
              </w:rPr>
            </w:pPr>
          </w:p>
        </w:tc>
      </w:tr>
      <w:tr w:rsidR="00736205" w:rsidRPr="00A158A9" w:rsidTr="00BC5673">
        <w:trPr>
          <w:jc w:val="center"/>
        </w:trPr>
        <w:tc>
          <w:tcPr>
            <w:tcW w:w="2736" w:type="dxa"/>
          </w:tcPr>
          <w:p w:rsidR="00736205" w:rsidRPr="00EF614F" w:rsidRDefault="00A65597" w:rsidP="00BC5673">
            <w:pPr>
              <w:spacing w:before="60" w:after="0"/>
              <w:rPr>
                <w:rFonts w:eastAsia="Times New Roman"/>
                <w:b/>
                <w:i/>
                <w:sz w:val="22"/>
                <w:szCs w:val="22"/>
                <w:lang w:val="en-US" w:eastAsia="en-US"/>
              </w:rPr>
            </w:pPr>
            <w:r w:rsidRPr="00EF614F">
              <w:rPr>
                <w:rFonts w:eastAsia="Times New Roman"/>
                <w:b/>
                <w:i/>
                <w:sz w:val="22"/>
                <w:szCs w:val="22"/>
                <w:lang w:val="en-US" w:eastAsia="en-US"/>
              </w:rPr>
              <w:t>Obiectiv Specific</w:t>
            </w:r>
            <w:r w:rsidR="00736205" w:rsidRPr="00EF614F">
              <w:rPr>
                <w:rFonts w:eastAsia="Times New Roman"/>
                <w:b/>
                <w:i/>
                <w:sz w:val="22"/>
                <w:szCs w:val="22"/>
                <w:lang w:val="en-US" w:eastAsia="en-US"/>
              </w:rPr>
              <w:t xml:space="preserve"> 5.1</w:t>
            </w:r>
          </w:p>
        </w:tc>
        <w:tc>
          <w:tcPr>
            <w:tcW w:w="8208" w:type="dxa"/>
          </w:tcPr>
          <w:p w:rsidR="003E68C7" w:rsidRPr="006F7519" w:rsidRDefault="00A65597" w:rsidP="00BC5673">
            <w:pPr>
              <w:spacing w:before="60" w:after="0"/>
              <w:rPr>
                <w:rFonts w:eastAsia="Times New Roman"/>
                <w:b/>
                <w:sz w:val="22"/>
                <w:szCs w:val="22"/>
                <w:lang w:val="it-IT" w:eastAsia="en-US"/>
              </w:rPr>
            </w:pPr>
            <w:r w:rsidRPr="006F7519">
              <w:rPr>
                <w:rFonts w:eastAsia="Times New Roman"/>
                <w:b/>
                <w:sz w:val="22"/>
                <w:szCs w:val="22"/>
                <w:lang w:val="it-IT" w:eastAsia="en-US"/>
              </w:rPr>
              <w:t>Creșterea capacității de cooperare și a eficienței instituțiilor publice în contextul cooperării transfrontaliere</w:t>
            </w:r>
          </w:p>
        </w:tc>
      </w:tr>
      <w:tr w:rsidR="00736205" w:rsidRPr="00A158A9" w:rsidTr="00BC5673">
        <w:trPr>
          <w:jc w:val="center"/>
        </w:trPr>
        <w:tc>
          <w:tcPr>
            <w:tcW w:w="2736" w:type="dxa"/>
          </w:tcPr>
          <w:p w:rsidR="00736205" w:rsidRPr="006F7519" w:rsidRDefault="00A65597" w:rsidP="00BC5673">
            <w:pPr>
              <w:spacing w:before="60" w:after="0"/>
              <w:rPr>
                <w:rFonts w:eastAsia="Times New Roman"/>
                <w:b/>
                <w:i/>
                <w:sz w:val="22"/>
                <w:szCs w:val="22"/>
                <w:lang w:val="it-IT" w:eastAsia="en-US"/>
              </w:rPr>
            </w:pPr>
            <w:r w:rsidRPr="006F7519">
              <w:rPr>
                <w:rFonts w:eastAsia="Times New Roman"/>
                <w:b/>
                <w:i/>
                <w:sz w:val="22"/>
                <w:szCs w:val="22"/>
                <w:lang w:val="it-IT" w:eastAsia="en-US"/>
              </w:rPr>
              <w:t>Rezultatele pe care statul membru caută să le obțină prin sprijinul din partea Uniunii</w:t>
            </w:r>
          </w:p>
        </w:tc>
        <w:tc>
          <w:tcPr>
            <w:tcW w:w="8208" w:type="dxa"/>
          </w:tcPr>
          <w:p w:rsidR="00EF614F" w:rsidRPr="006F7519" w:rsidRDefault="00EF614F" w:rsidP="00EF614F">
            <w:pPr>
              <w:rPr>
                <w:rFonts w:eastAsia="Times New Roman"/>
                <w:sz w:val="22"/>
                <w:szCs w:val="22"/>
                <w:lang w:val="it-IT"/>
              </w:rPr>
            </w:pPr>
            <w:r w:rsidRPr="006F7519">
              <w:rPr>
                <w:rFonts w:eastAsia="Times New Roman"/>
                <w:sz w:val="22"/>
                <w:szCs w:val="22"/>
                <w:lang w:val="it-IT"/>
              </w:rPr>
              <w:t>Chiar dacă s-au făcut progrese către întărirea capacităţilor administrative ale Bulgariei şi României, zona transfrontalieră încă este considerată ca având capacitate administrativă slabă, o tendinţă către supra-reglementare şi structuri ale autorităţii publice prea centralizate, birocratice şi opace.</w:t>
            </w:r>
          </w:p>
          <w:p w:rsidR="00EF614F" w:rsidRPr="00EF614F" w:rsidRDefault="00EF614F" w:rsidP="00EF614F">
            <w:pPr>
              <w:rPr>
                <w:rFonts w:eastAsia="Times New Roman"/>
                <w:sz w:val="22"/>
                <w:szCs w:val="22"/>
                <w:lang w:val="fr-FR"/>
              </w:rPr>
            </w:pPr>
            <w:r w:rsidRPr="00EF614F">
              <w:rPr>
                <w:rFonts w:eastAsia="Times New Roman"/>
                <w:sz w:val="22"/>
                <w:szCs w:val="22"/>
                <w:lang w:val="fr-FR"/>
              </w:rPr>
              <w:t xml:space="preserve">Această situaţie conduce la consecinţe cum ar fi o absorbţie a fondurilor UE departe de a fi optimă şi un nivel foarte scăzut de parteneriate publice-private şi participare publică. </w:t>
            </w:r>
          </w:p>
          <w:p w:rsidR="00EF614F" w:rsidRPr="00EF614F" w:rsidRDefault="00EF614F" w:rsidP="00EF614F">
            <w:pPr>
              <w:rPr>
                <w:rFonts w:eastAsia="Times New Roman"/>
                <w:sz w:val="22"/>
                <w:szCs w:val="22"/>
                <w:lang w:val="fr-FR"/>
              </w:rPr>
            </w:pPr>
            <w:r w:rsidRPr="00EF614F">
              <w:rPr>
                <w:rFonts w:eastAsia="Times New Roman"/>
                <w:sz w:val="22"/>
                <w:szCs w:val="22"/>
                <w:lang w:val="fr-FR"/>
              </w:rPr>
              <w:t xml:space="preserve">Aceste două chestiuni sunt legate întrucât lipsa capacităţii şi eficienţei autorităţii publice poate fi nocivă accederii depline la oportunităţile de finanţare UE. Cea de-a doua depinde de o implicare adâncă </w:t>
            </w:r>
            <w:proofErr w:type="gramStart"/>
            <w:r w:rsidRPr="00EF614F">
              <w:rPr>
                <w:rFonts w:eastAsia="Times New Roman"/>
                <w:sz w:val="22"/>
                <w:szCs w:val="22"/>
                <w:lang w:val="fr-FR"/>
              </w:rPr>
              <w:t>a</w:t>
            </w:r>
            <w:proofErr w:type="gramEnd"/>
            <w:r w:rsidRPr="00EF614F">
              <w:rPr>
                <w:rFonts w:eastAsia="Times New Roman"/>
                <w:sz w:val="22"/>
                <w:szCs w:val="22"/>
                <w:lang w:val="fr-FR"/>
              </w:rPr>
              <w:t xml:space="preserve"> părţilor interesate private şi de implementarea necesară a cadrului de creare de proiecte la fiecare scară teritorială.</w:t>
            </w:r>
          </w:p>
          <w:p w:rsidR="00EF614F" w:rsidRPr="00EF614F" w:rsidRDefault="00EF614F" w:rsidP="00EF614F">
            <w:pPr>
              <w:rPr>
                <w:rFonts w:eastAsia="Times New Roman"/>
                <w:sz w:val="22"/>
                <w:szCs w:val="22"/>
                <w:lang w:val="fr-FR"/>
              </w:rPr>
            </w:pPr>
            <w:r w:rsidRPr="00EF614F">
              <w:rPr>
                <w:rFonts w:eastAsia="Times New Roman"/>
                <w:sz w:val="22"/>
                <w:szCs w:val="22"/>
                <w:lang w:val="fr-FR"/>
              </w:rPr>
              <w:t xml:space="preserve">Într-adevăr, dezvoltarea de noi modele de guvernanţă care implică părţi interesate private (CLLD, grupuri </w:t>
            </w:r>
            <w:proofErr w:type="gramStart"/>
            <w:r w:rsidRPr="00EF614F">
              <w:rPr>
                <w:rFonts w:eastAsia="Times New Roman"/>
                <w:sz w:val="22"/>
                <w:szCs w:val="22"/>
                <w:lang w:val="fr-FR"/>
              </w:rPr>
              <w:t>de acţiune</w:t>
            </w:r>
            <w:proofErr w:type="gramEnd"/>
            <w:r w:rsidRPr="00EF614F">
              <w:rPr>
                <w:rFonts w:eastAsia="Times New Roman"/>
                <w:sz w:val="22"/>
                <w:szCs w:val="22"/>
                <w:lang w:val="fr-FR"/>
              </w:rPr>
              <w:t xml:space="preserve"> locală), poate ajuta la îndeplinirea eficientă a un</w:t>
            </w:r>
            <w:r w:rsidR="00EB5866">
              <w:rPr>
                <w:rFonts w:eastAsia="Times New Roman"/>
                <w:sz w:val="22"/>
                <w:szCs w:val="22"/>
                <w:lang w:val="fr-FR"/>
              </w:rPr>
              <w:t>ei misiuni de serviciu public printr-o bună gestionare şi monitorizare</w:t>
            </w:r>
            <w:r w:rsidRPr="00EF614F">
              <w:rPr>
                <w:rFonts w:eastAsia="Times New Roman"/>
                <w:sz w:val="22"/>
                <w:szCs w:val="22"/>
                <w:lang w:val="fr-FR"/>
              </w:rPr>
              <w:t>, sisteme de evaluare şi colaborative şi instrumente ale sectorului privat.</w:t>
            </w:r>
          </w:p>
          <w:p w:rsidR="00EF614F" w:rsidRPr="00EF614F" w:rsidRDefault="00EF614F" w:rsidP="00EF614F">
            <w:pPr>
              <w:rPr>
                <w:rFonts w:eastAsia="Times New Roman"/>
                <w:sz w:val="22"/>
                <w:szCs w:val="22"/>
                <w:lang w:val="fr-FR"/>
              </w:rPr>
            </w:pPr>
            <w:r w:rsidRPr="00EF614F">
              <w:rPr>
                <w:rFonts w:eastAsia="Times New Roman"/>
                <w:sz w:val="22"/>
                <w:szCs w:val="22"/>
                <w:lang w:val="fr-FR"/>
              </w:rPr>
              <w:t xml:space="preserve">De exemplu, poate fi o pârghie foarte valoroasă pentru dezvoltarea unui management public vertical şi orizontal eficient şi implementarea activităţilor sociale locale cum ar fi consilierea socială sau atenţia acordată grupurilor defavorizate ca minorităţi etnice sau persoane cu dizabilităţi. </w:t>
            </w:r>
          </w:p>
          <w:p w:rsidR="00EF614F" w:rsidRPr="00EF614F" w:rsidRDefault="00EF614F" w:rsidP="00EF614F">
            <w:pPr>
              <w:rPr>
                <w:rFonts w:eastAsia="Times New Roman"/>
                <w:sz w:val="22"/>
                <w:szCs w:val="22"/>
                <w:lang w:val="fr-FR"/>
              </w:rPr>
            </w:pPr>
            <w:r w:rsidRPr="00EF614F">
              <w:rPr>
                <w:rFonts w:eastAsia="Times New Roman"/>
                <w:sz w:val="22"/>
                <w:szCs w:val="22"/>
                <w:lang w:val="fr-FR"/>
              </w:rPr>
              <w:t>În acest scop, prima prioritate este de a ajuta autorităţile publice să fie mai conştiente de mediul lor transfrontalier şi să adopte noi practici de guvernanţă faţă de cetăţenii lor (ca participare publică la decizii) şi faţă de părţile interesate private (ca reducerea povarei birocraţiei, dezvoltarea PPP-urilor, crearea dez</w:t>
            </w:r>
            <w:r w:rsidR="00EB5866">
              <w:rPr>
                <w:rFonts w:eastAsia="Times New Roman"/>
                <w:sz w:val="22"/>
                <w:szCs w:val="22"/>
                <w:lang w:val="fr-FR"/>
              </w:rPr>
              <w:t>voltării teritoriale evoluate,</w:t>
            </w:r>
            <w:r w:rsidRPr="00EF614F">
              <w:rPr>
                <w:rFonts w:eastAsia="Times New Roman"/>
                <w:sz w:val="22"/>
                <w:szCs w:val="22"/>
                <w:lang w:val="fr-FR"/>
              </w:rPr>
              <w:t xml:space="preserve"> planuri şi structuri de investiţii – EGTC, ITI, CLLD).   </w:t>
            </w:r>
          </w:p>
          <w:p w:rsidR="00EF614F" w:rsidRPr="00EF614F" w:rsidRDefault="00EF614F" w:rsidP="00EF614F">
            <w:pPr>
              <w:rPr>
                <w:rFonts w:eastAsia="Times New Roman"/>
                <w:sz w:val="22"/>
                <w:szCs w:val="22"/>
                <w:lang w:val="fr-FR"/>
              </w:rPr>
            </w:pPr>
            <w:r w:rsidRPr="00EF614F">
              <w:rPr>
                <w:rFonts w:eastAsia="Times New Roman"/>
                <w:sz w:val="22"/>
                <w:szCs w:val="22"/>
                <w:lang w:val="fr-FR"/>
              </w:rPr>
              <w:t xml:space="preserve">Acţiunile propuse pentru a fi susţinute în acest PA nu au scopul de a “upgrada” autorităţile publice sau de a le priva de prerogativele şi legitimitatea lor, dimpotrivă, au scopul de a spori capacitatea lor de a dezvolta proiecte ambiţioase, concrete şi finanţate care participă la îmbunătăţirea stării generale de bine a cetăţenilor lor.  </w:t>
            </w:r>
          </w:p>
          <w:p w:rsidR="00736205" w:rsidRPr="00EF614F" w:rsidRDefault="00EF614F" w:rsidP="00EF614F">
            <w:pPr>
              <w:rPr>
                <w:rFonts w:eastAsia="Times New Roman"/>
                <w:sz w:val="22"/>
                <w:szCs w:val="22"/>
                <w:highlight w:val="yellow"/>
                <w:lang w:val="fr-FR"/>
              </w:rPr>
            </w:pPr>
            <w:r w:rsidRPr="00EF614F">
              <w:rPr>
                <w:rFonts w:eastAsia="Times New Roman"/>
                <w:sz w:val="22"/>
                <w:szCs w:val="22"/>
                <w:lang w:val="fr-FR"/>
              </w:rPr>
              <w:t>Principalul rezultat este de a spori nivelul de cooperare prin dezvoltarea de acţiuni comune concrete cu scopul de a îmbunătăţi starea generală de bine a cetăţenilor din zona transfrontalieră.</w:t>
            </w:r>
          </w:p>
        </w:tc>
      </w:tr>
    </w:tbl>
    <w:p w:rsidR="00736205" w:rsidRPr="00EF614F" w:rsidRDefault="00736205" w:rsidP="00736205">
      <w:pPr>
        <w:rPr>
          <w:lang w:val="fr-FR"/>
        </w:rPr>
      </w:pPr>
    </w:p>
    <w:p w:rsidR="004A7441" w:rsidRPr="00EF614F" w:rsidRDefault="004A7441" w:rsidP="00BB60A1">
      <w:pPr>
        <w:pStyle w:val="Heading2"/>
        <w:rPr>
          <w:lang w:val="fr-FR"/>
        </w:rPr>
        <w:sectPr w:rsidR="004A7441" w:rsidRPr="00EF614F" w:rsidSect="009434D3">
          <w:pgSz w:w="11906" w:h="16838"/>
          <w:pgMar w:top="1021" w:right="1418" w:bottom="1021" w:left="1418" w:header="601" w:footer="1077" w:gutter="0"/>
          <w:cols w:space="720"/>
          <w:docGrid w:linePitch="326"/>
        </w:sectPr>
      </w:pPr>
    </w:p>
    <w:p w:rsidR="004D5CFB" w:rsidRPr="00A65597" w:rsidRDefault="00A65597" w:rsidP="00BB60A1">
      <w:pPr>
        <w:pStyle w:val="Heading2"/>
        <w:rPr>
          <w:lang w:val="fr-FR"/>
        </w:rPr>
      </w:pPr>
      <w:bookmarkStart w:id="128" w:name="_Toc394837849"/>
      <w:r>
        <w:rPr>
          <w:lang w:val="fr-FR"/>
        </w:rPr>
        <w:lastRenderedPageBreak/>
        <w:t>Tabelul</w:t>
      </w:r>
      <w:r w:rsidR="004D5CFB" w:rsidRPr="00A65597">
        <w:rPr>
          <w:lang w:val="fr-FR"/>
        </w:rPr>
        <w:t xml:space="preserve"> 3: </w:t>
      </w:r>
      <w:r w:rsidRPr="00A65597">
        <w:rPr>
          <w:lang w:val="fr-FR"/>
        </w:rPr>
        <w:t>Indicatori de rezultat specifici programului (pe obiectiv specific)</w:t>
      </w:r>
      <w:bookmarkEnd w:id="128"/>
    </w:p>
    <w:tbl>
      <w:tblPr>
        <w:tblW w:w="4550" w:type="pct"/>
        <w:jc w:val="center"/>
        <w:tblLayout w:type="fixed"/>
        <w:tblCellMar>
          <w:left w:w="10" w:type="dxa"/>
          <w:right w:w="10" w:type="dxa"/>
        </w:tblCellMar>
        <w:tblLook w:val="04A0" w:firstRow="1" w:lastRow="0" w:firstColumn="1" w:lastColumn="0" w:noHBand="0" w:noVBand="1"/>
      </w:tblPr>
      <w:tblGrid>
        <w:gridCol w:w="1328"/>
        <w:gridCol w:w="2278"/>
        <w:gridCol w:w="1905"/>
        <w:gridCol w:w="1670"/>
        <w:gridCol w:w="1394"/>
        <w:gridCol w:w="2118"/>
        <w:gridCol w:w="1694"/>
        <w:gridCol w:w="1274"/>
      </w:tblGrid>
      <w:tr w:rsidR="00A65597" w:rsidRPr="008C14D4" w:rsidTr="0022587E">
        <w:trPr>
          <w:trHeight w:val="531"/>
          <w:jc w:val="center"/>
        </w:trPr>
        <w:tc>
          <w:tcPr>
            <w:tcW w:w="1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65597" w:rsidRPr="008C14D4" w:rsidRDefault="00A65597" w:rsidP="0022587E">
            <w:pPr>
              <w:tabs>
                <w:tab w:val="left" w:pos="720"/>
              </w:tabs>
              <w:suppressAutoHyphens/>
              <w:autoSpaceDN w:val="0"/>
              <w:spacing w:line="276" w:lineRule="auto"/>
              <w:jc w:val="left"/>
              <w:rPr>
                <w:rFonts w:eastAsia="Times New Roman"/>
                <w:b/>
                <w:szCs w:val="24"/>
                <w:lang w:val="en-US"/>
              </w:rPr>
            </w:pPr>
            <w:r w:rsidRPr="008C14D4">
              <w:rPr>
                <w:rFonts w:eastAsia="Times New Roman"/>
                <w:b/>
                <w:szCs w:val="24"/>
                <w:lang w:val="en-US"/>
              </w:rPr>
              <w:t>ID</w:t>
            </w:r>
          </w:p>
        </w:tc>
        <w:tc>
          <w:tcPr>
            <w:tcW w:w="22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65597" w:rsidRPr="008C14D4" w:rsidRDefault="00A65597" w:rsidP="0022587E">
            <w:pPr>
              <w:tabs>
                <w:tab w:val="left" w:pos="720"/>
              </w:tabs>
              <w:suppressAutoHyphens/>
              <w:autoSpaceDN w:val="0"/>
              <w:spacing w:line="276" w:lineRule="auto"/>
              <w:jc w:val="left"/>
              <w:rPr>
                <w:rFonts w:eastAsia="Times New Roman"/>
                <w:b/>
                <w:szCs w:val="24"/>
                <w:lang w:val="en-US"/>
              </w:rPr>
            </w:pPr>
            <w:r w:rsidRPr="008C14D4">
              <w:rPr>
                <w:rFonts w:eastAsia="Times New Roman"/>
                <w:b/>
                <w:szCs w:val="24"/>
                <w:lang w:val="en-US"/>
              </w:rPr>
              <w:t xml:space="preserve">Indicator </w:t>
            </w:r>
          </w:p>
        </w:tc>
        <w:tc>
          <w:tcPr>
            <w:tcW w:w="1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65597" w:rsidRPr="008C14D4" w:rsidRDefault="00A65597" w:rsidP="0022587E">
            <w:pPr>
              <w:suppressAutoHyphens/>
              <w:autoSpaceDN w:val="0"/>
              <w:snapToGrid w:val="0"/>
              <w:spacing w:line="276" w:lineRule="auto"/>
              <w:jc w:val="left"/>
              <w:rPr>
                <w:rFonts w:eastAsia="Times New Roman"/>
                <w:b/>
                <w:szCs w:val="24"/>
                <w:lang w:val="en-US"/>
              </w:rPr>
            </w:pPr>
            <w:r w:rsidRPr="008C14D4">
              <w:rPr>
                <w:rFonts w:eastAsia="Times New Roman"/>
                <w:b/>
                <w:szCs w:val="24"/>
                <w:lang w:val="en-US"/>
              </w:rPr>
              <w:t>Unitate de măsură</w:t>
            </w:r>
          </w:p>
        </w:tc>
        <w:tc>
          <w:tcPr>
            <w:tcW w:w="1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65597" w:rsidRPr="008C14D4" w:rsidRDefault="00A65597" w:rsidP="0022587E">
            <w:pPr>
              <w:tabs>
                <w:tab w:val="left" w:pos="720"/>
              </w:tabs>
              <w:suppressAutoHyphens/>
              <w:autoSpaceDN w:val="0"/>
              <w:spacing w:line="276" w:lineRule="auto"/>
              <w:jc w:val="left"/>
              <w:rPr>
                <w:rFonts w:eastAsia="Times New Roman"/>
                <w:b/>
                <w:szCs w:val="24"/>
                <w:lang w:val="en-US"/>
              </w:rPr>
            </w:pPr>
            <w:r w:rsidRPr="008C14D4">
              <w:rPr>
                <w:rFonts w:eastAsia="Times New Roman"/>
                <w:b/>
                <w:szCs w:val="24"/>
                <w:lang w:val="en-US"/>
              </w:rPr>
              <w:t>Valoarea de referință</w:t>
            </w:r>
          </w:p>
        </w:tc>
        <w:tc>
          <w:tcPr>
            <w:tcW w:w="1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65597" w:rsidRPr="008C14D4" w:rsidRDefault="00A65597" w:rsidP="0022587E">
            <w:pPr>
              <w:suppressAutoHyphens/>
              <w:autoSpaceDN w:val="0"/>
              <w:snapToGrid w:val="0"/>
              <w:spacing w:line="276" w:lineRule="auto"/>
              <w:jc w:val="left"/>
              <w:rPr>
                <w:rFonts w:eastAsia="Times New Roman"/>
                <w:b/>
                <w:szCs w:val="24"/>
                <w:lang w:val="en-US"/>
              </w:rPr>
            </w:pPr>
            <w:r w:rsidRPr="008C14D4">
              <w:rPr>
                <w:rFonts w:eastAsia="Times New Roman"/>
                <w:b/>
                <w:szCs w:val="24"/>
                <w:lang w:val="en-US"/>
              </w:rPr>
              <w:t>Anul de referință</w:t>
            </w:r>
          </w:p>
        </w:tc>
        <w:tc>
          <w:tcPr>
            <w:tcW w:w="2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65597" w:rsidRPr="008C14D4" w:rsidRDefault="00A65597" w:rsidP="0022587E">
            <w:pPr>
              <w:tabs>
                <w:tab w:val="left" w:pos="720"/>
              </w:tabs>
              <w:suppressAutoHyphens/>
              <w:autoSpaceDN w:val="0"/>
              <w:spacing w:line="276" w:lineRule="auto"/>
              <w:jc w:val="left"/>
              <w:rPr>
                <w:rFonts w:eastAsia="Times New Roman"/>
                <w:b/>
                <w:szCs w:val="24"/>
                <w:lang w:val="en-US"/>
              </w:rPr>
            </w:pPr>
            <w:r w:rsidRPr="008C14D4">
              <w:rPr>
                <w:rFonts w:eastAsia="Times New Roman"/>
                <w:b/>
                <w:szCs w:val="24"/>
                <w:lang w:val="en-US"/>
              </w:rPr>
              <w:t>Valoarea-țintă (2023)</w:t>
            </w:r>
            <w:r>
              <w:rPr>
                <w:rStyle w:val="FootnoteReference"/>
                <w:rFonts w:eastAsia="Times New Roman"/>
                <w:b/>
                <w:szCs w:val="24"/>
                <w:lang w:val="en-US"/>
              </w:rPr>
              <w:footnoteReference w:id="13"/>
            </w:r>
          </w:p>
        </w:tc>
        <w:tc>
          <w:tcPr>
            <w:tcW w:w="1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65597" w:rsidRPr="008C14D4" w:rsidRDefault="00A65597" w:rsidP="0022587E">
            <w:pPr>
              <w:tabs>
                <w:tab w:val="left" w:pos="720"/>
              </w:tabs>
              <w:suppressAutoHyphens/>
              <w:autoSpaceDN w:val="0"/>
              <w:spacing w:line="276" w:lineRule="auto"/>
              <w:jc w:val="left"/>
              <w:rPr>
                <w:rFonts w:eastAsia="Times New Roman"/>
                <w:b/>
                <w:szCs w:val="24"/>
                <w:lang w:val="en-US"/>
              </w:rPr>
            </w:pPr>
            <w:r w:rsidRPr="008C14D4">
              <w:rPr>
                <w:rFonts w:eastAsia="Times New Roman"/>
                <w:b/>
                <w:szCs w:val="24"/>
                <w:lang w:val="en-US"/>
              </w:rPr>
              <w:t>Sursa datelor</w:t>
            </w:r>
          </w:p>
        </w:tc>
        <w:tc>
          <w:tcPr>
            <w:tcW w:w="12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65597" w:rsidRPr="008C14D4" w:rsidRDefault="00A65597" w:rsidP="0022587E">
            <w:pPr>
              <w:tabs>
                <w:tab w:val="left" w:pos="720"/>
              </w:tabs>
              <w:suppressAutoHyphens/>
              <w:autoSpaceDN w:val="0"/>
              <w:spacing w:line="276" w:lineRule="auto"/>
              <w:jc w:val="left"/>
              <w:rPr>
                <w:rFonts w:eastAsia="Times New Roman"/>
                <w:b/>
                <w:szCs w:val="24"/>
                <w:lang w:val="en-US"/>
              </w:rPr>
            </w:pPr>
            <w:r w:rsidRPr="008C14D4">
              <w:rPr>
                <w:rFonts w:eastAsia="Times New Roman"/>
                <w:b/>
                <w:szCs w:val="24"/>
                <w:lang w:val="en-US"/>
              </w:rPr>
              <w:t>Frecvența raportării</w:t>
            </w:r>
          </w:p>
        </w:tc>
      </w:tr>
      <w:tr w:rsidR="0022587E" w:rsidRPr="000B7282" w:rsidTr="0022587E">
        <w:trPr>
          <w:trHeight w:val="870"/>
          <w:jc w:val="center"/>
        </w:trPr>
        <w:tc>
          <w:tcPr>
            <w:tcW w:w="1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587E" w:rsidRPr="00A65597" w:rsidRDefault="0030358B" w:rsidP="0022587E">
            <w:pPr>
              <w:tabs>
                <w:tab w:val="left" w:pos="720"/>
              </w:tabs>
              <w:suppressAutoHyphens/>
              <w:autoSpaceDN w:val="0"/>
              <w:spacing w:line="276" w:lineRule="auto"/>
              <w:jc w:val="left"/>
              <w:rPr>
                <w:szCs w:val="24"/>
                <w:lang w:val="en-US"/>
              </w:rPr>
            </w:pPr>
            <w:r>
              <w:rPr>
                <w:szCs w:val="24"/>
                <w:lang w:val="en-US"/>
              </w:rPr>
              <w:t>R.</w:t>
            </w:r>
            <w:r w:rsidR="0022587E" w:rsidRPr="00A65597">
              <w:rPr>
                <w:szCs w:val="24"/>
                <w:lang w:val="en-US"/>
              </w:rPr>
              <w:t>5.1</w:t>
            </w:r>
          </w:p>
        </w:tc>
        <w:tc>
          <w:tcPr>
            <w:tcW w:w="22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587E" w:rsidRPr="006F7519" w:rsidRDefault="0022587E" w:rsidP="0022587E">
            <w:pPr>
              <w:tabs>
                <w:tab w:val="left" w:pos="720"/>
              </w:tabs>
              <w:suppressAutoHyphens/>
              <w:autoSpaceDN w:val="0"/>
              <w:spacing w:line="276" w:lineRule="auto"/>
              <w:jc w:val="left"/>
              <w:rPr>
                <w:rFonts w:eastAsia="Times New Roman"/>
                <w:highlight w:val="red"/>
                <w:lang w:val="it-IT"/>
              </w:rPr>
            </w:pPr>
            <w:r w:rsidRPr="006F7519">
              <w:rPr>
                <w:rFonts w:eastAsia="Times New Roman"/>
                <w:szCs w:val="24"/>
                <w:lang w:val="it-IT"/>
              </w:rPr>
              <w:t>Nivelul de coordonare al instituțiilor publice din zona eligibilă</w:t>
            </w:r>
          </w:p>
        </w:tc>
        <w:tc>
          <w:tcPr>
            <w:tcW w:w="1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587E" w:rsidRPr="006F7519" w:rsidRDefault="0022587E" w:rsidP="0022587E">
            <w:pPr>
              <w:tabs>
                <w:tab w:val="left" w:pos="720"/>
              </w:tabs>
              <w:suppressAutoHyphens/>
              <w:autoSpaceDN w:val="0"/>
              <w:spacing w:line="276" w:lineRule="auto"/>
              <w:jc w:val="left"/>
              <w:rPr>
                <w:szCs w:val="24"/>
                <w:highlight w:val="red"/>
                <w:lang w:val="it-IT"/>
              </w:rPr>
            </w:pPr>
            <w:r w:rsidRPr="006F7519">
              <w:rPr>
                <w:szCs w:val="24"/>
                <w:lang w:val="it-IT"/>
              </w:rPr>
              <w:t xml:space="preserve">Intensitatea cooperării </w:t>
            </w:r>
            <w:r w:rsidR="00B8747A" w:rsidRPr="006F7519">
              <w:rPr>
                <w:szCs w:val="24"/>
                <w:lang w:val="it-IT"/>
              </w:rPr>
              <w:t>î</w:t>
            </w:r>
            <w:r w:rsidRPr="006F7519">
              <w:rPr>
                <w:szCs w:val="24"/>
                <w:lang w:val="it-IT"/>
              </w:rPr>
              <w:t>ntre actorii</w:t>
            </w:r>
            <w:r w:rsidR="00B8747A" w:rsidRPr="006F7519">
              <w:rPr>
                <w:szCs w:val="24"/>
                <w:lang w:val="it-IT"/>
              </w:rPr>
              <w:t xml:space="preserve"> </w:t>
            </w:r>
            <w:r w:rsidRPr="006F7519">
              <w:rPr>
                <w:szCs w:val="24"/>
                <w:lang w:val="it-IT"/>
              </w:rPr>
              <w:t>din zona  transfrontalieră (instituții publice, ONG-uri)</w:t>
            </w:r>
          </w:p>
        </w:tc>
        <w:tc>
          <w:tcPr>
            <w:tcW w:w="1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587E" w:rsidRPr="00A65597" w:rsidRDefault="0022587E" w:rsidP="0022587E">
            <w:pPr>
              <w:tabs>
                <w:tab w:val="left" w:pos="720"/>
              </w:tabs>
              <w:spacing w:line="276" w:lineRule="auto"/>
              <w:jc w:val="left"/>
              <w:rPr>
                <w:szCs w:val="24"/>
                <w:lang w:val="en-US"/>
              </w:rPr>
            </w:pPr>
            <w:r w:rsidRPr="00A65597">
              <w:rPr>
                <w:szCs w:val="24"/>
                <w:lang w:val="en-US"/>
              </w:rPr>
              <w:t>3</w:t>
            </w:r>
          </w:p>
          <w:p w:rsidR="0022587E" w:rsidRPr="00A65597" w:rsidRDefault="0022587E" w:rsidP="0022587E">
            <w:pPr>
              <w:tabs>
                <w:tab w:val="left" w:pos="720"/>
              </w:tabs>
              <w:suppressAutoHyphens/>
              <w:autoSpaceDN w:val="0"/>
              <w:spacing w:line="276" w:lineRule="auto"/>
              <w:jc w:val="left"/>
              <w:rPr>
                <w:rFonts w:eastAsia="Times New Roman"/>
                <w:b/>
                <w:sz w:val="18"/>
                <w:szCs w:val="18"/>
                <w:lang w:val="en-US"/>
              </w:rPr>
            </w:pPr>
          </w:p>
        </w:tc>
        <w:tc>
          <w:tcPr>
            <w:tcW w:w="1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587E" w:rsidRPr="00A65597" w:rsidRDefault="0022587E" w:rsidP="0022587E">
            <w:pPr>
              <w:tabs>
                <w:tab w:val="left" w:pos="720"/>
              </w:tabs>
              <w:suppressAutoHyphens/>
              <w:autoSpaceDN w:val="0"/>
              <w:spacing w:line="276" w:lineRule="auto"/>
              <w:jc w:val="left"/>
              <w:rPr>
                <w:szCs w:val="24"/>
                <w:lang w:val="en-US"/>
              </w:rPr>
            </w:pPr>
            <w:r w:rsidRPr="00A65597">
              <w:rPr>
                <w:szCs w:val="24"/>
                <w:lang w:val="en-US"/>
              </w:rPr>
              <w:t>2014</w:t>
            </w:r>
          </w:p>
        </w:tc>
        <w:tc>
          <w:tcPr>
            <w:tcW w:w="2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587E" w:rsidRPr="00A65597" w:rsidRDefault="0022587E" w:rsidP="0022587E">
            <w:pPr>
              <w:tabs>
                <w:tab w:val="left" w:pos="720"/>
              </w:tabs>
              <w:suppressAutoHyphens/>
              <w:autoSpaceDN w:val="0"/>
              <w:spacing w:line="276" w:lineRule="auto"/>
              <w:jc w:val="left"/>
              <w:rPr>
                <w:szCs w:val="24"/>
                <w:lang w:val="en-US"/>
              </w:rPr>
            </w:pPr>
            <w:r w:rsidRPr="00A65597">
              <w:rPr>
                <w:szCs w:val="24"/>
                <w:lang w:val="en-US"/>
              </w:rPr>
              <w:t>4</w:t>
            </w:r>
          </w:p>
        </w:tc>
        <w:tc>
          <w:tcPr>
            <w:tcW w:w="1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587E" w:rsidRPr="00A65597" w:rsidRDefault="0022587E" w:rsidP="0022587E">
            <w:pPr>
              <w:tabs>
                <w:tab w:val="left" w:pos="720"/>
              </w:tabs>
              <w:suppressAutoHyphens/>
              <w:autoSpaceDN w:val="0"/>
              <w:spacing w:after="240" w:line="276" w:lineRule="auto"/>
              <w:jc w:val="left"/>
              <w:rPr>
                <w:szCs w:val="24"/>
                <w:lang w:val="en-US"/>
              </w:rPr>
            </w:pPr>
            <w:r w:rsidRPr="00A65597">
              <w:rPr>
                <w:szCs w:val="24"/>
                <w:lang w:val="en-US"/>
              </w:rPr>
              <w:t>S</w:t>
            </w:r>
            <w:r>
              <w:rPr>
                <w:szCs w:val="24"/>
                <w:lang w:val="en-US"/>
              </w:rPr>
              <w:t>ondaj</w:t>
            </w:r>
          </w:p>
        </w:tc>
        <w:tc>
          <w:tcPr>
            <w:tcW w:w="12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587E" w:rsidRPr="00A65597" w:rsidRDefault="0022587E" w:rsidP="0022587E">
            <w:pPr>
              <w:tabs>
                <w:tab w:val="left" w:pos="720"/>
              </w:tabs>
              <w:suppressAutoHyphens/>
              <w:autoSpaceDN w:val="0"/>
              <w:spacing w:after="240" w:line="276" w:lineRule="auto"/>
              <w:jc w:val="left"/>
              <w:rPr>
                <w:szCs w:val="24"/>
                <w:lang w:val="en-US"/>
              </w:rPr>
            </w:pPr>
            <w:r w:rsidRPr="00A65597">
              <w:rPr>
                <w:szCs w:val="24"/>
                <w:lang w:val="en-US"/>
              </w:rPr>
              <w:t xml:space="preserve">2018 </w:t>
            </w:r>
            <w:r>
              <w:rPr>
                <w:szCs w:val="24"/>
                <w:lang w:val="en-US"/>
              </w:rPr>
              <w:t>și</w:t>
            </w:r>
            <w:r w:rsidRPr="00A65597">
              <w:rPr>
                <w:szCs w:val="24"/>
                <w:lang w:val="en-US"/>
              </w:rPr>
              <w:t xml:space="preserve"> 2023</w:t>
            </w:r>
          </w:p>
        </w:tc>
      </w:tr>
    </w:tbl>
    <w:p w:rsidR="0034420A" w:rsidRPr="0070649D" w:rsidRDefault="0034420A" w:rsidP="0034420A">
      <w:pPr>
        <w:spacing w:before="0" w:after="0"/>
        <w:jc w:val="left"/>
        <w:rPr>
          <w:lang w:val="en-US"/>
        </w:rPr>
        <w:sectPr w:rsidR="0034420A" w:rsidRPr="0070649D" w:rsidSect="004A7441">
          <w:pgSz w:w="16838" w:h="11906" w:orient="landscape"/>
          <w:pgMar w:top="1418" w:right="1021" w:bottom="1418" w:left="1021" w:header="601" w:footer="1077" w:gutter="0"/>
          <w:cols w:space="720"/>
          <w:docGrid w:linePitch="326"/>
        </w:sectPr>
      </w:pPr>
    </w:p>
    <w:p w:rsidR="00F07BD1" w:rsidRPr="00F07BD1" w:rsidRDefault="00F07BD1" w:rsidP="00F07BD1">
      <w:pPr>
        <w:pStyle w:val="Heading2"/>
        <w:rPr>
          <w:lang w:val="fr-FR"/>
        </w:rPr>
      </w:pPr>
      <w:bookmarkStart w:id="129" w:name="_Toc394837850"/>
      <w:proofErr w:type="gramStart"/>
      <w:r w:rsidRPr="00F07BD1">
        <w:rPr>
          <w:lang w:val="fr-FR"/>
        </w:rPr>
        <w:lastRenderedPageBreak/>
        <w:t>2.A.6</w:t>
      </w:r>
      <w:proofErr w:type="gramEnd"/>
      <w:r w:rsidRPr="00F07BD1">
        <w:rPr>
          <w:lang w:val="fr-FR"/>
        </w:rPr>
        <w:t>. Acțiunile care urmează să fie sprijinite în cadrul priorității de investiții (pe prioritate de investiții)</w:t>
      </w:r>
      <w:bookmarkEnd w:id="129"/>
    </w:p>
    <w:p w:rsidR="00F07BD1" w:rsidRPr="00396473" w:rsidRDefault="00F07BD1" w:rsidP="00F07BD1">
      <w:pPr>
        <w:pStyle w:val="Heading2"/>
        <w:rPr>
          <w:lang w:val="fr-FR"/>
        </w:rPr>
      </w:pPr>
      <w:bookmarkStart w:id="130" w:name="_Toc394837851"/>
      <w:proofErr w:type="gramStart"/>
      <w:r w:rsidRPr="00396473">
        <w:rPr>
          <w:lang w:val="fr-FR"/>
        </w:rPr>
        <w:t>2.A.6.1</w:t>
      </w:r>
      <w:proofErr w:type="gramEnd"/>
      <w:r w:rsidRPr="00396473">
        <w:rPr>
          <w:lang w:val="fr-FR"/>
        </w:rPr>
        <w:t>. Descrierea tipului și exemple de acțiuni care urmează să fie sprijinite și contribuțiile preconizate la obiectivele specifice, inclusiv, după caz, identificarea principalelor grupuri țintă, a teritoriilor specifice vizate și a tipurilor de beneficiary</w:t>
      </w:r>
      <w:bookmarkEnd w:id="130"/>
    </w:p>
    <w:p w:rsidR="00F07BD1" w:rsidRPr="00A77C97" w:rsidRDefault="00F07BD1" w:rsidP="00215DFC">
      <w:pPr>
        <w:keepNext/>
        <w:rPr>
          <w:rFonts w:eastAsia="Times New Roman"/>
          <w:b/>
          <w:szCs w:val="24"/>
          <w:lang w:val="fr-FR"/>
        </w:rPr>
      </w:pPr>
      <w:r w:rsidRPr="00A77C97">
        <w:rPr>
          <w:rFonts w:eastAsia="Times New Roman"/>
          <w:b/>
          <w:szCs w:val="24"/>
          <w:lang w:val="fr-FR"/>
        </w:rPr>
        <w:t>Acțiuni pentrucreșterea capacității de cooperare și a eficienței instituțiilor publice în contextul cooperării transfrontaliere</w:t>
      </w:r>
    </w:p>
    <w:p w:rsidR="00C760E0" w:rsidRPr="00F07BD1" w:rsidRDefault="00C760E0" w:rsidP="00C760E0">
      <w:pPr>
        <w:rPr>
          <w:lang w:val="ro-RO"/>
        </w:rPr>
      </w:pPr>
      <w:r w:rsidRPr="00F07BD1">
        <w:rPr>
          <w:lang w:val="ro-RO"/>
        </w:rPr>
        <w:t>Programul își propune să asiste institu</w:t>
      </w:r>
      <w:r w:rsidR="00F07BD1" w:rsidRPr="00F07BD1">
        <w:rPr>
          <w:lang w:val="ro-RO"/>
        </w:rPr>
        <w:t>ți</w:t>
      </w:r>
      <w:r w:rsidRPr="00F07BD1">
        <w:rPr>
          <w:lang w:val="ro-RO"/>
        </w:rPr>
        <w:t xml:space="preserve">ile în furnizarea unor politici și servicii mai eficiente, adaptabile și personalizate, de calitate comparabilă, în regiunea transfrontalieră dezvoltând în același timp soluții novatoare în lumina guvernării la mai multe niveluri și cooperarea transfrontalieră. </w:t>
      </w:r>
    </w:p>
    <w:p w:rsidR="006F3934" w:rsidRPr="00F07BD1" w:rsidRDefault="006F3934" w:rsidP="006F3934">
      <w:pPr>
        <w:rPr>
          <w:lang w:val="ro-RO"/>
        </w:rPr>
      </w:pPr>
      <w:r w:rsidRPr="00F07BD1">
        <w:rPr>
          <w:lang w:val="ro-RO"/>
        </w:rPr>
        <w:t>Mai mult, programul se așteaptă ca actorii locali să colaboreze cu autoritățile publice pentru a identifica soluții inovatoare pentru servicii publice.</w:t>
      </w:r>
    </w:p>
    <w:p w:rsidR="006F3934" w:rsidRPr="00F07BD1" w:rsidRDefault="006F3934" w:rsidP="006F3934">
      <w:pPr>
        <w:rPr>
          <w:lang w:val="ro-RO"/>
        </w:rPr>
      </w:pPr>
      <w:r w:rsidRPr="00F07BD1">
        <w:rPr>
          <w:lang w:val="ro-RO"/>
        </w:rPr>
        <w:t xml:space="preserve">Setul de acțiuni ce vor fi susținute în zona transfrontalieră corespunde integral obiectivului specific „creșterea capacității de cooperare și a eficienței administrațiilor publice în contextul PCT” și prevede următoarele: </w:t>
      </w:r>
    </w:p>
    <w:p w:rsidR="00D571AB" w:rsidRPr="00F07BD1" w:rsidRDefault="00F07BD1" w:rsidP="00D571AB">
      <w:pPr>
        <w:rPr>
          <w:b/>
          <w:u w:val="single"/>
          <w:lang w:val="ro-RO"/>
        </w:rPr>
      </w:pPr>
      <w:r w:rsidRPr="00F07BD1">
        <w:rPr>
          <w:b/>
          <w:u w:val="single"/>
          <w:lang w:val="ro-RO"/>
        </w:rPr>
        <w:t>Mă</w:t>
      </w:r>
      <w:r w:rsidR="00D571AB" w:rsidRPr="00F07BD1">
        <w:rPr>
          <w:b/>
          <w:u w:val="single"/>
          <w:lang w:val="ro-RO"/>
        </w:rPr>
        <w:t>suri nestructurale:</w:t>
      </w:r>
    </w:p>
    <w:p w:rsidR="00D571AB" w:rsidRPr="00F07BD1" w:rsidRDefault="00D571AB" w:rsidP="00190976">
      <w:pPr>
        <w:numPr>
          <w:ilvl w:val="0"/>
          <w:numId w:val="7"/>
        </w:numPr>
        <w:rPr>
          <w:lang w:val="ro-RO"/>
        </w:rPr>
      </w:pPr>
      <w:r w:rsidRPr="00F07BD1">
        <w:rPr>
          <w:lang w:val="ro-RO"/>
        </w:rPr>
        <w:t xml:space="preserve">Analiza și armonizarea cadrului de reglementare </w:t>
      </w:r>
    </w:p>
    <w:p w:rsidR="00D571AB" w:rsidRPr="00F07BD1" w:rsidRDefault="00D571AB" w:rsidP="00190976">
      <w:pPr>
        <w:numPr>
          <w:ilvl w:val="0"/>
          <w:numId w:val="7"/>
        </w:numPr>
        <w:rPr>
          <w:lang w:val="ro-RO"/>
        </w:rPr>
      </w:pPr>
      <w:r w:rsidRPr="00F07BD1">
        <w:rPr>
          <w:lang w:val="ro-RO"/>
        </w:rPr>
        <w:t>Întărirea rețelelor locale/regionale transfrontaliere</w:t>
      </w:r>
    </w:p>
    <w:p w:rsidR="00D571AB" w:rsidRPr="00F07BD1" w:rsidRDefault="00D571AB" w:rsidP="00190976">
      <w:pPr>
        <w:numPr>
          <w:ilvl w:val="0"/>
          <w:numId w:val="7"/>
        </w:numPr>
        <w:rPr>
          <w:lang w:val="ro-RO"/>
        </w:rPr>
      </w:pPr>
      <w:r w:rsidRPr="00F07BD1">
        <w:rPr>
          <w:lang w:val="ro-RO"/>
        </w:rPr>
        <w:t>Elaborarea de strategii de implementare, dezvoltare și transfer de modele și soluții de bune practici (inclusiv bune practici de furnizare a serviciilor publice prin instrumente și metode de e-guvernare), modele organizatorice, instrumente de decizie și promovarea de acțiuni pilot pentru o mai bună participare a tuturor grupurilor societății civile la luarea deciziilor transfrontaliere și locale și la procesul de elaborare a politicilor publice</w:t>
      </w:r>
    </w:p>
    <w:p w:rsidR="005D168D" w:rsidRPr="00F07BD1" w:rsidRDefault="005D168D" w:rsidP="00190976">
      <w:pPr>
        <w:numPr>
          <w:ilvl w:val="0"/>
          <w:numId w:val="7"/>
        </w:numPr>
        <w:rPr>
          <w:lang w:val="ro-RO"/>
        </w:rPr>
      </w:pPr>
      <w:r w:rsidRPr="00F07BD1">
        <w:rPr>
          <w:lang w:val="ro-RO"/>
        </w:rPr>
        <w:t>Coordonarea politicilor și investițiilor în zona programului - dezvoltarea de abordări comune ale problemelor comune - în domenii precum politicile sociale, educație, sănătate, ocuparea forței de muncă și vamă</w:t>
      </w:r>
    </w:p>
    <w:p w:rsidR="005D168D" w:rsidRPr="00F07BD1" w:rsidRDefault="005D168D" w:rsidP="00190976">
      <w:pPr>
        <w:numPr>
          <w:ilvl w:val="0"/>
          <w:numId w:val="7"/>
        </w:numPr>
        <w:rPr>
          <w:lang w:val="ro-RO"/>
        </w:rPr>
      </w:pPr>
      <w:r w:rsidRPr="00F07BD1">
        <w:rPr>
          <w:lang w:val="ro-RO"/>
        </w:rPr>
        <w:t xml:space="preserve">Dezvoltarea de modele de cooperare instituțională și de organizare spațială pentru și între diferite tipuri de teritorii </w:t>
      </w:r>
    </w:p>
    <w:p w:rsidR="005D168D" w:rsidRPr="00F07BD1" w:rsidRDefault="00B8747A" w:rsidP="00190976">
      <w:pPr>
        <w:numPr>
          <w:ilvl w:val="0"/>
          <w:numId w:val="7"/>
        </w:numPr>
        <w:rPr>
          <w:lang w:val="ro-RO"/>
        </w:rPr>
      </w:pPr>
      <w:r>
        <w:rPr>
          <w:lang w:val="ro-RO"/>
        </w:rPr>
        <w:t>Instruirea personalului autorităţ</w:t>
      </w:r>
      <w:r w:rsidR="005D168D" w:rsidRPr="00F07BD1">
        <w:rPr>
          <w:lang w:val="ro-RO"/>
        </w:rPr>
        <w:t>ilor publice pentru creșterea capacității administrației pu</w:t>
      </w:r>
      <w:r>
        <w:rPr>
          <w:lang w:val="ro-RO"/>
        </w:rPr>
        <w:t>blice de a implementa proiecte şi norme UE ş</w:t>
      </w:r>
      <w:r w:rsidR="005D168D" w:rsidRPr="00F07BD1">
        <w:rPr>
          <w:lang w:val="ro-RO"/>
        </w:rPr>
        <w:t>i gestiona programe de investiții publice într-un conte</w:t>
      </w:r>
      <w:r>
        <w:rPr>
          <w:lang w:val="ro-RO"/>
        </w:rPr>
        <w:t>xt de cooperare transfrontalieră</w:t>
      </w:r>
    </w:p>
    <w:p w:rsidR="00090146" w:rsidRPr="00F07BD1" w:rsidRDefault="00090146" w:rsidP="00190976">
      <w:pPr>
        <w:numPr>
          <w:ilvl w:val="0"/>
          <w:numId w:val="7"/>
        </w:numPr>
        <w:rPr>
          <w:lang w:val="ro-RO"/>
        </w:rPr>
      </w:pPr>
      <w:r w:rsidRPr="00F07BD1">
        <w:rPr>
          <w:lang w:val="ro-RO"/>
        </w:rPr>
        <w:t>Elaborarea de modele transfrontaliere de proiectare, testare, extindere, comparare și evaluare a inovațiilor (instrumente, procese, actori, organizații și interfețe) în domeniul serviciilor de interes general, serviciilor sociale și administrației publice</w:t>
      </w:r>
    </w:p>
    <w:p w:rsidR="00090146" w:rsidRPr="00F07BD1" w:rsidRDefault="00090146" w:rsidP="00190976">
      <w:pPr>
        <w:numPr>
          <w:ilvl w:val="0"/>
          <w:numId w:val="7"/>
        </w:numPr>
        <w:rPr>
          <w:lang w:val="ro-RO"/>
        </w:rPr>
      </w:pPr>
      <w:r w:rsidRPr="00F07BD1">
        <w:rPr>
          <w:lang w:val="ro-RO"/>
        </w:rPr>
        <w:t xml:space="preserve">Extinderea specializarii în domeniul dezvoltării și implementării politicilor de cooperare transfrontaliera </w:t>
      </w:r>
    </w:p>
    <w:p w:rsidR="00090146" w:rsidRPr="00F07BD1" w:rsidRDefault="00090146" w:rsidP="00190976">
      <w:pPr>
        <w:numPr>
          <w:ilvl w:val="0"/>
          <w:numId w:val="7"/>
        </w:numPr>
        <w:rPr>
          <w:lang w:val="ro-RO"/>
        </w:rPr>
      </w:pPr>
      <w:r w:rsidRPr="00F07BD1">
        <w:rPr>
          <w:lang w:val="ro-RO"/>
        </w:rPr>
        <w:t>Cresterea conștientizarii privind oportunitățile transfrontaliere (ocupare, îngrijirea sănătății, educație ș.a.).</w:t>
      </w:r>
    </w:p>
    <w:p w:rsidR="00215DFC" w:rsidRPr="006F7519" w:rsidRDefault="00215DFC" w:rsidP="002676B9">
      <w:pPr>
        <w:rPr>
          <w:b/>
          <w:szCs w:val="24"/>
          <w:u w:val="single"/>
          <w:lang w:val="ro-RO"/>
        </w:rPr>
      </w:pPr>
    </w:p>
    <w:p w:rsidR="00215DFC" w:rsidRPr="006F7519" w:rsidRDefault="00215DFC" w:rsidP="002676B9">
      <w:pPr>
        <w:rPr>
          <w:b/>
          <w:szCs w:val="24"/>
          <w:u w:val="single"/>
          <w:lang w:val="ro-RO"/>
        </w:rPr>
      </w:pPr>
    </w:p>
    <w:p w:rsidR="00215DFC" w:rsidRPr="006F7519" w:rsidRDefault="00215DFC" w:rsidP="002676B9">
      <w:pPr>
        <w:rPr>
          <w:b/>
          <w:szCs w:val="24"/>
          <w:u w:val="single"/>
          <w:lang w:val="ro-RO"/>
        </w:rPr>
      </w:pPr>
    </w:p>
    <w:p w:rsidR="00090146" w:rsidRPr="00F07BD1" w:rsidRDefault="00F07BD1" w:rsidP="00090146">
      <w:pPr>
        <w:rPr>
          <w:b/>
          <w:u w:val="single"/>
          <w:lang w:val="ro-RO"/>
        </w:rPr>
      </w:pPr>
      <w:r>
        <w:rPr>
          <w:b/>
          <w:u w:val="single"/>
          <w:lang w:val="ro-RO"/>
        </w:rPr>
        <w:t>Mă</w:t>
      </w:r>
      <w:r w:rsidR="00090146" w:rsidRPr="00F07BD1">
        <w:rPr>
          <w:b/>
          <w:u w:val="single"/>
          <w:lang w:val="ro-RO"/>
        </w:rPr>
        <w:t>suri integrate:</w:t>
      </w:r>
    </w:p>
    <w:p w:rsidR="00090146" w:rsidRPr="00F07BD1" w:rsidRDefault="00090146" w:rsidP="00EC1DA9">
      <w:pPr>
        <w:numPr>
          <w:ilvl w:val="0"/>
          <w:numId w:val="18"/>
        </w:numPr>
        <w:rPr>
          <w:lang w:val="ro-RO"/>
        </w:rPr>
      </w:pPr>
      <w:r w:rsidRPr="00F07BD1">
        <w:rPr>
          <w:lang w:val="ro-RO"/>
        </w:rPr>
        <w:t>susținerea modernizări</w:t>
      </w:r>
      <w:r w:rsidR="00B8747A">
        <w:rPr>
          <w:lang w:val="ro-RO"/>
        </w:rPr>
        <w:t>i</w:t>
      </w:r>
      <w:r w:rsidRPr="00F07BD1">
        <w:rPr>
          <w:lang w:val="ro-RO"/>
        </w:rPr>
        <w:t xml:space="preserve"> serviciilor publice în domenii precum vama, politicile sociale, educația, sănătatea și ocuparea forței de muncă (incluzand  achiziționarea de echipamente și dezvoltarea de infrastructuri)</w:t>
      </w:r>
    </w:p>
    <w:p w:rsidR="00090146" w:rsidRPr="00F07BD1" w:rsidRDefault="00090146" w:rsidP="00EC1DA9">
      <w:pPr>
        <w:numPr>
          <w:ilvl w:val="0"/>
          <w:numId w:val="18"/>
        </w:numPr>
        <w:rPr>
          <w:lang w:val="ro-RO"/>
        </w:rPr>
      </w:pPr>
      <w:r w:rsidRPr="00F07BD1">
        <w:rPr>
          <w:lang w:val="ro-RO"/>
        </w:rPr>
        <w:t>Dezvoltarea de structuri, sisteme și instrumente comune care să asigure continuitatea și să permită maturizarea treptată a cooperării transfrontaliere în zona programului</w:t>
      </w:r>
    </w:p>
    <w:p w:rsidR="00090146" w:rsidRPr="00F07BD1" w:rsidRDefault="00090146" w:rsidP="00EC1DA9">
      <w:pPr>
        <w:numPr>
          <w:ilvl w:val="0"/>
          <w:numId w:val="18"/>
        </w:numPr>
        <w:rPr>
          <w:lang w:val="ro-RO"/>
        </w:rPr>
      </w:pPr>
      <w:r w:rsidRPr="00F07BD1">
        <w:rPr>
          <w:lang w:val="ro-RO"/>
        </w:rPr>
        <w:t>Acțiuni de promovare a reducerii poverii administrative pentru cetățeni</w:t>
      </w:r>
    </w:p>
    <w:p w:rsidR="005C4A5B" w:rsidRPr="00A77C97" w:rsidRDefault="005C4A5B" w:rsidP="009B6D20">
      <w:pPr>
        <w:rPr>
          <w:b/>
          <w:szCs w:val="24"/>
          <w:highlight w:val="red"/>
          <w:lang w:val="fr-FR"/>
        </w:rPr>
      </w:pPr>
    </w:p>
    <w:p w:rsidR="005C4A5B" w:rsidRPr="00F2516F" w:rsidRDefault="005C4A5B" w:rsidP="005C4A5B">
      <w:pPr>
        <w:rPr>
          <w:b/>
          <w:szCs w:val="24"/>
          <w:lang w:val="ro-RO"/>
        </w:rPr>
      </w:pPr>
      <w:r>
        <w:rPr>
          <w:b/>
          <w:szCs w:val="24"/>
          <w:lang w:val="ro-RO"/>
        </w:rPr>
        <w:t>Tipuri de realizări</w:t>
      </w:r>
    </w:p>
    <w:p w:rsidR="005C4A5B" w:rsidRPr="00F2516F" w:rsidRDefault="005C4A5B" w:rsidP="005C4A5B">
      <w:pPr>
        <w:rPr>
          <w:szCs w:val="24"/>
          <w:lang w:val="ro-RO"/>
        </w:rPr>
      </w:pPr>
      <w:r w:rsidRPr="00F2516F">
        <w:rPr>
          <w:szCs w:val="24"/>
          <w:lang w:val="ro-RO"/>
        </w:rPr>
        <w:t>În cadrul acțiunilor sprijinite pot fi obțin</w:t>
      </w:r>
      <w:r>
        <w:rPr>
          <w:szCs w:val="24"/>
          <w:lang w:val="ro-RO"/>
        </w:rPr>
        <w:t>ute tipuri diferite de realizări</w:t>
      </w:r>
      <w:r w:rsidRPr="00F2516F">
        <w:rPr>
          <w:szCs w:val="24"/>
          <w:lang w:val="ro-RO"/>
        </w:rPr>
        <w:t xml:space="preserve">. </w:t>
      </w:r>
      <w:r w:rsidR="00B8747A">
        <w:rPr>
          <w:szCs w:val="24"/>
          <w:lang w:val="ro-RO"/>
        </w:rPr>
        <w:t>O atenție specială va fi acordat</w:t>
      </w:r>
      <w:r w:rsidRPr="00F2516F">
        <w:rPr>
          <w:szCs w:val="24"/>
          <w:lang w:val="ro-RO"/>
        </w:rPr>
        <w:t>ă dezvoltării serviciilor publice și creșterii cooperării pentru o mai bună participare a tuturor grupurilor societății civile la procesul local de elabor</w:t>
      </w:r>
      <w:r>
        <w:rPr>
          <w:szCs w:val="24"/>
          <w:lang w:val="ro-RO"/>
        </w:rPr>
        <w:t xml:space="preserve">are a politicilor și luare a deciziilor. Tipurile de realizări </w:t>
      </w:r>
      <w:r w:rsidRPr="00F2516F">
        <w:rPr>
          <w:szCs w:val="24"/>
          <w:lang w:val="ro-RO"/>
        </w:rPr>
        <w:t>(fără a fi limitate la această listă) pot fi:</w:t>
      </w:r>
    </w:p>
    <w:p w:rsidR="005C4A5B" w:rsidRPr="00F2516F" w:rsidRDefault="005C4A5B" w:rsidP="00EC1DA9">
      <w:pPr>
        <w:pStyle w:val="ListParagraph"/>
        <w:numPr>
          <w:ilvl w:val="0"/>
          <w:numId w:val="25"/>
        </w:numPr>
        <w:rPr>
          <w:szCs w:val="24"/>
          <w:lang w:val="ro-RO"/>
        </w:rPr>
      </w:pPr>
      <w:r w:rsidRPr="00F2516F">
        <w:rPr>
          <w:szCs w:val="24"/>
          <w:lang w:val="ro-RO"/>
        </w:rPr>
        <w:t>Rețele instituționale transfrontaliere la nivel local sau regional,</w:t>
      </w:r>
    </w:p>
    <w:p w:rsidR="005C4A5B" w:rsidRPr="00F2516F" w:rsidRDefault="005C4A5B" w:rsidP="00EC1DA9">
      <w:pPr>
        <w:pStyle w:val="ListParagraph"/>
        <w:numPr>
          <w:ilvl w:val="0"/>
          <w:numId w:val="25"/>
        </w:numPr>
        <w:rPr>
          <w:szCs w:val="24"/>
          <w:lang w:val="ro-RO"/>
        </w:rPr>
      </w:pPr>
      <w:r w:rsidRPr="00F2516F">
        <w:rPr>
          <w:szCs w:val="24"/>
          <w:lang w:val="ro-RO"/>
        </w:rPr>
        <w:t xml:space="preserve">Modele transfrontaliere de îmbunătățire a serviciilor de interes general, serviciilor sociale și a administrației publice, </w:t>
      </w:r>
    </w:p>
    <w:p w:rsidR="005C4A5B" w:rsidRPr="00F2516F" w:rsidRDefault="005C4A5B" w:rsidP="00EC1DA9">
      <w:pPr>
        <w:pStyle w:val="ListParagraph"/>
        <w:numPr>
          <w:ilvl w:val="0"/>
          <w:numId w:val="25"/>
        </w:numPr>
        <w:rPr>
          <w:szCs w:val="24"/>
          <w:lang w:val="ro-RO"/>
        </w:rPr>
      </w:pPr>
      <w:r w:rsidRPr="00F2516F">
        <w:rPr>
          <w:szCs w:val="24"/>
          <w:lang w:val="ro-RO"/>
        </w:rPr>
        <w:t>Sesiuni de formare pentru creșterea capacității de implementare a proiectelor finanțate de UE, a legislației și a gestionării investițiilor publice în zona transfrontalieră,</w:t>
      </w:r>
    </w:p>
    <w:p w:rsidR="005C4A5B" w:rsidRPr="00F2516F" w:rsidRDefault="005C4A5B" w:rsidP="00EC1DA9">
      <w:pPr>
        <w:pStyle w:val="ListParagraph"/>
        <w:numPr>
          <w:ilvl w:val="0"/>
          <w:numId w:val="25"/>
        </w:numPr>
        <w:rPr>
          <w:szCs w:val="24"/>
          <w:lang w:val="ro-RO"/>
        </w:rPr>
      </w:pPr>
      <w:r w:rsidRPr="00F2516F">
        <w:rPr>
          <w:szCs w:val="24"/>
          <w:lang w:val="ro-RO"/>
        </w:rPr>
        <w:t>Informarea cetățenilor cu privire la oportunitățile privind cooperarea instituțională transfrontalieră.</w:t>
      </w:r>
    </w:p>
    <w:p w:rsidR="005C4A5B" w:rsidRPr="00F2516F" w:rsidRDefault="005C4A5B" w:rsidP="005C4A5B">
      <w:pPr>
        <w:rPr>
          <w:b/>
          <w:szCs w:val="24"/>
          <w:lang w:val="ro-RO" w:eastAsia="fr-BE"/>
        </w:rPr>
      </w:pPr>
      <w:r w:rsidRPr="00F2516F">
        <w:rPr>
          <w:b/>
          <w:szCs w:val="24"/>
          <w:lang w:val="ro-RO" w:eastAsia="fr-BE"/>
        </w:rPr>
        <w:t xml:space="preserve">Principalele grupuri țintă și tipurile de beneficiari </w:t>
      </w:r>
    </w:p>
    <w:p w:rsidR="005C4A5B" w:rsidRPr="00F2516F" w:rsidRDefault="005C4A5B" w:rsidP="005C4A5B">
      <w:pPr>
        <w:rPr>
          <w:lang w:val="ro-RO"/>
        </w:rPr>
      </w:pPr>
      <w:r w:rsidRPr="00A25FAD">
        <w:rPr>
          <w:b/>
          <w:lang w:val="ro-RO"/>
        </w:rPr>
        <w:t>Beneficiarii</w:t>
      </w:r>
      <w:r w:rsidRPr="00F2516F">
        <w:rPr>
          <w:lang w:val="ro-RO"/>
        </w:rPr>
        <w:t xml:space="preserve"> acestei axe prioritare sunt instituțiile publice sau organizațiile de servicii publice de orice fel (orice organizație non-profit cu personalitate juridică publică sau privată care livrează/furnizează un serviciu public conform legii). Dat fiind faptul că grupul de beneficiari este considerabil, dar și bine definit, </w:t>
      </w:r>
      <w:r w:rsidRPr="00A25FAD">
        <w:rPr>
          <w:b/>
          <w:lang w:val="ro-RO"/>
        </w:rPr>
        <w:t>grupul țintă</w:t>
      </w:r>
      <w:r w:rsidRPr="00F2516F">
        <w:rPr>
          <w:lang w:val="ro-RO"/>
        </w:rPr>
        <w:t xml:space="preserve"> pentru activitățile finanțate în cadrul acestei axe este identic cu grupul beneficiarilor.</w:t>
      </w:r>
    </w:p>
    <w:p w:rsidR="005C4A5B" w:rsidRPr="00F2516F" w:rsidRDefault="005C4A5B" w:rsidP="005C4A5B">
      <w:pPr>
        <w:rPr>
          <w:lang w:val="ro-RO"/>
        </w:rPr>
      </w:pPr>
      <w:r w:rsidRPr="00A25FAD">
        <w:rPr>
          <w:b/>
          <w:lang w:val="ro-RO"/>
        </w:rPr>
        <w:t>Grupul țintă</w:t>
      </w:r>
      <w:r w:rsidRPr="00A25FAD">
        <w:rPr>
          <w:lang w:val="ro-RO"/>
        </w:rPr>
        <w:t xml:space="preserve"> și</w:t>
      </w:r>
      <w:r w:rsidRPr="00A25FAD">
        <w:rPr>
          <w:b/>
          <w:lang w:val="ro-RO"/>
        </w:rPr>
        <w:t xml:space="preserve"> beneficiarii potențiali</w:t>
      </w:r>
      <w:r w:rsidRPr="00F2516F">
        <w:rPr>
          <w:lang w:val="ro-RO"/>
        </w:rPr>
        <w:t xml:space="preserve"> include următoarele sub categorii:</w:t>
      </w:r>
    </w:p>
    <w:p w:rsidR="005C4A5B" w:rsidRPr="00F2516F" w:rsidRDefault="005C4A5B" w:rsidP="00EC1DA9">
      <w:pPr>
        <w:pStyle w:val="ListParagraph"/>
        <w:numPr>
          <w:ilvl w:val="0"/>
          <w:numId w:val="26"/>
        </w:numPr>
        <w:rPr>
          <w:lang w:val="ro-RO"/>
        </w:rPr>
      </w:pPr>
      <w:r w:rsidRPr="00F2516F">
        <w:rPr>
          <w:lang w:val="ro-RO"/>
        </w:rPr>
        <w:t>Unitățile administrației publice locale (municipalități, consilii județene, administrații de district, etc.),</w:t>
      </w:r>
    </w:p>
    <w:p w:rsidR="005C4A5B" w:rsidRPr="00F2516F" w:rsidRDefault="005C4A5B" w:rsidP="00EC1DA9">
      <w:pPr>
        <w:pStyle w:val="ListParagraph"/>
        <w:numPr>
          <w:ilvl w:val="0"/>
          <w:numId w:val="26"/>
        </w:numPr>
        <w:rPr>
          <w:lang w:val="ro-RO"/>
        </w:rPr>
      </w:pPr>
      <w:r w:rsidRPr="00F2516F">
        <w:rPr>
          <w:lang w:val="ro-RO"/>
        </w:rPr>
        <w:t xml:space="preserve">Instituții publice cu competențe sectoriale cheie în </w:t>
      </w:r>
      <w:r>
        <w:rPr>
          <w:lang w:val="ro-RO"/>
        </w:rPr>
        <w:t>zona</w:t>
      </w:r>
      <w:r w:rsidRPr="00F2516F">
        <w:rPr>
          <w:lang w:val="ro-RO"/>
        </w:rPr>
        <w:t xml:space="preserve"> transfrontalieră și organismele lor locale (administrațiile bazinului râului, agențiile și inspectoratele de mediu, administrația publică a pădurilor, instituții/administrații de îmbunătățiri funciare, agențiile meteorologice publice, etc),</w:t>
      </w:r>
    </w:p>
    <w:p w:rsidR="005C4A5B" w:rsidRPr="00F2516F" w:rsidRDefault="005C4A5B" w:rsidP="00EC1DA9">
      <w:pPr>
        <w:pStyle w:val="ListParagraph"/>
        <w:numPr>
          <w:ilvl w:val="0"/>
          <w:numId w:val="26"/>
        </w:numPr>
        <w:rPr>
          <w:lang w:val="ro-RO"/>
        </w:rPr>
      </w:pPr>
      <w:r w:rsidRPr="00F2516F">
        <w:rPr>
          <w:lang w:val="ro-RO"/>
        </w:rPr>
        <w:t>ONG-uri cu activități relevante pentru regiunea transfrontalieră (ONG-ur</w:t>
      </w:r>
      <w:r>
        <w:rPr>
          <w:lang w:val="ro-RO"/>
        </w:rPr>
        <w:t>i care livrează servicii de inte</w:t>
      </w:r>
      <w:r w:rsidRPr="00F2516F">
        <w:rPr>
          <w:lang w:val="ro-RO"/>
        </w:rPr>
        <w:t>res public în regiune: sănătate, îngrijirea bătrânilor sau copiilor, servicii de transport pentru persoanele cu dizabilități, alte servicii pentru persoane cu dificultăți socio-economice, etc. ).</w:t>
      </w:r>
    </w:p>
    <w:p w:rsidR="005C4A5B" w:rsidRPr="00F2516F" w:rsidRDefault="005C4A5B" w:rsidP="00EC1DA9">
      <w:pPr>
        <w:pStyle w:val="ListParagraph"/>
        <w:numPr>
          <w:ilvl w:val="0"/>
          <w:numId w:val="26"/>
        </w:numPr>
        <w:rPr>
          <w:lang w:val="ro-RO"/>
        </w:rPr>
      </w:pPr>
      <w:r w:rsidRPr="00F2516F">
        <w:rPr>
          <w:lang w:val="ro-RO"/>
        </w:rPr>
        <w:t>Organismele descentralizate ale instituțiilor publice: serviciul vamal, poliția de frontier</w:t>
      </w:r>
      <w:r w:rsidR="00B8747A">
        <w:rPr>
          <w:lang w:val="ro-RO"/>
        </w:rPr>
        <w:t>ă</w:t>
      </w:r>
      <w:r w:rsidRPr="00F2516F">
        <w:rPr>
          <w:lang w:val="ro-RO"/>
        </w:rPr>
        <w:t>, agențiile de ocupare a forței de munc</w:t>
      </w:r>
      <w:r>
        <w:rPr>
          <w:lang w:val="ro-RO"/>
        </w:rPr>
        <w:t>ă</w:t>
      </w:r>
      <w:r w:rsidRPr="00F2516F">
        <w:rPr>
          <w:lang w:val="ro-RO"/>
        </w:rPr>
        <w:t>, inspectoratele școlare, d</w:t>
      </w:r>
      <w:r w:rsidR="00B8747A">
        <w:rPr>
          <w:lang w:val="ro-RO"/>
        </w:rPr>
        <w:t>irecțiile de sănătate și altele</w:t>
      </w:r>
    </w:p>
    <w:p w:rsidR="005C4A5B" w:rsidRPr="00F2516F" w:rsidRDefault="005C4A5B" w:rsidP="00EC1DA9">
      <w:pPr>
        <w:pStyle w:val="ListParagraph"/>
        <w:numPr>
          <w:ilvl w:val="0"/>
          <w:numId w:val="26"/>
        </w:numPr>
        <w:rPr>
          <w:lang w:val="ro-RO"/>
        </w:rPr>
      </w:pPr>
      <w:r w:rsidRPr="00F2516F">
        <w:rPr>
          <w:lang w:val="ro-RO"/>
        </w:rPr>
        <w:lastRenderedPageBreak/>
        <w:t>Instituții publice care furnizează servicii publice, precum: spitale, universităț</w:t>
      </w:r>
      <w:r>
        <w:rPr>
          <w:lang w:val="ro-RO"/>
        </w:rPr>
        <w:t>i</w:t>
      </w:r>
      <w:r w:rsidRPr="00F2516F">
        <w:rPr>
          <w:lang w:val="ro-RO"/>
        </w:rPr>
        <w:t>, licee, școli, unități medicale locale, instituții</w:t>
      </w:r>
      <w:r>
        <w:rPr>
          <w:lang w:val="ro-RO"/>
        </w:rPr>
        <w:t xml:space="preserve"> locale</w:t>
      </w:r>
      <w:r w:rsidRPr="00F2516F">
        <w:rPr>
          <w:lang w:val="ro-RO"/>
        </w:rPr>
        <w:t xml:space="preserve"> de servicii </w:t>
      </w:r>
      <w:r>
        <w:rPr>
          <w:lang w:val="ro-RO"/>
        </w:rPr>
        <w:t>sociale</w:t>
      </w:r>
      <w:r w:rsidRPr="00F2516F">
        <w:rPr>
          <w:lang w:val="ro-RO"/>
        </w:rPr>
        <w:t xml:space="preserve"> și altele.</w:t>
      </w:r>
    </w:p>
    <w:p w:rsidR="005C4A5B" w:rsidRPr="00F2516F" w:rsidRDefault="005C4A5B" w:rsidP="005C4A5B">
      <w:pPr>
        <w:rPr>
          <w:b/>
          <w:lang w:val="ro-RO"/>
        </w:rPr>
      </w:pPr>
      <w:r w:rsidRPr="00F2516F">
        <w:rPr>
          <w:b/>
          <w:lang w:val="ro-RO"/>
        </w:rPr>
        <w:t>Regiunile specifice vizate</w:t>
      </w:r>
    </w:p>
    <w:p w:rsidR="005C4A5B" w:rsidRDefault="005C4A5B" w:rsidP="005C4A5B">
      <w:pPr>
        <w:rPr>
          <w:color w:val="FF0000"/>
          <w:lang w:val="ro-RO"/>
        </w:rPr>
      </w:pPr>
      <w:r w:rsidRPr="00F2516F">
        <w:rPr>
          <w:lang w:val="ro-RO"/>
        </w:rPr>
        <w:t xml:space="preserve">Datorită faptului </w:t>
      </w:r>
      <w:r w:rsidRPr="005C4A5B">
        <w:rPr>
          <w:lang w:val="ro-RO"/>
        </w:rPr>
        <w:t>că axa vizează dezvoltarea capacității administrative și creșterea cooperării în general, sunt eligibili toți beneficiarii din toată zona transfrontalieră.</w:t>
      </w:r>
    </w:p>
    <w:p w:rsidR="004D5CFB" w:rsidRPr="006F7519" w:rsidRDefault="005C4A5B" w:rsidP="00BB60A1">
      <w:pPr>
        <w:pStyle w:val="Heading2"/>
        <w:rPr>
          <w:highlight w:val="red"/>
          <w:lang w:val="it-IT"/>
        </w:rPr>
      </w:pPr>
      <w:bookmarkStart w:id="131" w:name="_Toc394837852"/>
      <w:r w:rsidRPr="006F7519">
        <w:rPr>
          <w:lang w:val="it-IT"/>
        </w:rPr>
        <w:t>2.A.6.2. Principiile directoare pentru selectarea operațiunilor</w:t>
      </w:r>
      <w:bookmarkEnd w:id="131"/>
    </w:p>
    <w:p w:rsidR="004D5CFB" w:rsidRPr="006F7519" w:rsidRDefault="005C4A5B" w:rsidP="004D5CFB">
      <w:pPr>
        <w:spacing w:line="276" w:lineRule="auto"/>
        <w:rPr>
          <w:rFonts w:eastAsia="Times New Roman"/>
          <w:i/>
          <w:szCs w:val="24"/>
          <w:highlight w:val="red"/>
          <w:lang w:val="it-IT"/>
        </w:rPr>
      </w:pPr>
      <w:r w:rsidRPr="006F7519">
        <w:rPr>
          <w:rFonts w:eastAsia="Times New Roman"/>
          <w:i/>
          <w:szCs w:val="24"/>
          <w:lang w:val="it-IT"/>
        </w:rPr>
        <w:t>Prioritate de investiții</w:t>
      </w:r>
      <w:r w:rsidR="004D5CFB" w:rsidRPr="006F7519">
        <w:rPr>
          <w:rFonts w:eastAsia="Times New Roman"/>
          <w:i/>
          <w:szCs w:val="24"/>
          <w:lang w:val="it-IT"/>
        </w:rPr>
        <w:t xml:space="preserve"> 11.iv</w:t>
      </w:r>
    </w:p>
    <w:p w:rsidR="005C4A5B" w:rsidRPr="00F2516F" w:rsidRDefault="005C4A5B" w:rsidP="005C4A5B">
      <w:pPr>
        <w:rPr>
          <w:szCs w:val="24"/>
          <w:lang w:val="ro-RO"/>
        </w:rPr>
      </w:pPr>
      <w:r w:rsidRPr="00F2516F">
        <w:rPr>
          <w:szCs w:val="24"/>
          <w:lang w:val="ro-RO"/>
        </w:rPr>
        <w:t>Selectarea operațiunilor va fi realizată într-o manieră similară pentru toate axele prioritare. O atenție specială va fi acordată asigurării că investițiile sprijinite sub acest obiectiv specific nu se vor suprapune cu orice alte activități/</w:t>
      </w:r>
      <w:r>
        <w:rPr>
          <w:szCs w:val="24"/>
          <w:lang w:val="ro-RO"/>
        </w:rPr>
        <w:t>realizări</w:t>
      </w:r>
      <w:r w:rsidRPr="00F2516F">
        <w:rPr>
          <w:szCs w:val="24"/>
          <w:lang w:val="ro-RO"/>
        </w:rPr>
        <w:t xml:space="preserve"> finanțate prin alte instrumente de intervenție. </w:t>
      </w:r>
    </w:p>
    <w:p w:rsidR="005C4A5B" w:rsidRPr="00F2516F" w:rsidRDefault="005C4A5B" w:rsidP="005C4A5B">
      <w:pPr>
        <w:rPr>
          <w:szCs w:val="24"/>
          <w:lang w:val="ro-RO"/>
        </w:rPr>
      </w:pPr>
      <w:r w:rsidRPr="00F2516F">
        <w:rPr>
          <w:szCs w:val="24"/>
          <w:lang w:val="ro-RO"/>
        </w:rPr>
        <w:t xml:space="preserve">Evaluarea va avea două faze. O fază va privi criteriile administrative și de eligibilitate, realizată într-un mod strict de către Secretariatul Comun (SC). A doua fază va privi evaluarea tehnică, realizată, dacă este necesar, cu ajutorul experților externi contractați. </w:t>
      </w:r>
    </w:p>
    <w:p w:rsidR="005C4A5B" w:rsidRPr="00F2516F" w:rsidRDefault="005C4A5B" w:rsidP="005C4A5B">
      <w:pPr>
        <w:rPr>
          <w:szCs w:val="24"/>
          <w:lang w:val="ro-RO"/>
        </w:rPr>
      </w:pPr>
      <w:r w:rsidRPr="00F2516F">
        <w:rPr>
          <w:szCs w:val="24"/>
          <w:lang w:val="ro-RO"/>
        </w:rPr>
        <w:t xml:space="preserve">Criteriile de eligibilitate vor verifica atât eligibilitatea operațiunilor, cât și a beneficiarilor și a cheltuielilor. </w:t>
      </w:r>
    </w:p>
    <w:p w:rsidR="005C4A5B" w:rsidRPr="00F2516F" w:rsidRDefault="005C4A5B" w:rsidP="005C4A5B">
      <w:pPr>
        <w:rPr>
          <w:rFonts w:eastAsia="Times New Roman"/>
          <w:szCs w:val="24"/>
          <w:lang w:val="ro-RO" w:eastAsia="fr-BE"/>
        </w:rPr>
      </w:pPr>
      <w:r w:rsidRPr="00F2516F">
        <w:rPr>
          <w:rFonts w:eastAsia="Times New Roman"/>
          <w:szCs w:val="24"/>
          <w:lang w:val="ro-RO" w:eastAsia="fr-BE"/>
        </w:rPr>
        <w:t xml:space="preserve">Operațiunile sunt eligibile dacă sunt cuprinse în obiectivele specifice ale Programului și dacă ele contribuie la măcar unul din rezultatele programului. </w:t>
      </w:r>
    </w:p>
    <w:p w:rsidR="005C4A5B" w:rsidRPr="00F2516F" w:rsidRDefault="005C4A5B" w:rsidP="005C4A5B">
      <w:pPr>
        <w:rPr>
          <w:rFonts w:eastAsia="Times New Roman"/>
          <w:szCs w:val="24"/>
          <w:lang w:val="ro-RO" w:eastAsia="fr-BE"/>
        </w:rPr>
      </w:pPr>
      <w:r w:rsidRPr="00F2516F">
        <w:rPr>
          <w:rFonts w:eastAsia="Times New Roman"/>
          <w:szCs w:val="24"/>
          <w:lang w:val="ro-RO" w:eastAsia="fr-BE"/>
        </w:rPr>
        <w:t xml:space="preserve">În cazul în care o operațiune nu contribuie la obiectivul specific și la unul din rezultatele programului, ea va fi respinsă în prima fază (evaluarea administrativă și de eligibilitate). Gradul în care o operațiune contribuie la obiectivele specifice și </w:t>
      </w:r>
      <w:r>
        <w:rPr>
          <w:rFonts w:eastAsia="Times New Roman"/>
          <w:szCs w:val="24"/>
          <w:lang w:val="ro-RO" w:eastAsia="fr-BE"/>
        </w:rPr>
        <w:t xml:space="preserve">la </w:t>
      </w:r>
      <w:r w:rsidRPr="00F2516F">
        <w:rPr>
          <w:rFonts w:eastAsia="Times New Roman"/>
          <w:szCs w:val="24"/>
          <w:lang w:val="ro-RO" w:eastAsia="fr-BE"/>
        </w:rPr>
        <w:t xml:space="preserve">rezultate va fi punctată în cadrul evaluării tehnice. </w:t>
      </w:r>
    </w:p>
    <w:p w:rsidR="005C4A5B" w:rsidRPr="00F2516F" w:rsidRDefault="005C4A5B" w:rsidP="005C4A5B">
      <w:pPr>
        <w:rPr>
          <w:rFonts w:eastAsia="Times New Roman"/>
          <w:szCs w:val="24"/>
          <w:lang w:val="ro-RO" w:eastAsia="fr-BE"/>
        </w:rPr>
      </w:pPr>
      <w:r w:rsidRPr="00F2516F">
        <w:rPr>
          <w:rFonts w:eastAsia="Times New Roman"/>
          <w:szCs w:val="24"/>
          <w:lang w:val="ro-RO" w:eastAsia="fr-BE"/>
        </w:rPr>
        <w:t>Beneficiarii eligibil</w:t>
      </w:r>
      <w:r>
        <w:rPr>
          <w:rFonts w:eastAsia="Times New Roman"/>
          <w:szCs w:val="24"/>
          <w:lang w:val="ro-RO" w:eastAsia="fr-BE"/>
        </w:rPr>
        <w:t>i</w:t>
      </w:r>
      <w:r w:rsidRPr="00F2516F">
        <w:rPr>
          <w:rFonts w:eastAsia="Times New Roman"/>
          <w:szCs w:val="24"/>
          <w:lang w:val="ro-RO" w:eastAsia="fr-BE"/>
        </w:rPr>
        <w:t xml:space="preserve"> sunt instituțiile publice și private responsabile pentru inițierea sau inițierea și implementarea operațiunilor ce respectă condițiile specifice din cererile de propuneri. </w:t>
      </w:r>
    </w:p>
    <w:p w:rsidR="005C4A5B" w:rsidRPr="00F2516F" w:rsidRDefault="005C4A5B" w:rsidP="005C4A5B">
      <w:pPr>
        <w:rPr>
          <w:rFonts w:eastAsia="Times New Roman"/>
          <w:szCs w:val="24"/>
          <w:lang w:val="ro-RO" w:eastAsia="fr-BE"/>
        </w:rPr>
      </w:pPr>
      <w:r w:rsidRPr="00F2516F">
        <w:rPr>
          <w:rFonts w:eastAsia="Times New Roman"/>
          <w:szCs w:val="24"/>
          <w:lang w:val="ro-RO" w:eastAsia="fr-BE"/>
        </w:rPr>
        <w:t xml:space="preserve">În ceea ce privește cheltuielile eligibile, lista va fi aprobată de către Comitetul de Monitorizare. </w:t>
      </w:r>
      <w:r w:rsidRPr="00AB6AD7">
        <w:rPr>
          <w:rFonts w:eastAsia="Times New Roman"/>
          <w:szCs w:val="24"/>
          <w:lang w:val="ro-RO" w:eastAsia="fr-BE"/>
        </w:rPr>
        <w:t>Niciun alt act legal național nu este necesar</w:t>
      </w:r>
      <w:r w:rsidRPr="00F2516F">
        <w:rPr>
          <w:rFonts w:eastAsia="Times New Roman"/>
          <w:color w:val="FF0000"/>
          <w:szCs w:val="24"/>
          <w:lang w:val="ro-RO" w:eastAsia="fr-BE"/>
        </w:rPr>
        <w:t xml:space="preserve">. </w:t>
      </w:r>
      <w:r w:rsidRPr="00F2516F">
        <w:rPr>
          <w:rFonts w:eastAsia="Times New Roman"/>
          <w:szCs w:val="24"/>
          <w:lang w:val="ro-RO" w:eastAsia="fr-BE"/>
        </w:rPr>
        <w:t>În cadrul fazei administrative va fi verificată doar conformitatea tipurilor de cheltuieli.</w:t>
      </w:r>
    </w:p>
    <w:p w:rsidR="005C4A5B" w:rsidRPr="00F2516F" w:rsidRDefault="005C4A5B" w:rsidP="005C4A5B">
      <w:pPr>
        <w:rPr>
          <w:rFonts w:eastAsia="Times New Roman"/>
          <w:szCs w:val="24"/>
          <w:lang w:val="ro-RO" w:eastAsia="fr-BE"/>
        </w:rPr>
      </w:pPr>
      <w:r w:rsidRPr="00F2516F">
        <w:rPr>
          <w:rFonts w:eastAsia="Times New Roman"/>
          <w:szCs w:val="24"/>
          <w:lang w:val="ro-RO" w:eastAsia="fr-BE"/>
        </w:rPr>
        <w:t xml:space="preserve">După ce SC </w:t>
      </w:r>
      <w:r>
        <w:rPr>
          <w:rFonts w:eastAsia="Times New Roman"/>
          <w:szCs w:val="24"/>
          <w:lang w:val="ro-RO" w:eastAsia="fr-BE"/>
        </w:rPr>
        <w:t>evaluează</w:t>
      </w:r>
      <w:r w:rsidRPr="00F2516F">
        <w:rPr>
          <w:rFonts w:eastAsia="Times New Roman"/>
          <w:szCs w:val="24"/>
          <w:lang w:val="ro-RO" w:eastAsia="fr-BE"/>
        </w:rPr>
        <w:t xml:space="preserve"> proiectele, lista va fi înaintată Comitetului de Monitorizare pentru decizia privind selectarea.</w:t>
      </w:r>
    </w:p>
    <w:p w:rsidR="005C4A5B" w:rsidRDefault="005C4A5B" w:rsidP="005C4A5B">
      <w:pPr>
        <w:rPr>
          <w:rStyle w:val="Heading2Char"/>
          <w:rFonts w:eastAsia="Calibri"/>
          <w:lang w:val="ro-RO"/>
        </w:rPr>
      </w:pPr>
    </w:p>
    <w:p w:rsidR="00316548" w:rsidRPr="0000777B" w:rsidRDefault="005C4A5B" w:rsidP="005C4A5B">
      <w:pPr>
        <w:rPr>
          <w:highlight w:val="red"/>
          <w:lang w:val="ro-RO"/>
        </w:rPr>
      </w:pPr>
      <w:bookmarkStart w:id="132" w:name="_Toc394837853"/>
      <w:r w:rsidRPr="005C4A5B">
        <w:rPr>
          <w:rStyle w:val="Heading2Char"/>
          <w:rFonts w:eastAsia="Calibri"/>
          <w:lang w:val="ro-RO"/>
        </w:rPr>
        <w:t>2.A.6.3. Utilizarea planificată a instrumentelor financiare</w:t>
      </w:r>
      <w:bookmarkEnd w:id="132"/>
      <w:r w:rsidR="00316548" w:rsidRPr="0000777B">
        <w:rPr>
          <w:lang w:val="ro-RO"/>
        </w:rPr>
        <w:t xml:space="preserve"> (după caz)</w:t>
      </w:r>
    </w:p>
    <w:p w:rsidR="005C4A5B" w:rsidRPr="0000777B" w:rsidRDefault="005C4A5B" w:rsidP="005C4A5B">
      <w:pPr>
        <w:keepNext/>
        <w:spacing w:after="240"/>
        <w:outlineLvl w:val="2"/>
        <w:rPr>
          <w:rFonts w:eastAsia="Times New Roman"/>
          <w:b/>
          <w:i/>
          <w:lang w:val="ro-RO"/>
        </w:rPr>
      </w:pPr>
      <w:r w:rsidRPr="0000777B">
        <w:rPr>
          <w:lang w:val="ro-RO"/>
        </w:rPr>
        <w:t>Nu se aplică</w:t>
      </w:r>
    </w:p>
    <w:p w:rsidR="005C4A5B" w:rsidRDefault="005C4A5B" w:rsidP="005C4A5B">
      <w:pPr>
        <w:rPr>
          <w:lang w:val="ro-RO"/>
        </w:rPr>
      </w:pPr>
      <w:bookmarkStart w:id="133" w:name="_Toc394837854"/>
      <w:r w:rsidRPr="005C4A5B">
        <w:rPr>
          <w:rStyle w:val="Heading2Char"/>
          <w:rFonts w:eastAsia="Calibri"/>
          <w:lang w:val="ro-RO"/>
        </w:rPr>
        <w:t>2.A.6.4. Utilizarea planificată a proiectelor majore</w:t>
      </w:r>
      <w:bookmarkEnd w:id="133"/>
      <w:r w:rsidR="00316548" w:rsidRPr="0000777B">
        <w:rPr>
          <w:lang w:val="ro-RO"/>
        </w:rPr>
        <w:t xml:space="preserve"> (după caz)</w:t>
      </w:r>
    </w:p>
    <w:p w:rsidR="005C4A5B" w:rsidRDefault="005C4A5B" w:rsidP="005C4A5B">
      <w:pPr>
        <w:rPr>
          <w:lang w:val="ro-RO"/>
        </w:rPr>
      </w:pPr>
      <w:r w:rsidRPr="0000777B">
        <w:rPr>
          <w:lang w:val="ro-RO"/>
        </w:rPr>
        <w:t>Nu se aplică</w:t>
      </w:r>
    </w:p>
    <w:p w:rsidR="005C4A5B" w:rsidRPr="0000777B" w:rsidRDefault="005C4A5B" w:rsidP="005C4A5B">
      <w:pPr>
        <w:pStyle w:val="Heading2"/>
        <w:rPr>
          <w:lang w:val="fr-FR"/>
        </w:rPr>
      </w:pPr>
      <w:bookmarkStart w:id="134" w:name="_Toc394837855"/>
      <w:r w:rsidRPr="0000777B">
        <w:rPr>
          <w:lang w:val="ro-RO"/>
        </w:rPr>
        <w:t>2.A.6.5. Indicatori de realizare (pe prioritate de investiții)</w:t>
      </w:r>
      <w:bookmarkEnd w:id="134"/>
    </w:p>
    <w:p w:rsidR="005C4A5B" w:rsidRDefault="005C4A5B" w:rsidP="005C4A5B">
      <w:pPr>
        <w:pStyle w:val="Heading2"/>
        <w:rPr>
          <w:lang w:val="fr-FR"/>
        </w:rPr>
        <w:sectPr w:rsidR="005C4A5B">
          <w:pgSz w:w="11906" w:h="16838"/>
          <w:pgMar w:top="1021" w:right="1418" w:bottom="1021" w:left="1418" w:header="601" w:footer="1077" w:gutter="0"/>
          <w:cols w:space="720"/>
        </w:sectPr>
      </w:pPr>
    </w:p>
    <w:p w:rsidR="005C4A5B" w:rsidRPr="0000777B" w:rsidRDefault="005C4A5B" w:rsidP="005C4A5B">
      <w:pPr>
        <w:pStyle w:val="Heading2"/>
        <w:rPr>
          <w:highlight w:val="red"/>
          <w:lang w:val="fr-FR"/>
        </w:rPr>
      </w:pPr>
      <w:bookmarkStart w:id="135" w:name="_Toc394837856"/>
      <w:r w:rsidRPr="0000777B">
        <w:rPr>
          <w:lang w:val="fr-FR"/>
        </w:rPr>
        <w:lastRenderedPageBreak/>
        <w:t>Tabelul 4: Indicatori de realizare comuni și specifici programului</w:t>
      </w:r>
      <w:bookmarkEnd w:id="135"/>
    </w:p>
    <w:tbl>
      <w:tblPr>
        <w:tblW w:w="5000" w:type="pct"/>
        <w:jc w:val="center"/>
        <w:tblCellMar>
          <w:left w:w="10" w:type="dxa"/>
          <w:right w:w="10" w:type="dxa"/>
        </w:tblCellMar>
        <w:tblLook w:val="04A0" w:firstRow="1" w:lastRow="0" w:firstColumn="1" w:lastColumn="0" w:noHBand="0" w:noVBand="1"/>
      </w:tblPr>
      <w:tblGrid>
        <w:gridCol w:w="978"/>
        <w:gridCol w:w="2494"/>
        <w:gridCol w:w="1580"/>
        <w:gridCol w:w="1229"/>
        <w:gridCol w:w="1443"/>
        <w:gridCol w:w="1562"/>
      </w:tblGrid>
      <w:tr w:rsidR="005C4A5B" w:rsidRPr="008C14D4" w:rsidTr="005C4A5B">
        <w:trPr>
          <w:trHeight w:val="706"/>
          <w:jc w:val="center"/>
        </w:trPr>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4A5B" w:rsidRPr="008C14D4" w:rsidRDefault="005C4A5B" w:rsidP="005C4A5B">
            <w:pPr>
              <w:suppressAutoHyphens/>
              <w:autoSpaceDN w:val="0"/>
              <w:spacing w:before="0" w:after="0" w:line="276" w:lineRule="auto"/>
              <w:ind w:left="283" w:hanging="283"/>
              <w:jc w:val="left"/>
              <w:rPr>
                <w:rFonts w:eastAsia="Times New Roman"/>
                <w:b/>
                <w:szCs w:val="24"/>
                <w:lang w:val="en-US"/>
              </w:rPr>
            </w:pPr>
            <w:r w:rsidRPr="008C14D4">
              <w:rPr>
                <w:rFonts w:eastAsia="Times New Roman"/>
                <w:b/>
                <w:szCs w:val="24"/>
                <w:lang w:val="en-US"/>
              </w:rPr>
              <w:t>ID</w:t>
            </w:r>
          </w:p>
        </w:tc>
        <w:tc>
          <w:tcPr>
            <w:tcW w:w="2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4A5B" w:rsidRPr="008C14D4" w:rsidRDefault="005C4A5B" w:rsidP="005C4A5B">
            <w:pPr>
              <w:suppressAutoHyphens/>
              <w:autoSpaceDN w:val="0"/>
              <w:spacing w:before="0" w:after="0" w:line="276" w:lineRule="auto"/>
              <w:ind w:left="283" w:hanging="283"/>
              <w:jc w:val="left"/>
              <w:rPr>
                <w:rFonts w:eastAsia="Times New Roman"/>
                <w:b/>
                <w:szCs w:val="24"/>
                <w:lang w:val="en-US"/>
              </w:rPr>
            </w:pPr>
            <w:r w:rsidRPr="008C14D4">
              <w:rPr>
                <w:rFonts w:eastAsia="Times New Roman"/>
                <w:b/>
                <w:szCs w:val="24"/>
                <w:lang w:val="en-US"/>
              </w:rPr>
              <w:t>Indicator (denumirea indicatorului)</w:t>
            </w:r>
          </w:p>
        </w:tc>
        <w:tc>
          <w:tcPr>
            <w:tcW w:w="16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4A5B" w:rsidRPr="008C14D4" w:rsidRDefault="005C4A5B" w:rsidP="005C4A5B">
            <w:pPr>
              <w:suppressAutoHyphens/>
              <w:autoSpaceDN w:val="0"/>
              <w:spacing w:before="0" w:after="0" w:line="276" w:lineRule="auto"/>
              <w:jc w:val="left"/>
              <w:rPr>
                <w:rFonts w:eastAsia="Times New Roman"/>
                <w:b/>
                <w:szCs w:val="24"/>
                <w:lang w:val="en-US"/>
              </w:rPr>
            </w:pPr>
            <w:r w:rsidRPr="008C14D4">
              <w:rPr>
                <w:rFonts w:eastAsia="Times New Roman"/>
                <w:b/>
                <w:szCs w:val="24"/>
                <w:lang w:val="en-US"/>
              </w:rPr>
              <w:t>Unitate de măsură</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4A5B" w:rsidRPr="008C14D4" w:rsidRDefault="005C4A5B" w:rsidP="005C4A5B">
            <w:pPr>
              <w:suppressAutoHyphens/>
              <w:autoSpaceDN w:val="0"/>
              <w:spacing w:before="0" w:after="0" w:line="276" w:lineRule="auto"/>
              <w:jc w:val="left"/>
              <w:rPr>
                <w:rFonts w:eastAsia="Times New Roman"/>
                <w:b/>
                <w:szCs w:val="24"/>
                <w:lang w:val="en-US"/>
              </w:rPr>
            </w:pPr>
            <w:r w:rsidRPr="008C14D4">
              <w:rPr>
                <w:rFonts w:eastAsia="Times New Roman"/>
                <w:b/>
                <w:szCs w:val="24"/>
                <w:lang w:val="en-US"/>
              </w:rPr>
              <w:t>Valoarea-țintă (2023)</w:t>
            </w:r>
          </w:p>
        </w:tc>
        <w:tc>
          <w:tcPr>
            <w:tcW w:w="12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4A5B" w:rsidRPr="008C14D4" w:rsidRDefault="005C4A5B" w:rsidP="005C4A5B">
            <w:pPr>
              <w:suppressAutoHyphens/>
              <w:autoSpaceDN w:val="0"/>
              <w:spacing w:before="0" w:after="0" w:line="276" w:lineRule="auto"/>
              <w:jc w:val="left"/>
              <w:rPr>
                <w:rFonts w:eastAsia="Times New Roman"/>
                <w:b/>
                <w:szCs w:val="24"/>
                <w:lang w:val="en-US"/>
              </w:rPr>
            </w:pPr>
            <w:r w:rsidRPr="008C14D4">
              <w:rPr>
                <w:rFonts w:eastAsia="Times New Roman"/>
                <w:b/>
                <w:szCs w:val="24"/>
                <w:lang w:val="en-US"/>
              </w:rPr>
              <w:t>Sursa datelor</w:t>
            </w:r>
          </w:p>
        </w:tc>
        <w:tc>
          <w:tcPr>
            <w:tcW w:w="1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4A5B" w:rsidRPr="008C14D4" w:rsidRDefault="005C4A5B" w:rsidP="005C4A5B">
            <w:pPr>
              <w:suppressAutoHyphens/>
              <w:autoSpaceDN w:val="0"/>
              <w:spacing w:before="0" w:after="0" w:line="276" w:lineRule="auto"/>
              <w:jc w:val="left"/>
              <w:rPr>
                <w:rFonts w:eastAsia="Times New Roman"/>
                <w:b/>
                <w:szCs w:val="24"/>
                <w:lang w:val="en-US"/>
              </w:rPr>
            </w:pPr>
            <w:r w:rsidRPr="008C14D4">
              <w:rPr>
                <w:rFonts w:eastAsia="Times New Roman"/>
                <w:b/>
                <w:szCs w:val="24"/>
                <w:lang w:val="en-US"/>
              </w:rPr>
              <w:t>Frecvența raportării</w:t>
            </w:r>
          </w:p>
        </w:tc>
      </w:tr>
      <w:tr w:rsidR="005B5BA1" w:rsidRPr="000B7282" w:rsidTr="005C4A5B">
        <w:trPr>
          <w:trHeight w:val="79"/>
          <w:jc w:val="center"/>
        </w:trPr>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B5BA1" w:rsidRPr="006902B3" w:rsidRDefault="005803DC" w:rsidP="005803DC">
            <w:pPr>
              <w:suppressAutoHyphens/>
              <w:autoSpaceDN w:val="0"/>
              <w:spacing w:before="0" w:after="0" w:line="276" w:lineRule="auto"/>
              <w:jc w:val="left"/>
              <w:rPr>
                <w:szCs w:val="24"/>
                <w:lang w:val="en-US"/>
              </w:rPr>
            </w:pPr>
            <w:r>
              <w:rPr>
                <w:szCs w:val="24"/>
                <w:lang w:val="en-US"/>
              </w:rPr>
              <w:t>11b.1</w:t>
            </w:r>
            <w:r w:rsidR="005B5BA1" w:rsidRPr="006902B3">
              <w:rPr>
                <w:szCs w:val="24"/>
                <w:lang w:val="en-US"/>
              </w:rPr>
              <w:t xml:space="preserve">. </w:t>
            </w:r>
          </w:p>
        </w:tc>
        <w:tc>
          <w:tcPr>
            <w:tcW w:w="2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39A" w:rsidRPr="005C4A5B" w:rsidRDefault="00EA439A" w:rsidP="005C4A5B">
            <w:pPr>
              <w:jc w:val="left"/>
              <w:rPr>
                <w:lang w:val="ro-RO"/>
              </w:rPr>
            </w:pPr>
            <w:r w:rsidRPr="005C4A5B">
              <w:rPr>
                <w:lang w:val="ro-RO"/>
              </w:rPr>
              <w:t>Număr de mecani</w:t>
            </w:r>
            <w:r w:rsidR="008D7E2B">
              <w:rPr>
                <w:lang w:val="ro-RO"/>
              </w:rPr>
              <w:t>sme transfrontaliere susținute</w:t>
            </w:r>
            <w:r w:rsidRPr="005C4A5B">
              <w:rPr>
                <w:lang w:val="ro-RO"/>
              </w:rPr>
              <w:t xml:space="preserve"> (acor</w:t>
            </w:r>
            <w:r w:rsidR="005C4A5B" w:rsidRPr="005C4A5B">
              <w:rPr>
                <w:lang w:val="ro-RO"/>
              </w:rPr>
              <w:t>d, rețele, reglementări, studii,</w:t>
            </w:r>
            <w:r w:rsidRPr="005C4A5B">
              <w:rPr>
                <w:lang w:val="ro-RO"/>
              </w:rPr>
              <w:t xml:space="preserve"> politici, strategii, instrumente pentru a facilita schimburi de informații) de sporire a capacității de cooperare</w:t>
            </w:r>
          </w:p>
        </w:tc>
        <w:tc>
          <w:tcPr>
            <w:tcW w:w="16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B5BA1" w:rsidRPr="005C4A5B" w:rsidRDefault="005C4A5B" w:rsidP="005C4A5B">
            <w:pPr>
              <w:suppressAutoHyphens/>
              <w:autoSpaceDN w:val="0"/>
              <w:spacing w:before="0" w:after="0" w:line="276" w:lineRule="auto"/>
              <w:jc w:val="left"/>
              <w:rPr>
                <w:szCs w:val="24"/>
                <w:lang w:val="en-US"/>
              </w:rPr>
            </w:pPr>
            <w:r>
              <w:rPr>
                <w:szCs w:val="24"/>
                <w:lang w:val="en-US"/>
              </w:rPr>
              <w:t>Număr</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B5BA1" w:rsidRPr="005C4A5B" w:rsidRDefault="00715E7C" w:rsidP="005C4A5B">
            <w:pPr>
              <w:suppressAutoHyphens/>
              <w:autoSpaceDN w:val="0"/>
              <w:spacing w:before="0" w:after="0" w:line="276" w:lineRule="auto"/>
              <w:jc w:val="left"/>
              <w:rPr>
                <w:rFonts w:eastAsia="Times New Roman"/>
                <w:szCs w:val="24"/>
                <w:lang w:val="en-US"/>
              </w:rPr>
            </w:pPr>
            <w:r w:rsidRPr="005C4A5B">
              <w:rPr>
                <w:rFonts w:eastAsia="Times New Roman"/>
                <w:szCs w:val="24"/>
                <w:lang w:val="en-US"/>
              </w:rPr>
              <w:t>100</w:t>
            </w:r>
          </w:p>
        </w:tc>
        <w:tc>
          <w:tcPr>
            <w:tcW w:w="12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4A5B" w:rsidRDefault="005C4A5B" w:rsidP="005C4A5B">
            <w:pPr>
              <w:spacing w:before="0" w:after="0"/>
              <w:jc w:val="left"/>
              <w:rPr>
                <w:b/>
                <w:bCs/>
                <w:szCs w:val="26"/>
                <w:lang w:val="fr-FR"/>
              </w:rPr>
            </w:pPr>
            <w:r w:rsidRPr="00461E3D">
              <w:rPr>
                <w:color w:val="000000"/>
                <w:szCs w:val="24"/>
              </w:rPr>
              <w:t>Rapoarte de</w:t>
            </w:r>
            <w:r w:rsidR="00B8747A">
              <w:rPr>
                <w:color w:val="000000"/>
                <w:szCs w:val="24"/>
              </w:rPr>
              <w:t xml:space="preserve"> </w:t>
            </w:r>
            <w:r w:rsidRPr="00461E3D">
              <w:rPr>
                <w:color w:val="000000"/>
                <w:szCs w:val="24"/>
              </w:rPr>
              <w:t>monitorizare</w:t>
            </w:r>
          </w:p>
          <w:p w:rsidR="005B5BA1" w:rsidRPr="005C4A5B" w:rsidRDefault="005B5BA1" w:rsidP="005C4A5B">
            <w:pPr>
              <w:suppressAutoHyphens/>
              <w:autoSpaceDN w:val="0"/>
              <w:spacing w:before="0" w:after="0" w:line="276" w:lineRule="auto"/>
              <w:jc w:val="left"/>
              <w:rPr>
                <w:szCs w:val="24"/>
                <w:lang w:val="en-US"/>
              </w:rPr>
            </w:pPr>
          </w:p>
        </w:tc>
        <w:tc>
          <w:tcPr>
            <w:tcW w:w="1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B5BA1" w:rsidRPr="005C4A5B" w:rsidRDefault="005C4A5B" w:rsidP="005C4A5B">
            <w:pPr>
              <w:suppressAutoHyphens/>
              <w:autoSpaceDN w:val="0"/>
              <w:spacing w:before="0" w:after="0" w:line="276" w:lineRule="auto"/>
              <w:jc w:val="left"/>
              <w:rPr>
                <w:szCs w:val="24"/>
                <w:lang w:val="en-US"/>
              </w:rPr>
            </w:pPr>
            <w:r>
              <w:rPr>
                <w:szCs w:val="24"/>
                <w:lang w:val="en-US"/>
              </w:rPr>
              <w:t>A</w:t>
            </w:r>
            <w:r w:rsidR="00321B0F" w:rsidRPr="005C4A5B">
              <w:rPr>
                <w:szCs w:val="24"/>
                <w:lang w:val="en-US"/>
              </w:rPr>
              <w:t>nual</w:t>
            </w:r>
          </w:p>
        </w:tc>
      </w:tr>
    </w:tbl>
    <w:p w:rsidR="005B5BA1" w:rsidRPr="0070649D" w:rsidRDefault="005B5BA1" w:rsidP="0034420A">
      <w:pPr>
        <w:spacing w:after="0" w:line="276" w:lineRule="auto"/>
        <w:rPr>
          <w:rFonts w:eastAsia="Times New Roman"/>
          <w:b/>
          <w:lang w:val="en-US"/>
        </w:rPr>
        <w:sectPr w:rsidR="005B5BA1" w:rsidRPr="0070649D">
          <w:pgSz w:w="11906" w:h="16838"/>
          <w:pgMar w:top="1021" w:right="1418" w:bottom="1021" w:left="1418" w:header="601" w:footer="1077" w:gutter="0"/>
          <w:cols w:space="720"/>
        </w:sectPr>
      </w:pPr>
    </w:p>
    <w:p w:rsidR="005B5BA1" w:rsidRPr="005C4A5B" w:rsidRDefault="005B5BA1" w:rsidP="00BB60A1">
      <w:pPr>
        <w:pStyle w:val="Heading2"/>
        <w:rPr>
          <w:lang w:val="en-US"/>
        </w:rPr>
      </w:pPr>
      <w:bookmarkStart w:id="136" w:name="_Toc394837857"/>
      <w:proofErr w:type="gramStart"/>
      <w:r w:rsidRPr="005C4A5B">
        <w:rPr>
          <w:lang w:val="en-US"/>
        </w:rPr>
        <w:lastRenderedPageBreak/>
        <w:t>2.A.7</w:t>
      </w:r>
      <w:proofErr w:type="gramEnd"/>
      <w:r w:rsidRPr="005C4A5B">
        <w:rPr>
          <w:lang w:val="en-US"/>
        </w:rPr>
        <w:t xml:space="preserve">. </w:t>
      </w:r>
      <w:r w:rsidR="005C4A5B" w:rsidRPr="005C4A5B">
        <w:rPr>
          <w:lang w:val="en-US"/>
        </w:rPr>
        <w:t>Cadrul de performanță</w:t>
      </w:r>
      <w:bookmarkEnd w:id="136"/>
    </w:p>
    <w:p w:rsidR="00552BE0" w:rsidRPr="006F7519" w:rsidRDefault="005C4A5B" w:rsidP="005B5BA1">
      <w:pPr>
        <w:spacing w:after="0" w:line="276" w:lineRule="auto"/>
        <w:rPr>
          <w:rFonts w:eastAsia="Times New Roman"/>
          <w:sz w:val="20"/>
          <w:lang w:val="it-IT"/>
        </w:rPr>
      </w:pPr>
      <w:r w:rsidRPr="006F7519">
        <w:rPr>
          <w:rFonts w:eastAsia="Times New Roman"/>
          <w:sz w:val="20"/>
          <w:lang w:val="it-IT"/>
        </w:rPr>
        <w:t>[Referință: articolul 8 alineatul (2) litera (b) punctul (iv) din Regulamentul (UE) nr. 1299/2013 și anexa II la Regulamentul (UE) nr. 1303/2013]</w:t>
      </w:r>
    </w:p>
    <w:p w:rsidR="005B5BA1" w:rsidRPr="005C4A5B" w:rsidRDefault="005C4A5B" w:rsidP="00BB60A1">
      <w:pPr>
        <w:pStyle w:val="Heading2"/>
        <w:rPr>
          <w:lang w:val="fr-FR"/>
        </w:rPr>
      </w:pPr>
      <w:bookmarkStart w:id="137" w:name="_Toc394837858"/>
      <w:r w:rsidRPr="005C4A5B">
        <w:rPr>
          <w:lang w:val="fr-FR"/>
        </w:rPr>
        <w:t>Tabelul</w:t>
      </w:r>
      <w:r w:rsidR="005B5BA1" w:rsidRPr="005C4A5B">
        <w:rPr>
          <w:lang w:val="fr-FR"/>
        </w:rPr>
        <w:t xml:space="preserve"> 5: </w:t>
      </w:r>
      <w:r w:rsidRPr="005C4A5B">
        <w:rPr>
          <w:lang w:val="fr-FR"/>
        </w:rPr>
        <w:t>Cadrul de performanță al axei prioritare</w:t>
      </w:r>
      <w:r w:rsidR="005B5BA1" w:rsidRPr="005C4A5B">
        <w:rPr>
          <w:lang w:val="fr-FR"/>
        </w:rPr>
        <w:t xml:space="preserve"> 5 – </w:t>
      </w:r>
      <w:r w:rsidRPr="005C4A5B">
        <w:rPr>
          <w:lang w:val="fr-FR"/>
        </w:rPr>
        <w:t>O regiune eficientă</w:t>
      </w:r>
      <w:bookmarkEnd w:id="137"/>
    </w:p>
    <w:tbl>
      <w:tblPr>
        <w:tblW w:w="4730" w:type="pct"/>
        <w:jc w:val="center"/>
        <w:tblLayout w:type="fixed"/>
        <w:tblCellMar>
          <w:left w:w="10" w:type="dxa"/>
          <w:right w:w="10" w:type="dxa"/>
        </w:tblCellMar>
        <w:tblLook w:val="04A0" w:firstRow="1" w:lastRow="0" w:firstColumn="1" w:lastColumn="0" w:noHBand="0" w:noVBand="1"/>
      </w:tblPr>
      <w:tblGrid>
        <w:gridCol w:w="1152"/>
        <w:gridCol w:w="2098"/>
        <w:gridCol w:w="864"/>
        <w:gridCol w:w="2268"/>
        <w:gridCol w:w="1515"/>
        <w:gridCol w:w="1542"/>
        <w:gridCol w:w="1404"/>
        <w:gridCol w:w="1542"/>
        <w:gridCol w:w="1816"/>
      </w:tblGrid>
      <w:tr w:rsidR="005C4A5B" w:rsidRPr="00A158A9" w:rsidTr="005C4A5B">
        <w:trPr>
          <w:trHeight w:val="2064"/>
          <w:jc w:val="center"/>
        </w:trPr>
        <w:tc>
          <w:tcPr>
            <w:tcW w:w="11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4A5B" w:rsidRPr="00461E3D" w:rsidRDefault="005C4A5B" w:rsidP="005C4A5B">
            <w:pPr>
              <w:suppressAutoHyphens/>
              <w:autoSpaceDN w:val="0"/>
              <w:spacing w:before="0" w:after="0" w:line="276" w:lineRule="auto"/>
              <w:jc w:val="left"/>
              <w:rPr>
                <w:rFonts w:eastAsia="Times New Roman"/>
                <w:b/>
                <w:sz w:val="20"/>
                <w:lang w:val="en-US"/>
              </w:rPr>
            </w:pPr>
            <w:r w:rsidRPr="00461E3D">
              <w:rPr>
                <w:rFonts w:eastAsia="Times New Roman"/>
                <w:b/>
                <w:sz w:val="20"/>
                <w:lang w:val="en-US"/>
              </w:rPr>
              <w:t>Axa prioritară</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4A5B" w:rsidRPr="00461E3D" w:rsidRDefault="005C4A5B" w:rsidP="005C4A5B">
            <w:pPr>
              <w:spacing w:before="0" w:after="0" w:line="276" w:lineRule="auto"/>
              <w:jc w:val="left"/>
              <w:rPr>
                <w:rFonts w:eastAsia="Times New Roman"/>
                <w:b/>
                <w:sz w:val="20"/>
                <w:lang w:val="fr-FR"/>
              </w:rPr>
            </w:pPr>
            <w:r w:rsidRPr="00461E3D">
              <w:rPr>
                <w:rFonts w:eastAsia="Times New Roman"/>
                <w:b/>
                <w:sz w:val="20"/>
                <w:lang w:val="fr-FR"/>
              </w:rPr>
              <w:t xml:space="preserve">Tipul Indicatorului (Etapa cheie </w:t>
            </w:r>
            <w:proofErr w:type="gramStart"/>
            <w:r w:rsidRPr="00461E3D">
              <w:rPr>
                <w:rFonts w:eastAsia="Times New Roman"/>
                <w:b/>
                <w:sz w:val="20"/>
                <w:lang w:val="fr-FR"/>
              </w:rPr>
              <w:t>de implementare</w:t>
            </w:r>
            <w:proofErr w:type="gramEnd"/>
            <w:r w:rsidRPr="00461E3D">
              <w:rPr>
                <w:rFonts w:eastAsia="Times New Roman"/>
                <w:b/>
                <w:sz w:val="20"/>
                <w:lang w:val="fr-FR"/>
              </w:rPr>
              <w:t>, indicatorul financiar, indicatorul de realizare sau, dacă este cazul, indicatorul de rezultat)</w:t>
            </w:r>
          </w:p>
        </w:tc>
        <w:tc>
          <w:tcPr>
            <w:tcW w:w="8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4A5B" w:rsidRPr="00461E3D" w:rsidRDefault="005C4A5B" w:rsidP="005C4A5B">
            <w:pPr>
              <w:suppressAutoHyphens/>
              <w:autoSpaceDN w:val="0"/>
              <w:spacing w:before="0" w:after="0" w:line="276" w:lineRule="auto"/>
              <w:jc w:val="left"/>
              <w:rPr>
                <w:rFonts w:eastAsia="Times New Roman"/>
                <w:b/>
                <w:sz w:val="20"/>
                <w:lang w:val="en-US"/>
              </w:rPr>
            </w:pPr>
            <w:r w:rsidRPr="00461E3D">
              <w:rPr>
                <w:rFonts w:eastAsia="Times New Roman"/>
                <w:b/>
                <w:sz w:val="20"/>
                <w:lang w:val="en-US"/>
              </w:rPr>
              <w:t>ID</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4A5B" w:rsidRPr="00461E3D" w:rsidRDefault="005C4A5B" w:rsidP="005C4A5B">
            <w:pPr>
              <w:suppressAutoHyphens/>
              <w:autoSpaceDN w:val="0"/>
              <w:spacing w:before="0" w:after="0" w:line="276" w:lineRule="auto"/>
              <w:jc w:val="left"/>
              <w:rPr>
                <w:b/>
                <w:i/>
                <w:sz w:val="20"/>
                <w:lang w:val="fr-FR"/>
              </w:rPr>
            </w:pPr>
            <w:r w:rsidRPr="00461E3D">
              <w:rPr>
                <w:b/>
                <w:i/>
                <w:sz w:val="20"/>
                <w:lang w:val="fr-FR"/>
              </w:rPr>
              <w:t xml:space="preserve">Indicator sau etapă cheie </w:t>
            </w:r>
            <w:proofErr w:type="gramStart"/>
            <w:r w:rsidRPr="00461E3D">
              <w:rPr>
                <w:b/>
                <w:i/>
                <w:sz w:val="20"/>
                <w:lang w:val="fr-FR"/>
              </w:rPr>
              <w:t>de implementare</w:t>
            </w:r>
            <w:proofErr w:type="gramEnd"/>
          </w:p>
        </w:tc>
        <w:tc>
          <w:tcPr>
            <w:tcW w:w="15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4A5B" w:rsidRPr="00461E3D" w:rsidRDefault="005C4A5B" w:rsidP="005C4A5B">
            <w:pPr>
              <w:suppressAutoHyphens/>
              <w:autoSpaceDN w:val="0"/>
              <w:spacing w:before="0" w:after="0" w:line="276" w:lineRule="auto"/>
              <w:jc w:val="left"/>
              <w:rPr>
                <w:rFonts w:eastAsia="Times New Roman"/>
                <w:b/>
                <w:sz w:val="20"/>
                <w:lang w:val="fr-FR"/>
              </w:rPr>
            </w:pPr>
            <w:r w:rsidRPr="00461E3D">
              <w:rPr>
                <w:rFonts w:eastAsia="Times New Roman"/>
                <w:b/>
                <w:sz w:val="20"/>
                <w:lang w:val="fr-FR"/>
              </w:rPr>
              <w:t>Unitate de măsură, dacă este cazul</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4A5B" w:rsidRPr="00461E3D" w:rsidRDefault="005C4A5B" w:rsidP="005C4A5B">
            <w:pPr>
              <w:suppressAutoHyphens/>
              <w:autoSpaceDN w:val="0"/>
              <w:spacing w:before="0" w:after="0" w:line="276" w:lineRule="auto"/>
              <w:jc w:val="left"/>
              <w:rPr>
                <w:rFonts w:eastAsia="Times New Roman"/>
                <w:b/>
                <w:sz w:val="20"/>
                <w:lang w:val="en-US"/>
              </w:rPr>
            </w:pPr>
            <w:r w:rsidRPr="00461E3D">
              <w:rPr>
                <w:rFonts w:eastAsia="Times New Roman"/>
                <w:b/>
                <w:sz w:val="20"/>
                <w:lang w:val="en-US"/>
              </w:rPr>
              <w:t>Punctul de referință pentru 2018</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4A5B" w:rsidRPr="00461E3D" w:rsidRDefault="005C4A5B" w:rsidP="005C4A5B">
            <w:pPr>
              <w:suppressAutoHyphens/>
              <w:autoSpaceDN w:val="0"/>
              <w:spacing w:before="0" w:after="0" w:line="276" w:lineRule="auto"/>
              <w:jc w:val="left"/>
              <w:rPr>
                <w:rFonts w:eastAsia="Times New Roman"/>
                <w:b/>
                <w:sz w:val="20"/>
                <w:lang w:val="en-US"/>
              </w:rPr>
            </w:pPr>
            <w:r w:rsidRPr="00461E3D">
              <w:rPr>
                <w:rFonts w:eastAsia="Times New Roman"/>
                <w:b/>
                <w:sz w:val="20"/>
                <w:lang w:val="en-US"/>
              </w:rPr>
              <w:t>Obiectivul final (2023)</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4A5B" w:rsidRPr="00461E3D" w:rsidRDefault="005C4A5B" w:rsidP="005C4A5B">
            <w:pPr>
              <w:suppressAutoHyphens/>
              <w:autoSpaceDN w:val="0"/>
              <w:spacing w:before="0" w:after="0" w:line="276" w:lineRule="auto"/>
              <w:jc w:val="left"/>
              <w:rPr>
                <w:rFonts w:eastAsia="Times New Roman"/>
                <w:b/>
                <w:sz w:val="20"/>
                <w:lang w:val="en-US"/>
              </w:rPr>
            </w:pPr>
            <w:r w:rsidRPr="00461E3D">
              <w:rPr>
                <w:rFonts w:eastAsia="Times New Roman"/>
                <w:b/>
                <w:sz w:val="20"/>
                <w:lang w:val="en-US"/>
              </w:rPr>
              <w:t>Sursa datelor</w:t>
            </w:r>
          </w:p>
        </w:tc>
        <w:tc>
          <w:tcPr>
            <w:tcW w:w="18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4A5B" w:rsidRPr="00461E3D" w:rsidRDefault="005C4A5B" w:rsidP="005C4A5B">
            <w:pPr>
              <w:suppressAutoHyphens/>
              <w:autoSpaceDN w:val="0"/>
              <w:spacing w:before="0" w:after="0" w:line="276" w:lineRule="auto"/>
              <w:jc w:val="left"/>
              <w:rPr>
                <w:rFonts w:eastAsia="Times New Roman"/>
                <w:b/>
                <w:sz w:val="20"/>
                <w:lang w:val="fr-FR"/>
              </w:rPr>
            </w:pPr>
            <w:r w:rsidRPr="00461E3D">
              <w:rPr>
                <w:rFonts w:eastAsia="Times New Roman"/>
                <w:b/>
                <w:sz w:val="20"/>
                <w:lang w:val="fr-FR"/>
              </w:rPr>
              <w:t>Explicarea relevanței indicatorului, dacă este cazul</w:t>
            </w:r>
          </w:p>
        </w:tc>
      </w:tr>
      <w:tr w:rsidR="00467C3C" w:rsidRPr="008D7E2B" w:rsidTr="005C4A5B">
        <w:trPr>
          <w:jc w:val="center"/>
        </w:trPr>
        <w:tc>
          <w:tcPr>
            <w:tcW w:w="11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67C3C" w:rsidRPr="008D7E2B" w:rsidRDefault="00467C3C" w:rsidP="005C4A5B">
            <w:pPr>
              <w:suppressAutoHyphens/>
              <w:autoSpaceDN w:val="0"/>
              <w:spacing w:before="0" w:after="0" w:line="276" w:lineRule="auto"/>
              <w:jc w:val="left"/>
              <w:rPr>
                <w:rFonts w:eastAsia="Times New Roman"/>
                <w:sz w:val="22"/>
                <w:szCs w:val="22"/>
                <w:lang w:val="en-US"/>
              </w:rPr>
            </w:pPr>
            <w:r w:rsidRPr="008D7E2B">
              <w:rPr>
                <w:rFonts w:eastAsia="Times New Roman"/>
                <w:sz w:val="22"/>
                <w:szCs w:val="22"/>
                <w:lang w:val="en-US"/>
              </w:rPr>
              <w:t>5</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8D7E2B" w:rsidRDefault="00467C3C" w:rsidP="005C4A5B">
            <w:pPr>
              <w:spacing w:before="0" w:after="0" w:line="276" w:lineRule="auto"/>
              <w:jc w:val="left"/>
              <w:rPr>
                <w:color w:val="000000"/>
                <w:sz w:val="22"/>
                <w:szCs w:val="22"/>
                <w:lang w:val="en-US"/>
              </w:rPr>
            </w:pPr>
            <w:r w:rsidRPr="008D7E2B">
              <w:rPr>
                <w:color w:val="000000"/>
                <w:sz w:val="22"/>
                <w:szCs w:val="22"/>
                <w:lang w:val="en-US"/>
              </w:rPr>
              <w:t>Indicator</w:t>
            </w:r>
            <w:r w:rsidR="005C4A5B" w:rsidRPr="008D7E2B">
              <w:rPr>
                <w:color w:val="000000"/>
                <w:sz w:val="22"/>
                <w:szCs w:val="22"/>
                <w:lang w:val="en-US"/>
              </w:rPr>
              <w:t xml:space="preserve"> de realizare</w:t>
            </w:r>
          </w:p>
        </w:tc>
        <w:tc>
          <w:tcPr>
            <w:tcW w:w="8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8D7E2B" w:rsidRDefault="005803DC" w:rsidP="005C4A5B">
            <w:pPr>
              <w:suppressAutoHyphens/>
              <w:autoSpaceDN w:val="0"/>
              <w:spacing w:before="0" w:after="0" w:line="276" w:lineRule="auto"/>
              <w:jc w:val="left"/>
              <w:rPr>
                <w:rFonts w:eastAsia="Times New Roman"/>
                <w:sz w:val="22"/>
                <w:szCs w:val="22"/>
                <w:lang w:val="en-US"/>
              </w:rPr>
            </w:pPr>
            <w:r>
              <w:rPr>
                <w:rFonts w:eastAsia="Times New Roman"/>
                <w:sz w:val="22"/>
                <w:szCs w:val="22"/>
                <w:lang w:val="en-US"/>
              </w:rPr>
              <w:t>11b.1</w:t>
            </w:r>
          </w:p>
          <w:p w:rsidR="00467C3C" w:rsidRPr="008D7E2B" w:rsidRDefault="00467C3C" w:rsidP="005C4A5B">
            <w:pPr>
              <w:spacing w:before="0" w:after="0"/>
              <w:jc w:val="left"/>
              <w:rPr>
                <w:rFonts w:eastAsia="Times New Roman"/>
                <w:sz w:val="22"/>
                <w:szCs w:val="22"/>
                <w:lang w:val="en-US"/>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8D7E2B" w:rsidRDefault="008D7E2B" w:rsidP="005C4A5B">
            <w:pPr>
              <w:spacing w:before="0" w:after="0" w:line="276" w:lineRule="auto"/>
              <w:jc w:val="left"/>
              <w:rPr>
                <w:color w:val="000000"/>
                <w:sz w:val="22"/>
                <w:szCs w:val="22"/>
                <w:highlight w:val="red"/>
                <w:lang w:val="fr-FR"/>
              </w:rPr>
            </w:pPr>
            <w:r w:rsidRPr="008D7E2B">
              <w:rPr>
                <w:sz w:val="22"/>
                <w:szCs w:val="22"/>
                <w:lang w:val="ro-RO"/>
              </w:rPr>
              <w:t>Număr de mecanisme transfrontaliere susținute (acord, rețele, reglementări, studii, politici, strategii, instrumente pentru a facilita schimburi de informații) de sporire a capacității de cooperare</w:t>
            </w:r>
          </w:p>
        </w:tc>
        <w:tc>
          <w:tcPr>
            <w:tcW w:w="15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8D7E2B" w:rsidRDefault="008D7E2B" w:rsidP="005C4A5B">
            <w:pPr>
              <w:spacing w:before="0" w:after="0" w:line="276" w:lineRule="auto"/>
              <w:jc w:val="left"/>
              <w:rPr>
                <w:color w:val="000000"/>
                <w:sz w:val="22"/>
                <w:szCs w:val="22"/>
                <w:lang w:val="en-US"/>
              </w:rPr>
            </w:pPr>
            <w:r w:rsidRPr="008D7E2B">
              <w:rPr>
                <w:color w:val="000000"/>
                <w:sz w:val="22"/>
                <w:szCs w:val="22"/>
                <w:lang w:val="en-US"/>
              </w:rPr>
              <w:t>Număr</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8D7E2B" w:rsidRDefault="00467C3C" w:rsidP="005C4A5B">
            <w:pPr>
              <w:spacing w:before="0" w:after="0" w:line="276" w:lineRule="auto"/>
              <w:jc w:val="left"/>
              <w:rPr>
                <w:color w:val="000000"/>
                <w:sz w:val="22"/>
                <w:szCs w:val="22"/>
                <w:lang w:val="en-US"/>
              </w:rPr>
            </w:pPr>
            <w:r w:rsidRPr="008D7E2B">
              <w:rPr>
                <w:color w:val="000000"/>
                <w:sz w:val="22"/>
                <w:szCs w:val="22"/>
                <w:lang w:val="en-US"/>
              </w:rPr>
              <w:t>10</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8D7E2B" w:rsidRDefault="00467C3C" w:rsidP="005C4A5B">
            <w:pPr>
              <w:spacing w:before="0" w:after="0" w:line="276" w:lineRule="auto"/>
              <w:jc w:val="left"/>
              <w:rPr>
                <w:color w:val="000000"/>
                <w:sz w:val="22"/>
                <w:szCs w:val="22"/>
                <w:lang w:val="en-US"/>
              </w:rPr>
            </w:pPr>
            <w:r w:rsidRPr="008D7E2B">
              <w:rPr>
                <w:color w:val="000000"/>
                <w:sz w:val="22"/>
                <w:szCs w:val="22"/>
                <w:lang w:val="en-US"/>
              </w:rPr>
              <w:t>100</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8D7E2B" w:rsidRDefault="005C4A5B" w:rsidP="005C4A5B">
            <w:pPr>
              <w:spacing w:before="0" w:after="0"/>
              <w:jc w:val="left"/>
              <w:rPr>
                <w:b/>
                <w:bCs/>
                <w:sz w:val="22"/>
                <w:szCs w:val="22"/>
                <w:lang w:val="fr-FR"/>
              </w:rPr>
            </w:pPr>
            <w:r w:rsidRPr="00461E3D">
              <w:rPr>
                <w:color w:val="000000"/>
                <w:sz w:val="22"/>
                <w:szCs w:val="22"/>
              </w:rPr>
              <w:t>Rapoarte de</w:t>
            </w:r>
            <w:r w:rsidRPr="008D7E2B">
              <w:rPr>
                <w:color w:val="000000"/>
                <w:sz w:val="22"/>
                <w:szCs w:val="22"/>
              </w:rPr>
              <w:t xml:space="preserve"> monitorizare</w:t>
            </w:r>
          </w:p>
        </w:tc>
        <w:tc>
          <w:tcPr>
            <w:tcW w:w="18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8D7E2B" w:rsidRDefault="00467C3C" w:rsidP="005C4A5B">
            <w:pPr>
              <w:spacing w:before="0" w:after="0" w:line="276" w:lineRule="auto"/>
              <w:jc w:val="left"/>
              <w:rPr>
                <w:color w:val="000000"/>
                <w:sz w:val="22"/>
                <w:szCs w:val="22"/>
                <w:highlight w:val="red"/>
                <w:lang w:val="en-US"/>
              </w:rPr>
            </w:pPr>
          </w:p>
        </w:tc>
      </w:tr>
      <w:tr w:rsidR="00467C3C" w:rsidRPr="008D7E2B" w:rsidTr="005C4A5B">
        <w:trPr>
          <w:jc w:val="center"/>
        </w:trPr>
        <w:tc>
          <w:tcPr>
            <w:tcW w:w="11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8D7E2B" w:rsidRDefault="00467C3C" w:rsidP="005C4A5B">
            <w:pPr>
              <w:suppressAutoHyphens/>
              <w:autoSpaceDN w:val="0"/>
              <w:spacing w:before="0" w:after="0" w:line="276" w:lineRule="auto"/>
              <w:jc w:val="left"/>
              <w:rPr>
                <w:rFonts w:eastAsia="Times New Roman"/>
                <w:sz w:val="22"/>
                <w:szCs w:val="22"/>
                <w:lang w:val="en-US"/>
              </w:rPr>
            </w:pPr>
            <w:r w:rsidRPr="008D7E2B">
              <w:rPr>
                <w:rFonts w:eastAsia="Times New Roman"/>
                <w:sz w:val="22"/>
                <w:szCs w:val="22"/>
                <w:lang w:val="en-US"/>
              </w:rPr>
              <w:t>5</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8D7E2B" w:rsidRDefault="005C4A5B" w:rsidP="005C4A5B">
            <w:pPr>
              <w:spacing w:before="0" w:after="0" w:line="276" w:lineRule="auto"/>
              <w:jc w:val="left"/>
              <w:rPr>
                <w:color w:val="000000"/>
                <w:sz w:val="22"/>
                <w:szCs w:val="22"/>
                <w:lang w:val="en-US"/>
              </w:rPr>
            </w:pPr>
            <w:r w:rsidRPr="008D7E2B">
              <w:rPr>
                <w:color w:val="000000"/>
                <w:sz w:val="22"/>
                <w:szCs w:val="22"/>
                <w:lang w:val="en-US"/>
              </w:rPr>
              <w:t>I</w:t>
            </w:r>
            <w:r w:rsidR="00467C3C" w:rsidRPr="008D7E2B">
              <w:rPr>
                <w:color w:val="000000"/>
                <w:sz w:val="22"/>
                <w:szCs w:val="22"/>
                <w:lang w:val="en-US"/>
              </w:rPr>
              <w:t>ndicator</w:t>
            </w:r>
            <w:r w:rsidRPr="008D7E2B">
              <w:rPr>
                <w:color w:val="000000"/>
                <w:sz w:val="22"/>
                <w:szCs w:val="22"/>
                <w:lang w:val="en-US"/>
              </w:rPr>
              <w:t xml:space="preserve"> financiar</w:t>
            </w:r>
          </w:p>
        </w:tc>
        <w:tc>
          <w:tcPr>
            <w:tcW w:w="8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8D7E2B" w:rsidRDefault="005803DC" w:rsidP="005C4A5B">
            <w:pPr>
              <w:suppressAutoHyphens/>
              <w:autoSpaceDN w:val="0"/>
              <w:spacing w:before="0" w:after="0" w:line="276" w:lineRule="auto"/>
              <w:jc w:val="left"/>
              <w:rPr>
                <w:rFonts w:eastAsia="Times New Roman"/>
                <w:sz w:val="22"/>
                <w:szCs w:val="22"/>
                <w:lang w:val="en-US"/>
              </w:rPr>
            </w:pPr>
            <w:r>
              <w:rPr>
                <w:rFonts w:eastAsia="Times New Roman"/>
                <w:sz w:val="22"/>
                <w:szCs w:val="22"/>
                <w:lang w:val="en-US"/>
              </w:rPr>
              <w:t>5F1</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76C40" w:rsidRDefault="008D7E2B" w:rsidP="00376C40">
            <w:pPr>
              <w:spacing w:before="0" w:after="0" w:line="276" w:lineRule="auto"/>
              <w:jc w:val="left"/>
              <w:rPr>
                <w:color w:val="000000"/>
                <w:sz w:val="22"/>
                <w:szCs w:val="22"/>
                <w:lang w:val="en-US"/>
              </w:rPr>
            </w:pPr>
            <w:r w:rsidRPr="008D7E2B">
              <w:rPr>
                <w:color w:val="000000"/>
                <w:sz w:val="22"/>
                <w:szCs w:val="22"/>
                <w:lang w:val="en-US"/>
              </w:rPr>
              <w:t>Cheltuieli</w:t>
            </w:r>
          </w:p>
          <w:p w:rsidR="00467C3C" w:rsidRPr="008D7E2B" w:rsidRDefault="00376C40" w:rsidP="00376C40">
            <w:pPr>
              <w:spacing w:before="0" w:after="0" w:line="276" w:lineRule="auto"/>
              <w:jc w:val="left"/>
              <w:rPr>
                <w:color w:val="000000"/>
                <w:sz w:val="22"/>
                <w:szCs w:val="22"/>
                <w:lang w:val="en-US"/>
              </w:rPr>
            </w:pPr>
            <w:r w:rsidRPr="008D7E2B">
              <w:rPr>
                <w:color w:val="000000"/>
                <w:sz w:val="22"/>
                <w:szCs w:val="22"/>
                <w:lang w:val="en-US"/>
              </w:rPr>
              <w:t>(Certifica</w:t>
            </w:r>
            <w:r>
              <w:rPr>
                <w:color w:val="000000"/>
                <w:sz w:val="22"/>
                <w:szCs w:val="22"/>
                <w:lang w:val="en-US"/>
              </w:rPr>
              <w:t>t</w:t>
            </w:r>
            <w:r w:rsidRPr="008D7E2B">
              <w:rPr>
                <w:color w:val="000000"/>
                <w:sz w:val="22"/>
                <w:szCs w:val="22"/>
                <w:lang w:val="en-US"/>
              </w:rPr>
              <w:t>e)</w:t>
            </w:r>
          </w:p>
        </w:tc>
        <w:tc>
          <w:tcPr>
            <w:tcW w:w="15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8D7E2B" w:rsidRDefault="00467C3C" w:rsidP="005C4A5B">
            <w:pPr>
              <w:spacing w:before="0" w:after="0" w:line="276" w:lineRule="auto"/>
              <w:jc w:val="left"/>
              <w:rPr>
                <w:color w:val="000000"/>
                <w:sz w:val="22"/>
                <w:szCs w:val="22"/>
                <w:lang w:val="en-US"/>
              </w:rPr>
            </w:pPr>
            <w:r w:rsidRPr="008D7E2B">
              <w:rPr>
                <w:color w:val="000000"/>
                <w:sz w:val="22"/>
                <w:szCs w:val="22"/>
                <w:lang w:val="en-US"/>
              </w:rPr>
              <w:t>EUR</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8D7E2B" w:rsidRDefault="00467C3C" w:rsidP="005C4A5B">
            <w:pPr>
              <w:spacing w:before="0" w:after="0" w:line="276" w:lineRule="auto"/>
              <w:jc w:val="left"/>
              <w:rPr>
                <w:color w:val="000000"/>
                <w:sz w:val="22"/>
                <w:szCs w:val="22"/>
                <w:lang w:val="en-US"/>
              </w:rPr>
            </w:pPr>
            <w:r w:rsidRPr="008D7E2B">
              <w:rPr>
                <w:color w:val="000000"/>
                <w:sz w:val="22"/>
                <w:szCs w:val="22"/>
                <w:lang w:val="en-US"/>
              </w:rPr>
              <w:t>1 000 000</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8D7E2B" w:rsidRDefault="00467C3C" w:rsidP="005C4A5B">
            <w:pPr>
              <w:spacing w:before="0" w:after="0" w:line="276" w:lineRule="auto"/>
              <w:jc w:val="left"/>
              <w:rPr>
                <w:color w:val="000000"/>
                <w:sz w:val="22"/>
                <w:szCs w:val="22"/>
                <w:lang w:val="en-US"/>
              </w:rPr>
            </w:pPr>
            <w:r w:rsidRPr="008D7E2B">
              <w:rPr>
                <w:color w:val="000000"/>
                <w:sz w:val="22"/>
                <w:szCs w:val="22"/>
                <w:lang w:val="en-US"/>
              </w:rPr>
              <w:t xml:space="preserve">10 </w:t>
            </w:r>
            <w:r w:rsidR="005D0D08" w:rsidRPr="008D7E2B">
              <w:rPr>
                <w:color w:val="000000"/>
                <w:sz w:val="22"/>
                <w:szCs w:val="22"/>
                <w:lang w:val="en-US"/>
              </w:rPr>
              <w:t>000 000</w:t>
            </w:r>
          </w:p>
        </w:tc>
        <w:tc>
          <w:tcPr>
            <w:tcW w:w="1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8D7E2B" w:rsidRDefault="00EF614F" w:rsidP="005C4A5B">
            <w:pPr>
              <w:spacing w:before="0" w:after="0" w:line="276" w:lineRule="auto"/>
              <w:jc w:val="left"/>
              <w:rPr>
                <w:color w:val="000000"/>
                <w:sz w:val="22"/>
                <w:szCs w:val="22"/>
                <w:lang w:val="en-US"/>
              </w:rPr>
            </w:pPr>
            <w:r>
              <w:rPr>
                <w:color w:val="000000"/>
                <w:sz w:val="22"/>
                <w:szCs w:val="22"/>
                <w:lang w:val="en-US"/>
              </w:rPr>
              <w:t>Cereri</w:t>
            </w:r>
            <w:r w:rsidR="005C4A5B" w:rsidRPr="008D7E2B">
              <w:rPr>
                <w:color w:val="000000"/>
                <w:sz w:val="22"/>
                <w:szCs w:val="22"/>
                <w:lang w:val="en-US"/>
              </w:rPr>
              <w:t xml:space="preserve"> de plată</w:t>
            </w:r>
          </w:p>
        </w:tc>
        <w:tc>
          <w:tcPr>
            <w:tcW w:w="18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7C3C" w:rsidRPr="008D7E2B" w:rsidRDefault="00467C3C" w:rsidP="005C4A5B">
            <w:pPr>
              <w:spacing w:before="0" w:after="0" w:line="276" w:lineRule="auto"/>
              <w:jc w:val="left"/>
              <w:rPr>
                <w:color w:val="000000"/>
                <w:sz w:val="22"/>
                <w:szCs w:val="22"/>
                <w:lang w:val="en-US"/>
              </w:rPr>
            </w:pPr>
          </w:p>
        </w:tc>
      </w:tr>
    </w:tbl>
    <w:p w:rsidR="005B5BA1" w:rsidRPr="00647004" w:rsidRDefault="005B5BA1" w:rsidP="005B5BA1">
      <w:pPr>
        <w:spacing w:line="276" w:lineRule="auto"/>
        <w:rPr>
          <w:rFonts w:eastAsia="Times New Roman"/>
          <w:szCs w:val="24"/>
          <w:highlight w:val="red"/>
          <w:lang w:val="en-US"/>
        </w:rPr>
      </w:pPr>
    </w:p>
    <w:p w:rsidR="0034420A" w:rsidRPr="00647004" w:rsidRDefault="0034420A" w:rsidP="0034420A">
      <w:pPr>
        <w:spacing w:before="0" w:after="0" w:line="276" w:lineRule="auto"/>
        <w:jc w:val="left"/>
        <w:rPr>
          <w:rFonts w:eastAsia="Times New Roman"/>
          <w:b/>
          <w:highlight w:val="red"/>
          <w:lang w:val="en-US"/>
        </w:rPr>
        <w:sectPr w:rsidR="0034420A" w:rsidRPr="00647004">
          <w:pgSz w:w="16838" w:h="11906" w:orient="landscape"/>
          <w:pgMar w:top="1418" w:right="1021" w:bottom="1418" w:left="1021" w:header="601" w:footer="1077" w:gutter="0"/>
          <w:cols w:space="720"/>
        </w:sectPr>
      </w:pPr>
    </w:p>
    <w:p w:rsidR="00552BE0" w:rsidRPr="00647004" w:rsidRDefault="005B5BA1" w:rsidP="00BB60A1">
      <w:pPr>
        <w:pStyle w:val="Heading2"/>
        <w:rPr>
          <w:highlight w:val="red"/>
          <w:lang w:val="en-US"/>
        </w:rPr>
      </w:pPr>
      <w:bookmarkStart w:id="138" w:name="_Toc394837859"/>
      <w:proofErr w:type="gramStart"/>
      <w:r w:rsidRPr="008D7E2B">
        <w:rPr>
          <w:lang w:val="en-US"/>
        </w:rPr>
        <w:lastRenderedPageBreak/>
        <w:t>2.A.8</w:t>
      </w:r>
      <w:proofErr w:type="gramEnd"/>
      <w:r w:rsidRPr="008D7E2B">
        <w:rPr>
          <w:lang w:val="en-US"/>
        </w:rPr>
        <w:t xml:space="preserve">. </w:t>
      </w:r>
      <w:r w:rsidR="008D7E2B" w:rsidRPr="008D7E2B">
        <w:rPr>
          <w:lang w:val="en-US"/>
        </w:rPr>
        <w:t>Categoriile de intervenție</w:t>
      </w:r>
      <w:bookmarkEnd w:id="138"/>
    </w:p>
    <w:p w:rsidR="005B5BA1" w:rsidRPr="006C6828" w:rsidRDefault="008D7E2B" w:rsidP="00715E7C">
      <w:pPr>
        <w:rPr>
          <w:szCs w:val="24"/>
          <w:highlight w:val="red"/>
          <w:lang w:val="it-IT"/>
        </w:rPr>
      </w:pPr>
      <w:r w:rsidRPr="006C6828">
        <w:rPr>
          <w:szCs w:val="24"/>
          <w:lang w:val="it-IT"/>
        </w:rPr>
        <w:t>Categoriile de intervenție corespunzătoare conținutului axei prioritare bazate pe o nomenclatură adoptată de Comisie și defalcarea indicativă a sprijinului Uniunii</w:t>
      </w:r>
    </w:p>
    <w:tbl>
      <w:tblPr>
        <w:tblW w:w="10971" w:type="dxa"/>
        <w:jc w:val="center"/>
        <w:tblCellMar>
          <w:left w:w="70" w:type="dxa"/>
          <w:right w:w="70" w:type="dxa"/>
        </w:tblCellMar>
        <w:tblLook w:val="04A0" w:firstRow="1" w:lastRow="0" w:firstColumn="1" w:lastColumn="0" w:noHBand="0" w:noVBand="1"/>
      </w:tblPr>
      <w:tblGrid>
        <w:gridCol w:w="1401"/>
        <w:gridCol w:w="7920"/>
        <w:gridCol w:w="1650"/>
      </w:tblGrid>
      <w:tr w:rsidR="00025C68" w:rsidRPr="00A158A9" w:rsidTr="00AE2042">
        <w:trPr>
          <w:trHeight w:val="330"/>
          <w:jc w:val="center"/>
        </w:trPr>
        <w:tc>
          <w:tcPr>
            <w:tcW w:w="10971" w:type="dxa"/>
            <w:gridSpan w:val="3"/>
            <w:tcBorders>
              <w:top w:val="single" w:sz="8" w:space="0" w:color="auto"/>
              <w:left w:val="single" w:sz="8" w:space="0" w:color="auto"/>
              <w:bottom w:val="single" w:sz="8" w:space="0" w:color="auto"/>
              <w:right w:val="single" w:sz="8" w:space="0" w:color="000000"/>
            </w:tcBorders>
            <w:vAlign w:val="center"/>
            <w:hideMark/>
          </w:tcPr>
          <w:p w:rsidR="00025C68" w:rsidRPr="00F424F7" w:rsidRDefault="008D7E2B" w:rsidP="00AE2042">
            <w:pPr>
              <w:pStyle w:val="Heading2"/>
              <w:spacing w:before="0" w:after="0"/>
              <w:jc w:val="center"/>
              <w:rPr>
                <w:sz w:val="22"/>
                <w:szCs w:val="22"/>
                <w:lang w:val="fr-FR" w:eastAsia="fr-FR"/>
              </w:rPr>
            </w:pPr>
            <w:bookmarkStart w:id="139" w:name="_Toc394837860"/>
            <w:r w:rsidRPr="00F424F7">
              <w:rPr>
                <w:sz w:val="22"/>
                <w:szCs w:val="22"/>
                <w:lang w:val="fr-FR" w:eastAsia="fr-FR"/>
              </w:rPr>
              <w:t>Tabelul</w:t>
            </w:r>
            <w:r w:rsidR="00025C68" w:rsidRPr="00F424F7">
              <w:rPr>
                <w:sz w:val="22"/>
                <w:szCs w:val="22"/>
                <w:lang w:val="fr-FR" w:eastAsia="fr-FR"/>
              </w:rPr>
              <w:t xml:space="preserve"> 6: </w:t>
            </w:r>
            <w:r w:rsidRPr="00F424F7">
              <w:rPr>
                <w:sz w:val="22"/>
                <w:szCs w:val="22"/>
                <w:lang w:val="fr-FR" w:eastAsia="fr-FR"/>
              </w:rPr>
              <w:t>Dimensiunea 1 Domeniul de intervenție</w:t>
            </w:r>
            <w:bookmarkEnd w:id="139"/>
          </w:p>
        </w:tc>
      </w:tr>
      <w:tr w:rsidR="00025C68" w:rsidRPr="00F424F7" w:rsidTr="00316548">
        <w:trPr>
          <w:trHeight w:val="315"/>
          <w:jc w:val="center"/>
        </w:trPr>
        <w:tc>
          <w:tcPr>
            <w:tcW w:w="1401" w:type="dxa"/>
            <w:vMerge w:val="restart"/>
            <w:tcBorders>
              <w:top w:val="nil"/>
              <w:left w:val="single" w:sz="8" w:space="0" w:color="auto"/>
              <w:bottom w:val="single" w:sz="4" w:space="0" w:color="auto"/>
              <w:right w:val="single" w:sz="4" w:space="0" w:color="auto"/>
            </w:tcBorders>
            <w:vAlign w:val="center"/>
            <w:hideMark/>
          </w:tcPr>
          <w:p w:rsidR="00025C68" w:rsidRPr="00F424F7" w:rsidRDefault="008D7E2B" w:rsidP="00AE2042">
            <w:pPr>
              <w:spacing w:before="0" w:after="0"/>
              <w:jc w:val="center"/>
              <w:rPr>
                <w:rFonts w:eastAsia="Times New Roman"/>
                <w:color w:val="000000"/>
                <w:sz w:val="22"/>
                <w:szCs w:val="22"/>
                <w:lang w:val="en-US" w:eastAsia="fr-FR"/>
              </w:rPr>
            </w:pPr>
            <w:r w:rsidRPr="00F424F7">
              <w:rPr>
                <w:rFonts w:eastAsia="Times New Roman"/>
                <w:color w:val="000000"/>
                <w:sz w:val="22"/>
                <w:szCs w:val="22"/>
                <w:lang w:val="en-US" w:eastAsia="fr-FR"/>
              </w:rPr>
              <w:t>Axa prioritară</w:t>
            </w:r>
          </w:p>
        </w:tc>
        <w:tc>
          <w:tcPr>
            <w:tcW w:w="7920" w:type="dxa"/>
            <w:vMerge w:val="restart"/>
            <w:tcBorders>
              <w:top w:val="nil"/>
              <w:left w:val="single" w:sz="4" w:space="0" w:color="auto"/>
              <w:bottom w:val="single" w:sz="4" w:space="0" w:color="auto"/>
              <w:right w:val="nil"/>
            </w:tcBorders>
            <w:vAlign w:val="center"/>
            <w:hideMark/>
          </w:tcPr>
          <w:p w:rsidR="00025C68" w:rsidRPr="00F424F7" w:rsidRDefault="008D7E2B" w:rsidP="00AE2042">
            <w:pPr>
              <w:spacing w:before="0" w:after="0"/>
              <w:jc w:val="center"/>
              <w:rPr>
                <w:rFonts w:eastAsia="Times New Roman"/>
                <w:color w:val="000000"/>
                <w:sz w:val="22"/>
                <w:szCs w:val="22"/>
                <w:lang w:val="en-US" w:eastAsia="fr-FR"/>
              </w:rPr>
            </w:pPr>
            <w:r w:rsidRPr="00F424F7">
              <w:rPr>
                <w:rFonts w:eastAsia="Times New Roman"/>
                <w:color w:val="000000"/>
                <w:sz w:val="22"/>
                <w:szCs w:val="22"/>
                <w:lang w:val="en-US" w:eastAsia="fr-FR"/>
              </w:rPr>
              <w:t>Codul</w:t>
            </w:r>
          </w:p>
        </w:tc>
        <w:tc>
          <w:tcPr>
            <w:tcW w:w="1650" w:type="dxa"/>
            <w:vMerge w:val="restart"/>
            <w:tcBorders>
              <w:top w:val="nil"/>
              <w:left w:val="single" w:sz="8" w:space="0" w:color="auto"/>
              <w:bottom w:val="single" w:sz="4" w:space="0" w:color="auto"/>
              <w:right w:val="single" w:sz="8" w:space="0" w:color="auto"/>
            </w:tcBorders>
            <w:noWrap/>
            <w:vAlign w:val="center"/>
            <w:hideMark/>
          </w:tcPr>
          <w:p w:rsidR="00025C68" w:rsidRPr="00F424F7" w:rsidRDefault="008D7E2B" w:rsidP="00AE2042">
            <w:pPr>
              <w:spacing w:before="0" w:after="0"/>
              <w:jc w:val="center"/>
              <w:rPr>
                <w:rFonts w:eastAsia="Times New Roman"/>
                <w:color w:val="000000"/>
                <w:sz w:val="22"/>
                <w:szCs w:val="22"/>
                <w:lang w:val="en-US" w:eastAsia="fr-FR"/>
              </w:rPr>
            </w:pPr>
            <w:r w:rsidRPr="00F424F7">
              <w:rPr>
                <w:rFonts w:eastAsia="Times New Roman"/>
                <w:color w:val="000000"/>
                <w:sz w:val="22"/>
                <w:szCs w:val="22"/>
                <w:lang w:val="en-US" w:eastAsia="fr-FR"/>
              </w:rPr>
              <w:t>Suma (EUR)</w:t>
            </w:r>
          </w:p>
        </w:tc>
      </w:tr>
      <w:tr w:rsidR="00025C68" w:rsidRPr="00F424F7" w:rsidTr="00316548">
        <w:trPr>
          <w:trHeight w:val="396"/>
          <w:jc w:val="center"/>
        </w:trPr>
        <w:tc>
          <w:tcPr>
            <w:tcW w:w="1401" w:type="dxa"/>
            <w:vMerge/>
            <w:tcBorders>
              <w:top w:val="nil"/>
              <w:left w:val="single" w:sz="8" w:space="0" w:color="auto"/>
              <w:bottom w:val="single" w:sz="4" w:space="0" w:color="auto"/>
              <w:right w:val="single" w:sz="4" w:space="0" w:color="auto"/>
            </w:tcBorders>
            <w:vAlign w:val="center"/>
            <w:hideMark/>
          </w:tcPr>
          <w:p w:rsidR="00025C68" w:rsidRPr="00F424F7" w:rsidRDefault="00025C68" w:rsidP="00AE2042">
            <w:pPr>
              <w:keepNext/>
              <w:spacing w:before="0" w:after="0"/>
              <w:jc w:val="left"/>
              <w:outlineLvl w:val="0"/>
              <w:rPr>
                <w:rFonts w:eastAsia="Times New Roman"/>
                <w:color w:val="000000"/>
                <w:sz w:val="22"/>
                <w:szCs w:val="22"/>
                <w:highlight w:val="red"/>
                <w:lang w:val="en-US" w:eastAsia="fr-FR"/>
              </w:rPr>
            </w:pPr>
          </w:p>
        </w:tc>
        <w:tc>
          <w:tcPr>
            <w:tcW w:w="7920" w:type="dxa"/>
            <w:vMerge/>
            <w:tcBorders>
              <w:top w:val="nil"/>
              <w:left w:val="single" w:sz="4" w:space="0" w:color="auto"/>
              <w:bottom w:val="single" w:sz="4" w:space="0" w:color="auto"/>
              <w:right w:val="nil"/>
            </w:tcBorders>
            <w:vAlign w:val="center"/>
            <w:hideMark/>
          </w:tcPr>
          <w:p w:rsidR="00025C68" w:rsidRPr="00F424F7" w:rsidRDefault="00025C68" w:rsidP="00AE2042">
            <w:pPr>
              <w:keepNext/>
              <w:spacing w:before="0" w:after="0"/>
              <w:jc w:val="left"/>
              <w:outlineLvl w:val="0"/>
              <w:rPr>
                <w:rFonts w:eastAsia="Times New Roman"/>
                <w:color w:val="000000"/>
                <w:sz w:val="22"/>
                <w:szCs w:val="22"/>
                <w:highlight w:val="red"/>
                <w:lang w:val="en-US" w:eastAsia="fr-FR"/>
              </w:rPr>
            </w:pPr>
          </w:p>
        </w:tc>
        <w:tc>
          <w:tcPr>
            <w:tcW w:w="1650" w:type="dxa"/>
            <w:vMerge/>
            <w:tcBorders>
              <w:top w:val="nil"/>
              <w:left w:val="single" w:sz="8" w:space="0" w:color="auto"/>
              <w:bottom w:val="single" w:sz="4" w:space="0" w:color="auto"/>
              <w:right w:val="single" w:sz="8" w:space="0" w:color="auto"/>
            </w:tcBorders>
            <w:vAlign w:val="center"/>
            <w:hideMark/>
          </w:tcPr>
          <w:p w:rsidR="00025C68" w:rsidRPr="00F424F7" w:rsidRDefault="00025C68" w:rsidP="00AE2042">
            <w:pPr>
              <w:keepNext/>
              <w:spacing w:before="0" w:after="0"/>
              <w:jc w:val="left"/>
              <w:outlineLvl w:val="0"/>
              <w:rPr>
                <w:rFonts w:eastAsia="Times New Roman"/>
                <w:color w:val="000000"/>
                <w:sz w:val="22"/>
                <w:szCs w:val="22"/>
                <w:highlight w:val="red"/>
                <w:lang w:val="en-US" w:eastAsia="fr-FR"/>
              </w:rPr>
            </w:pPr>
          </w:p>
        </w:tc>
      </w:tr>
      <w:tr w:rsidR="00025C68" w:rsidRPr="00F424F7" w:rsidTr="00316548">
        <w:trPr>
          <w:trHeight w:val="397"/>
          <w:jc w:val="center"/>
        </w:trPr>
        <w:tc>
          <w:tcPr>
            <w:tcW w:w="1401" w:type="dxa"/>
            <w:vMerge w:val="restart"/>
            <w:tcBorders>
              <w:top w:val="single" w:sz="8" w:space="0" w:color="auto"/>
              <w:left w:val="single" w:sz="8" w:space="0" w:color="auto"/>
              <w:bottom w:val="single" w:sz="8" w:space="0" w:color="000000"/>
              <w:right w:val="single" w:sz="4" w:space="0" w:color="auto"/>
            </w:tcBorders>
            <w:vAlign w:val="center"/>
            <w:hideMark/>
          </w:tcPr>
          <w:p w:rsidR="00025C68" w:rsidRPr="006C6828" w:rsidRDefault="00AE2042" w:rsidP="00AE2042">
            <w:pPr>
              <w:spacing w:before="0" w:after="0"/>
              <w:jc w:val="left"/>
              <w:rPr>
                <w:rFonts w:eastAsia="Times New Roman"/>
                <w:color w:val="000000"/>
                <w:sz w:val="22"/>
                <w:szCs w:val="22"/>
                <w:lang w:val="it-IT" w:eastAsia="fr-FR"/>
              </w:rPr>
            </w:pPr>
            <w:r w:rsidRPr="006C6828">
              <w:rPr>
                <w:rFonts w:eastAsia="Times New Roman"/>
                <w:color w:val="000000"/>
                <w:sz w:val="22"/>
                <w:szCs w:val="22"/>
                <w:lang w:val="it-IT" w:eastAsia="fr-FR"/>
              </w:rPr>
              <w:t>AP</w:t>
            </w:r>
            <w:r w:rsidR="008D7E2B" w:rsidRPr="006C6828">
              <w:rPr>
                <w:rFonts w:eastAsia="Times New Roman"/>
                <w:color w:val="000000"/>
                <w:sz w:val="22"/>
                <w:szCs w:val="22"/>
                <w:lang w:val="it-IT" w:eastAsia="fr-FR"/>
              </w:rPr>
              <w:t xml:space="preserve"> 1: O regiune bine conectată</w:t>
            </w:r>
          </w:p>
        </w:tc>
        <w:tc>
          <w:tcPr>
            <w:tcW w:w="7920" w:type="dxa"/>
            <w:tcBorders>
              <w:top w:val="single" w:sz="8" w:space="0" w:color="auto"/>
              <w:left w:val="nil"/>
              <w:bottom w:val="single" w:sz="4" w:space="0" w:color="auto"/>
              <w:right w:val="nil"/>
            </w:tcBorders>
            <w:vAlign w:val="center"/>
          </w:tcPr>
          <w:p w:rsidR="00025C68" w:rsidRPr="00F424F7" w:rsidRDefault="00025C68" w:rsidP="00AE2042">
            <w:pPr>
              <w:spacing w:before="0" w:after="0"/>
              <w:jc w:val="left"/>
              <w:rPr>
                <w:rFonts w:eastAsia="Times New Roman"/>
                <w:color w:val="000000"/>
                <w:sz w:val="22"/>
                <w:szCs w:val="22"/>
                <w:lang w:val="fr-FR" w:eastAsia="fr-FR"/>
              </w:rPr>
            </w:pPr>
            <w:r w:rsidRPr="00F424F7">
              <w:rPr>
                <w:rFonts w:eastAsia="Times New Roman"/>
                <w:color w:val="000000"/>
                <w:sz w:val="22"/>
                <w:szCs w:val="22"/>
                <w:lang w:val="fr-FR" w:eastAsia="fr-FR"/>
              </w:rPr>
              <w:t xml:space="preserve">034 </w:t>
            </w:r>
            <w:r w:rsidR="001118A2" w:rsidRPr="00F424F7">
              <w:rPr>
                <w:rFonts w:eastAsia="Times New Roman"/>
                <w:color w:val="000000"/>
                <w:sz w:val="22"/>
                <w:szCs w:val="22"/>
                <w:lang w:val="fr-FR" w:eastAsia="fr-FR"/>
              </w:rPr>
              <w:t>Alte drumuri reconstruite sau îmbunătățite (autostrăzi, drumuri naționale, regionale sau locale)</w:t>
            </w:r>
          </w:p>
        </w:tc>
        <w:tc>
          <w:tcPr>
            <w:tcW w:w="1650" w:type="dxa"/>
            <w:tcBorders>
              <w:top w:val="single" w:sz="8" w:space="0" w:color="auto"/>
              <w:left w:val="single" w:sz="8" w:space="0" w:color="auto"/>
              <w:bottom w:val="single" w:sz="4" w:space="0" w:color="auto"/>
              <w:right w:val="single" w:sz="8" w:space="0" w:color="auto"/>
            </w:tcBorders>
            <w:noWrap/>
            <w:vAlign w:val="center"/>
          </w:tcPr>
          <w:p w:rsidR="00025C68" w:rsidRPr="00F424F7" w:rsidRDefault="00F85A85" w:rsidP="00AE2042">
            <w:pPr>
              <w:spacing w:before="0" w:after="0"/>
              <w:jc w:val="right"/>
              <w:rPr>
                <w:sz w:val="22"/>
                <w:szCs w:val="22"/>
                <w:lang w:val="en-US"/>
              </w:rPr>
            </w:pPr>
            <w:r w:rsidRPr="00F424F7">
              <w:rPr>
                <w:sz w:val="22"/>
                <w:szCs w:val="22"/>
                <w:lang w:val="en-US"/>
              </w:rPr>
              <w:t>60 408 744</w:t>
            </w:r>
          </w:p>
        </w:tc>
      </w:tr>
      <w:tr w:rsidR="00025C68" w:rsidRPr="00F424F7" w:rsidTr="00316548">
        <w:trPr>
          <w:trHeight w:val="113"/>
          <w:jc w:val="center"/>
        </w:trPr>
        <w:tc>
          <w:tcPr>
            <w:tcW w:w="1401" w:type="dxa"/>
            <w:vMerge/>
            <w:tcBorders>
              <w:top w:val="single" w:sz="8" w:space="0" w:color="auto"/>
              <w:left w:val="single" w:sz="8" w:space="0" w:color="auto"/>
              <w:bottom w:val="single" w:sz="8" w:space="0" w:color="000000"/>
              <w:right w:val="single" w:sz="4" w:space="0" w:color="auto"/>
            </w:tcBorders>
            <w:vAlign w:val="center"/>
            <w:hideMark/>
          </w:tcPr>
          <w:p w:rsidR="00025C68" w:rsidRPr="00F424F7" w:rsidRDefault="00025C68" w:rsidP="00AE2042">
            <w:pPr>
              <w:keepNext/>
              <w:spacing w:before="0" w:after="0"/>
              <w:jc w:val="left"/>
              <w:outlineLvl w:val="0"/>
              <w:rPr>
                <w:rFonts w:eastAsia="Times New Roman"/>
                <w:color w:val="000000"/>
                <w:sz w:val="22"/>
                <w:szCs w:val="22"/>
                <w:highlight w:val="red"/>
                <w:lang w:val="en-US" w:eastAsia="fr-FR"/>
              </w:rPr>
            </w:pPr>
          </w:p>
        </w:tc>
        <w:tc>
          <w:tcPr>
            <w:tcW w:w="7920" w:type="dxa"/>
            <w:tcBorders>
              <w:top w:val="single" w:sz="8" w:space="0" w:color="auto"/>
              <w:left w:val="nil"/>
              <w:bottom w:val="single" w:sz="4" w:space="0" w:color="auto"/>
              <w:right w:val="nil"/>
            </w:tcBorders>
            <w:vAlign w:val="center"/>
          </w:tcPr>
          <w:p w:rsidR="00025C68" w:rsidRPr="00F424F7" w:rsidRDefault="00C12B77" w:rsidP="00AE2042">
            <w:pPr>
              <w:spacing w:before="0" w:after="0"/>
              <w:jc w:val="left"/>
              <w:rPr>
                <w:rFonts w:eastAsia="Times New Roman"/>
                <w:color w:val="000000"/>
                <w:sz w:val="22"/>
                <w:szCs w:val="22"/>
                <w:lang w:val="fr-FR" w:eastAsia="fr-FR"/>
              </w:rPr>
            </w:pPr>
            <w:r w:rsidRPr="00F424F7">
              <w:rPr>
                <w:rFonts w:eastAsia="Times New Roman"/>
                <w:color w:val="000000"/>
                <w:sz w:val="22"/>
                <w:szCs w:val="22"/>
                <w:lang w:val="fr-FR" w:eastAsia="fr-FR"/>
              </w:rPr>
              <w:t xml:space="preserve">041 </w:t>
            </w:r>
            <w:r w:rsidR="001118A2" w:rsidRPr="00F424F7">
              <w:rPr>
                <w:rFonts w:eastAsia="Times New Roman"/>
                <w:color w:val="000000"/>
                <w:sz w:val="22"/>
                <w:szCs w:val="22"/>
                <w:lang w:val="fr-FR" w:eastAsia="fr-FR"/>
              </w:rPr>
              <w:t xml:space="preserve">Căi navigabile interne și porturi (TEN-T) </w:t>
            </w:r>
          </w:p>
        </w:tc>
        <w:tc>
          <w:tcPr>
            <w:tcW w:w="1650" w:type="dxa"/>
            <w:tcBorders>
              <w:top w:val="single" w:sz="8" w:space="0" w:color="auto"/>
              <w:left w:val="single" w:sz="8" w:space="0" w:color="auto"/>
              <w:bottom w:val="single" w:sz="4" w:space="0" w:color="auto"/>
              <w:right w:val="single" w:sz="8" w:space="0" w:color="auto"/>
            </w:tcBorders>
            <w:noWrap/>
            <w:vAlign w:val="center"/>
          </w:tcPr>
          <w:p w:rsidR="00025C68" w:rsidRPr="00F424F7" w:rsidRDefault="00F85A85" w:rsidP="00AE2042">
            <w:pPr>
              <w:spacing w:before="0" w:after="0"/>
              <w:jc w:val="right"/>
              <w:rPr>
                <w:sz w:val="22"/>
                <w:szCs w:val="22"/>
                <w:lang w:val="en-US"/>
              </w:rPr>
            </w:pPr>
            <w:r w:rsidRPr="00F424F7">
              <w:rPr>
                <w:sz w:val="22"/>
                <w:szCs w:val="22"/>
                <w:lang w:val="en-US"/>
              </w:rPr>
              <w:t>12 944 731</w:t>
            </w:r>
          </w:p>
        </w:tc>
      </w:tr>
      <w:tr w:rsidR="00025C68" w:rsidRPr="00F424F7" w:rsidTr="00316548">
        <w:trPr>
          <w:trHeight w:val="567"/>
          <w:jc w:val="center"/>
        </w:trPr>
        <w:tc>
          <w:tcPr>
            <w:tcW w:w="1401" w:type="dxa"/>
            <w:vMerge/>
            <w:tcBorders>
              <w:top w:val="single" w:sz="8" w:space="0" w:color="auto"/>
              <w:left w:val="single" w:sz="8" w:space="0" w:color="auto"/>
              <w:bottom w:val="single" w:sz="8" w:space="0" w:color="000000"/>
              <w:right w:val="single" w:sz="4" w:space="0" w:color="auto"/>
            </w:tcBorders>
            <w:vAlign w:val="center"/>
            <w:hideMark/>
          </w:tcPr>
          <w:p w:rsidR="00025C68" w:rsidRPr="00F424F7" w:rsidRDefault="00025C68" w:rsidP="00AE2042">
            <w:pPr>
              <w:keepNext/>
              <w:spacing w:before="0" w:after="0"/>
              <w:jc w:val="left"/>
              <w:outlineLvl w:val="0"/>
              <w:rPr>
                <w:rFonts w:eastAsia="Times New Roman"/>
                <w:color w:val="000000"/>
                <w:sz w:val="22"/>
                <w:szCs w:val="22"/>
                <w:highlight w:val="red"/>
                <w:lang w:val="en-US" w:eastAsia="fr-FR"/>
              </w:rPr>
            </w:pPr>
          </w:p>
        </w:tc>
        <w:tc>
          <w:tcPr>
            <w:tcW w:w="7920" w:type="dxa"/>
            <w:tcBorders>
              <w:top w:val="single" w:sz="8" w:space="0" w:color="auto"/>
              <w:left w:val="nil"/>
              <w:bottom w:val="single" w:sz="4" w:space="0" w:color="auto"/>
              <w:right w:val="nil"/>
            </w:tcBorders>
            <w:vAlign w:val="center"/>
          </w:tcPr>
          <w:p w:rsidR="00025C68" w:rsidRPr="00F424F7" w:rsidRDefault="00C12B77" w:rsidP="00AE2042">
            <w:pPr>
              <w:spacing w:before="0" w:after="0"/>
              <w:jc w:val="left"/>
              <w:rPr>
                <w:rFonts w:eastAsia="Times New Roman"/>
                <w:color w:val="000000"/>
                <w:sz w:val="22"/>
                <w:szCs w:val="22"/>
                <w:lang w:val="fr-FR" w:eastAsia="fr-FR"/>
              </w:rPr>
            </w:pPr>
            <w:r w:rsidRPr="00F424F7">
              <w:rPr>
                <w:rFonts w:eastAsia="Times New Roman"/>
                <w:color w:val="000000"/>
                <w:sz w:val="22"/>
                <w:szCs w:val="22"/>
                <w:lang w:val="fr-FR" w:eastAsia="fr-FR"/>
              </w:rPr>
              <w:t xml:space="preserve">044 </w:t>
            </w:r>
            <w:r w:rsidR="001118A2" w:rsidRPr="00F424F7">
              <w:rPr>
                <w:rFonts w:eastAsia="Times New Roman"/>
                <w:color w:val="000000"/>
                <w:sz w:val="22"/>
                <w:szCs w:val="22"/>
                <w:lang w:val="fr-FR" w:eastAsia="fr-FR"/>
              </w:rPr>
              <w:t xml:space="preserve">Sisteme de transport inteligente (inclusiv introducerea gestionării cererii, sistemele de taxare rutieră, sistemele informatice de monitorizare, de control și de informare) </w:t>
            </w:r>
          </w:p>
        </w:tc>
        <w:tc>
          <w:tcPr>
            <w:tcW w:w="1650" w:type="dxa"/>
            <w:tcBorders>
              <w:top w:val="single" w:sz="8" w:space="0" w:color="auto"/>
              <w:left w:val="single" w:sz="8" w:space="0" w:color="auto"/>
              <w:bottom w:val="single" w:sz="4" w:space="0" w:color="auto"/>
              <w:right w:val="single" w:sz="8" w:space="0" w:color="auto"/>
            </w:tcBorders>
            <w:noWrap/>
            <w:vAlign w:val="center"/>
          </w:tcPr>
          <w:p w:rsidR="00025C68" w:rsidRPr="00F424F7" w:rsidRDefault="00F85A85" w:rsidP="00AE2042">
            <w:pPr>
              <w:spacing w:before="0" w:after="0"/>
              <w:jc w:val="right"/>
              <w:rPr>
                <w:sz w:val="22"/>
                <w:szCs w:val="22"/>
                <w:lang w:val="en-US"/>
              </w:rPr>
            </w:pPr>
            <w:r w:rsidRPr="00F424F7">
              <w:rPr>
                <w:sz w:val="22"/>
                <w:szCs w:val="22"/>
                <w:lang w:val="en-US"/>
              </w:rPr>
              <w:t>8629820</w:t>
            </w:r>
          </w:p>
        </w:tc>
      </w:tr>
      <w:tr w:rsidR="00025C68" w:rsidRPr="00F424F7" w:rsidTr="00316548">
        <w:trPr>
          <w:trHeight w:val="454"/>
          <w:jc w:val="center"/>
        </w:trPr>
        <w:tc>
          <w:tcPr>
            <w:tcW w:w="1401" w:type="dxa"/>
            <w:vMerge w:val="restart"/>
            <w:tcBorders>
              <w:top w:val="nil"/>
              <w:left w:val="single" w:sz="8" w:space="0" w:color="auto"/>
              <w:right w:val="single" w:sz="4" w:space="0" w:color="auto"/>
            </w:tcBorders>
            <w:vAlign w:val="center"/>
            <w:hideMark/>
          </w:tcPr>
          <w:p w:rsidR="00025C68" w:rsidRPr="00F424F7" w:rsidRDefault="00AE2042" w:rsidP="00AE2042">
            <w:pPr>
              <w:spacing w:before="0" w:after="0"/>
              <w:jc w:val="left"/>
              <w:rPr>
                <w:rFonts w:eastAsia="Times New Roman"/>
                <w:color w:val="000000"/>
                <w:sz w:val="22"/>
                <w:szCs w:val="22"/>
                <w:lang w:val="en-US" w:eastAsia="fr-FR"/>
              </w:rPr>
            </w:pPr>
            <w:r w:rsidRPr="00F424F7">
              <w:rPr>
                <w:rFonts w:eastAsia="Times New Roman"/>
                <w:color w:val="000000"/>
                <w:sz w:val="22"/>
                <w:szCs w:val="22"/>
                <w:lang w:val="en-US" w:eastAsia="fr-FR"/>
              </w:rPr>
              <w:t>AP</w:t>
            </w:r>
            <w:r w:rsidR="00025C68" w:rsidRPr="00F424F7">
              <w:rPr>
                <w:rFonts w:eastAsia="Times New Roman"/>
                <w:color w:val="000000"/>
                <w:sz w:val="22"/>
                <w:szCs w:val="22"/>
                <w:lang w:val="en-US" w:eastAsia="fr-FR"/>
              </w:rPr>
              <w:t xml:space="preserve"> 2: </w:t>
            </w:r>
            <w:r w:rsidRPr="00F424F7">
              <w:rPr>
                <w:sz w:val="22"/>
                <w:szCs w:val="22"/>
              </w:rPr>
              <w:t>O regiune verde</w:t>
            </w:r>
          </w:p>
        </w:tc>
        <w:tc>
          <w:tcPr>
            <w:tcW w:w="7920" w:type="dxa"/>
            <w:tcBorders>
              <w:top w:val="nil"/>
              <w:left w:val="nil"/>
              <w:bottom w:val="single" w:sz="4" w:space="0" w:color="auto"/>
              <w:right w:val="nil"/>
            </w:tcBorders>
            <w:vAlign w:val="center"/>
          </w:tcPr>
          <w:p w:rsidR="00025C68" w:rsidRPr="006C6828" w:rsidRDefault="00025C68" w:rsidP="00AE2042">
            <w:pPr>
              <w:spacing w:before="0" w:after="0"/>
              <w:jc w:val="left"/>
              <w:rPr>
                <w:rFonts w:eastAsia="Times New Roman"/>
                <w:color w:val="000000"/>
                <w:sz w:val="22"/>
                <w:szCs w:val="22"/>
                <w:lang w:val="it-IT" w:eastAsia="fr-FR"/>
              </w:rPr>
            </w:pPr>
            <w:r w:rsidRPr="006C6828">
              <w:rPr>
                <w:rFonts w:eastAsia="Times New Roman"/>
                <w:color w:val="000000"/>
                <w:sz w:val="22"/>
                <w:szCs w:val="22"/>
                <w:lang w:val="it-IT" w:eastAsia="fr-FR"/>
              </w:rPr>
              <w:t xml:space="preserve">091 </w:t>
            </w:r>
            <w:r w:rsidR="00273FEA" w:rsidRPr="006C6828">
              <w:rPr>
                <w:rFonts w:eastAsia="Times New Roman"/>
                <w:color w:val="000000"/>
                <w:sz w:val="22"/>
                <w:szCs w:val="22"/>
                <w:lang w:val="it-IT" w:eastAsia="fr-FR"/>
              </w:rPr>
              <w:t>Dezvoltarea și promovarea potențialului turistic al zonelor naturale</w:t>
            </w:r>
          </w:p>
        </w:tc>
        <w:tc>
          <w:tcPr>
            <w:tcW w:w="1650" w:type="dxa"/>
            <w:tcBorders>
              <w:top w:val="nil"/>
              <w:left w:val="single" w:sz="8" w:space="0" w:color="auto"/>
              <w:bottom w:val="single" w:sz="4" w:space="0" w:color="auto"/>
              <w:right w:val="single" w:sz="8" w:space="0" w:color="auto"/>
            </w:tcBorders>
            <w:noWrap/>
            <w:vAlign w:val="center"/>
          </w:tcPr>
          <w:p w:rsidR="00025C68" w:rsidRPr="00F424F7" w:rsidRDefault="00025C68" w:rsidP="00AE2042">
            <w:pPr>
              <w:spacing w:before="0" w:after="0"/>
              <w:jc w:val="right"/>
              <w:rPr>
                <w:sz w:val="22"/>
                <w:szCs w:val="22"/>
                <w:lang w:val="en-US"/>
              </w:rPr>
            </w:pPr>
            <w:r w:rsidRPr="00F424F7">
              <w:rPr>
                <w:sz w:val="22"/>
                <w:szCs w:val="22"/>
                <w:lang w:val="en-US"/>
              </w:rPr>
              <w:t>6472365</w:t>
            </w:r>
          </w:p>
        </w:tc>
      </w:tr>
      <w:tr w:rsidR="00025C68" w:rsidRPr="00F424F7" w:rsidTr="00316548">
        <w:trPr>
          <w:trHeight w:val="397"/>
          <w:jc w:val="center"/>
        </w:trPr>
        <w:tc>
          <w:tcPr>
            <w:tcW w:w="1401" w:type="dxa"/>
            <w:vMerge/>
            <w:tcBorders>
              <w:left w:val="single" w:sz="8" w:space="0" w:color="auto"/>
              <w:right w:val="single" w:sz="4" w:space="0" w:color="auto"/>
            </w:tcBorders>
            <w:vAlign w:val="center"/>
            <w:hideMark/>
          </w:tcPr>
          <w:p w:rsidR="00025C68" w:rsidRPr="00F424F7" w:rsidRDefault="00025C68" w:rsidP="00AE2042">
            <w:pPr>
              <w:keepNext/>
              <w:spacing w:before="0" w:after="0"/>
              <w:jc w:val="left"/>
              <w:outlineLvl w:val="0"/>
              <w:rPr>
                <w:rFonts w:eastAsia="Times New Roman"/>
                <w:color w:val="000000"/>
                <w:sz w:val="22"/>
                <w:szCs w:val="22"/>
                <w:highlight w:val="red"/>
                <w:lang w:val="en-US" w:eastAsia="fr-FR"/>
              </w:rPr>
            </w:pPr>
          </w:p>
        </w:tc>
        <w:tc>
          <w:tcPr>
            <w:tcW w:w="7920" w:type="dxa"/>
            <w:tcBorders>
              <w:top w:val="nil"/>
              <w:left w:val="nil"/>
              <w:bottom w:val="single" w:sz="8" w:space="0" w:color="auto"/>
              <w:right w:val="nil"/>
            </w:tcBorders>
            <w:vAlign w:val="center"/>
          </w:tcPr>
          <w:p w:rsidR="00025C68" w:rsidRPr="006C6828" w:rsidRDefault="00C12B77" w:rsidP="00AE2042">
            <w:pPr>
              <w:spacing w:before="0" w:after="0"/>
              <w:jc w:val="left"/>
              <w:rPr>
                <w:rFonts w:eastAsia="Times New Roman"/>
                <w:color w:val="000000"/>
                <w:sz w:val="22"/>
                <w:szCs w:val="22"/>
                <w:lang w:val="it-IT" w:eastAsia="fr-FR"/>
              </w:rPr>
            </w:pPr>
            <w:r w:rsidRPr="006C6828">
              <w:rPr>
                <w:rFonts w:eastAsia="Times New Roman"/>
                <w:color w:val="000000"/>
                <w:sz w:val="22"/>
                <w:szCs w:val="22"/>
                <w:lang w:val="it-IT" w:eastAsia="fr-FR"/>
              </w:rPr>
              <w:t xml:space="preserve">094 </w:t>
            </w:r>
            <w:r w:rsidR="00273FEA" w:rsidRPr="006C6828">
              <w:rPr>
                <w:rFonts w:eastAsia="Times New Roman"/>
                <w:color w:val="000000"/>
                <w:sz w:val="22"/>
                <w:szCs w:val="22"/>
                <w:lang w:val="it-IT" w:eastAsia="fr-FR"/>
              </w:rPr>
              <w:t>Protejarea, dezvoltarea și promovarea activelor culturale și de patrimoniu publice</w:t>
            </w:r>
          </w:p>
        </w:tc>
        <w:tc>
          <w:tcPr>
            <w:tcW w:w="1650" w:type="dxa"/>
            <w:tcBorders>
              <w:top w:val="nil"/>
              <w:left w:val="single" w:sz="8" w:space="0" w:color="auto"/>
              <w:bottom w:val="single" w:sz="8" w:space="0" w:color="auto"/>
              <w:right w:val="single" w:sz="8" w:space="0" w:color="auto"/>
            </w:tcBorders>
            <w:noWrap/>
            <w:vAlign w:val="center"/>
          </w:tcPr>
          <w:p w:rsidR="00025C68" w:rsidRPr="00F424F7" w:rsidRDefault="00DE78F7" w:rsidP="00AE2042">
            <w:pPr>
              <w:spacing w:before="0" w:after="0"/>
              <w:jc w:val="right"/>
              <w:rPr>
                <w:sz w:val="22"/>
                <w:szCs w:val="22"/>
                <w:lang w:val="en-US"/>
              </w:rPr>
            </w:pPr>
            <w:r w:rsidRPr="00F424F7">
              <w:rPr>
                <w:sz w:val="22"/>
                <w:szCs w:val="22"/>
                <w:lang w:val="en-US"/>
              </w:rPr>
              <w:t>25889462</w:t>
            </w:r>
          </w:p>
        </w:tc>
      </w:tr>
      <w:tr w:rsidR="00025C68" w:rsidRPr="00F424F7" w:rsidTr="00316548">
        <w:trPr>
          <w:trHeight w:val="454"/>
          <w:jc w:val="center"/>
        </w:trPr>
        <w:tc>
          <w:tcPr>
            <w:tcW w:w="1401" w:type="dxa"/>
            <w:vMerge/>
            <w:tcBorders>
              <w:left w:val="single" w:sz="8" w:space="0" w:color="auto"/>
              <w:right w:val="single" w:sz="4" w:space="0" w:color="auto"/>
            </w:tcBorders>
            <w:vAlign w:val="center"/>
            <w:hideMark/>
          </w:tcPr>
          <w:p w:rsidR="00025C68" w:rsidRPr="00F424F7" w:rsidRDefault="00025C68" w:rsidP="00AE2042">
            <w:pPr>
              <w:keepNext/>
              <w:spacing w:before="0" w:after="0"/>
              <w:jc w:val="left"/>
              <w:outlineLvl w:val="0"/>
              <w:rPr>
                <w:rFonts w:eastAsia="Times New Roman"/>
                <w:color w:val="000000"/>
                <w:sz w:val="22"/>
                <w:szCs w:val="22"/>
                <w:highlight w:val="red"/>
                <w:lang w:val="en-US" w:eastAsia="fr-FR"/>
              </w:rPr>
            </w:pPr>
          </w:p>
        </w:tc>
        <w:tc>
          <w:tcPr>
            <w:tcW w:w="7920" w:type="dxa"/>
            <w:tcBorders>
              <w:top w:val="nil"/>
              <w:left w:val="nil"/>
              <w:bottom w:val="single" w:sz="8" w:space="0" w:color="auto"/>
              <w:right w:val="nil"/>
            </w:tcBorders>
            <w:vAlign w:val="center"/>
          </w:tcPr>
          <w:p w:rsidR="00025C68" w:rsidRPr="006C6828" w:rsidRDefault="00C12B77" w:rsidP="00AE2042">
            <w:pPr>
              <w:spacing w:before="0" w:after="0"/>
              <w:jc w:val="left"/>
              <w:rPr>
                <w:rFonts w:eastAsia="Times New Roman"/>
                <w:color w:val="000000"/>
                <w:sz w:val="22"/>
                <w:szCs w:val="22"/>
                <w:lang w:val="it-IT" w:eastAsia="fr-FR"/>
              </w:rPr>
            </w:pPr>
            <w:r w:rsidRPr="006C6828">
              <w:rPr>
                <w:rFonts w:eastAsia="Times New Roman"/>
                <w:color w:val="000000"/>
                <w:sz w:val="22"/>
                <w:szCs w:val="22"/>
                <w:lang w:val="it-IT" w:eastAsia="fr-FR"/>
              </w:rPr>
              <w:t xml:space="preserve">085 </w:t>
            </w:r>
            <w:r w:rsidR="003229F0" w:rsidRPr="006C6828">
              <w:rPr>
                <w:rFonts w:eastAsia="Times New Roman"/>
                <w:color w:val="000000"/>
                <w:sz w:val="22"/>
                <w:szCs w:val="22"/>
                <w:lang w:val="it-IT" w:eastAsia="fr-FR"/>
              </w:rPr>
              <w:t xml:space="preserve">Protejarea și sporirea biodiversității, protecția naturii și infrastructură ecologică </w:t>
            </w:r>
          </w:p>
        </w:tc>
        <w:tc>
          <w:tcPr>
            <w:tcW w:w="1650" w:type="dxa"/>
            <w:tcBorders>
              <w:top w:val="nil"/>
              <w:left w:val="single" w:sz="8" w:space="0" w:color="auto"/>
              <w:bottom w:val="single" w:sz="8" w:space="0" w:color="auto"/>
              <w:right w:val="single" w:sz="8" w:space="0" w:color="auto"/>
            </w:tcBorders>
            <w:noWrap/>
            <w:vAlign w:val="center"/>
          </w:tcPr>
          <w:p w:rsidR="00025C68" w:rsidRPr="00F424F7" w:rsidRDefault="00C12B77" w:rsidP="00AE2042">
            <w:pPr>
              <w:spacing w:before="0" w:after="0"/>
              <w:jc w:val="right"/>
              <w:rPr>
                <w:sz w:val="22"/>
                <w:szCs w:val="22"/>
                <w:lang w:val="en-US"/>
              </w:rPr>
            </w:pPr>
            <w:r w:rsidRPr="00F424F7">
              <w:rPr>
                <w:sz w:val="22"/>
                <w:szCs w:val="22"/>
                <w:lang w:val="en-US"/>
              </w:rPr>
              <w:t>1294473</w:t>
            </w:r>
            <w:r w:rsidR="00DE78F7" w:rsidRPr="00F424F7">
              <w:rPr>
                <w:sz w:val="22"/>
                <w:szCs w:val="22"/>
                <w:lang w:val="en-US"/>
              </w:rPr>
              <w:t>1</w:t>
            </w:r>
          </w:p>
        </w:tc>
      </w:tr>
      <w:tr w:rsidR="00025C68" w:rsidRPr="00F424F7" w:rsidTr="00316548">
        <w:trPr>
          <w:trHeight w:val="170"/>
          <w:jc w:val="center"/>
        </w:trPr>
        <w:tc>
          <w:tcPr>
            <w:tcW w:w="1401" w:type="dxa"/>
            <w:vMerge/>
            <w:tcBorders>
              <w:left w:val="single" w:sz="8" w:space="0" w:color="auto"/>
              <w:bottom w:val="single" w:sz="8" w:space="0" w:color="000000"/>
              <w:right w:val="single" w:sz="4" w:space="0" w:color="auto"/>
            </w:tcBorders>
            <w:vAlign w:val="center"/>
          </w:tcPr>
          <w:p w:rsidR="00025C68" w:rsidRPr="00F424F7" w:rsidRDefault="00025C68" w:rsidP="00AE2042">
            <w:pPr>
              <w:keepNext/>
              <w:spacing w:before="0" w:after="0"/>
              <w:jc w:val="left"/>
              <w:outlineLvl w:val="0"/>
              <w:rPr>
                <w:rFonts w:eastAsia="Times New Roman"/>
                <w:color w:val="000000"/>
                <w:sz w:val="22"/>
                <w:szCs w:val="22"/>
                <w:highlight w:val="red"/>
                <w:lang w:val="en-US" w:eastAsia="fr-FR"/>
              </w:rPr>
            </w:pPr>
          </w:p>
        </w:tc>
        <w:tc>
          <w:tcPr>
            <w:tcW w:w="7920" w:type="dxa"/>
            <w:tcBorders>
              <w:top w:val="nil"/>
              <w:left w:val="nil"/>
              <w:bottom w:val="single" w:sz="8" w:space="0" w:color="auto"/>
              <w:right w:val="nil"/>
            </w:tcBorders>
            <w:vAlign w:val="center"/>
          </w:tcPr>
          <w:p w:rsidR="00025C68" w:rsidRPr="006C6828" w:rsidRDefault="00C12B77" w:rsidP="00AE2042">
            <w:pPr>
              <w:spacing w:before="0" w:after="0"/>
              <w:jc w:val="left"/>
              <w:rPr>
                <w:rFonts w:eastAsia="Times New Roman"/>
                <w:color w:val="000000"/>
                <w:sz w:val="22"/>
                <w:szCs w:val="22"/>
                <w:lang w:val="it-IT" w:eastAsia="fr-FR"/>
              </w:rPr>
            </w:pPr>
            <w:r w:rsidRPr="006C6828">
              <w:rPr>
                <w:rFonts w:eastAsia="Times New Roman"/>
                <w:color w:val="000000"/>
                <w:sz w:val="22"/>
                <w:szCs w:val="22"/>
                <w:lang w:val="it-IT" w:eastAsia="fr-FR"/>
              </w:rPr>
              <w:t xml:space="preserve">086 </w:t>
            </w:r>
            <w:r w:rsidR="003229F0" w:rsidRPr="006C6828">
              <w:rPr>
                <w:rFonts w:eastAsia="Times New Roman"/>
                <w:color w:val="000000"/>
                <w:sz w:val="22"/>
                <w:szCs w:val="22"/>
                <w:lang w:val="it-IT" w:eastAsia="fr-FR"/>
              </w:rPr>
              <w:t>Protejarea, restaurarea și utilizarea durabilă a siturilor Natura 2000</w:t>
            </w:r>
          </w:p>
        </w:tc>
        <w:tc>
          <w:tcPr>
            <w:tcW w:w="1650" w:type="dxa"/>
            <w:tcBorders>
              <w:top w:val="nil"/>
              <w:left w:val="single" w:sz="8" w:space="0" w:color="auto"/>
              <w:bottom w:val="single" w:sz="8" w:space="0" w:color="auto"/>
              <w:right w:val="single" w:sz="8" w:space="0" w:color="auto"/>
            </w:tcBorders>
            <w:noWrap/>
            <w:vAlign w:val="center"/>
          </w:tcPr>
          <w:p w:rsidR="00025C68" w:rsidRPr="00F424F7" w:rsidRDefault="0064204E" w:rsidP="00AE2042">
            <w:pPr>
              <w:spacing w:before="0" w:after="0"/>
              <w:jc w:val="right"/>
              <w:rPr>
                <w:sz w:val="22"/>
                <w:szCs w:val="22"/>
                <w:lang w:val="en-US"/>
              </w:rPr>
            </w:pPr>
            <w:r w:rsidRPr="00F424F7">
              <w:rPr>
                <w:sz w:val="22"/>
                <w:szCs w:val="22"/>
                <w:lang w:val="en-US"/>
              </w:rPr>
              <w:t>8629820</w:t>
            </w:r>
          </w:p>
        </w:tc>
      </w:tr>
      <w:tr w:rsidR="00025C68" w:rsidRPr="00F424F7" w:rsidTr="00316548">
        <w:trPr>
          <w:trHeight w:val="630"/>
          <w:jc w:val="center"/>
        </w:trPr>
        <w:tc>
          <w:tcPr>
            <w:tcW w:w="1401" w:type="dxa"/>
            <w:vMerge w:val="restart"/>
            <w:tcBorders>
              <w:top w:val="nil"/>
              <w:left w:val="single" w:sz="8" w:space="0" w:color="auto"/>
              <w:bottom w:val="single" w:sz="8" w:space="0" w:color="000000"/>
              <w:right w:val="single" w:sz="4" w:space="0" w:color="auto"/>
            </w:tcBorders>
            <w:vAlign w:val="center"/>
            <w:hideMark/>
          </w:tcPr>
          <w:p w:rsidR="00025C68" w:rsidRPr="00F424F7" w:rsidRDefault="00316548" w:rsidP="00316548">
            <w:pPr>
              <w:spacing w:before="0" w:after="0"/>
              <w:jc w:val="left"/>
              <w:rPr>
                <w:rFonts w:eastAsia="Times New Roman"/>
                <w:color w:val="000000"/>
                <w:sz w:val="22"/>
                <w:szCs w:val="22"/>
                <w:lang w:val="en-US" w:eastAsia="fr-FR"/>
              </w:rPr>
            </w:pPr>
            <w:r w:rsidRPr="00F424F7">
              <w:rPr>
                <w:rFonts w:eastAsia="Times New Roman"/>
                <w:color w:val="000000"/>
                <w:sz w:val="22"/>
                <w:szCs w:val="22"/>
                <w:lang w:val="en-US" w:eastAsia="fr-FR"/>
              </w:rPr>
              <w:t>AP</w:t>
            </w:r>
            <w:r w:rsidR="00025C68" w:rsidRPr="00F424F7">
              <w:rPr>
                <w:rFonts w:eastAsia="Times New Roman"/>
                <w:color w:val="000000"/>
                <w:sz w:val="22"/>
                <w:szCs w:val="22"/>
                <w:lang w:val="en-US" w:eastAsia="fr-FR"/>
              </w:rPr>
              <w:t xml:space="preserve"> 3: </w:t>
            </w:r>
            <w:r w:rsidRPr="00F424F7">
              <w:rPr>
                <w:sz w:val="22"/>
                <w:szCs w:val="22"/>
              </w:rPr>
              <w:t>O regiune sigură</w:t>
            </w:r>
          </w:p>
        </w:tc>
        <w:tc>
          <w:tcPr>
            <w:tcW w:w="7920" w:type="dxa"/>
            <w:tcBorders>
              <w:top w:val="nil"/>
              <w:left w:val="nil"/>
              <w:bottom w:val="single" w:sz="4" w:space="0" w:color="auto"/>
              <w:right w:val="nil"/>
            </w:tcBorders>
            <w:vAlign w:val="center"/>
          </w:tcPr>
          <w:p w:rsidR="00025C68" w:rsidRPr="00F424F7" w:rsidRDefault="00025C68" w:rsidP="00AE2042">
            <w:pPr>
              <w:spacing w:before="0" w:after="0"/>
              <w:jc w:val="left"/>
              <w:rPr>
                <w:rFonts w:eastAsia="Times New Roman"/>
                <w:color w:val="000000"/>
                <w:sz w:val="22"/>
                <w:szCs w:val="22"/>
                <w:lang w:val="fr-FR" w:eastAsia="fr-FR"/>
              </w:rPr>
            </w:pPr>
            <w:r w:rsidRPr="00F424F7">
              <w:rPr>
                <w:rFonts w:eastAsia="Times New Roman"/>
                <w:color w:val="000000"/>
                <w:sz w:val="22"/>
                <w:szCs w:val="22"/>
                <w:lang w:val="fr-FR" w:eastAsia="fr-FR"/>
              </w:rPr>
              <w:t xml:space="preserve">087 </w:t>
            </w:r>
            <w:r w:rsidR="001745C7" w:rsidRPr="00F424F7">
              <w:rPr>
                <w:rFonts w:eastAsia="Times New Roman"/>
                <w:color w:val="000000"/>
                <w:sz w:val="22"/>
                <w:szCs w:val="22"/>
                <w:lang w:val="fr-FR" w:eastAsia="fr-FR"/>
              </w:rPr>
              <w:t>Măsuri de adaptare la schimbările climatice și prevenirea și gestionarea riscurilor legate de climă, precum eroziunile, incendiile, inundațiile, furtunile și seceta, inclusiv acțiunile de sensibilizare, sistemele și infrastructurile de protecție civilă și de gestionare a dezastrelor</w:t>
            </w:r>
          </w:p>
        </w:tc>
        <w:tc>
          <w:tcPr>
            <w:tcW w:w="1650" w:type="dxa"/>
            <w:tcBorders>
              <w:top w:val="nil"/>
              <w:left w:val="single" w:sz="8" w:space="0" w:color="auto"/>
              <w:bottom w:val="single" w:sz="4" w:space="0" w:color="auto"/>
              <w:right w:val="single" w:sz="8" w:space="0" w:color="auto"/>
            </w:tcBorders>
            <w:noWrap/>
            <w:vAlign w:val="center"/>
          </w:tcPr>
          <w:p w:rsidR="00025C68" w:rsidRPr="00F424F7" w:rsidRDefault="00025C68" w:rsidP="00AE2042">
            <w:pPr>
              <w:spacing w:before="0" w:after="0"/>
              <w:jc w:val="right"/>
              <w:rPr>
                <w:sz w:val="22"/>
                <w:szCs w:val="22"/>
                <w:lang w:val="en-US"/>
              </w:rPr>
            </w:pPr>
            <w:r w:rsidRPr="00F424F7">
              <w:rPr>
                <w:sz w:val="22"/>
                <w:szCs w:val="22"/>
                <w:lang w:val="en-US"/>
              </w:rPr>
              <w:t>17259</w:t>
            </w:r>
            <w:r w:rsidR="00F85A85" w:rsidRPr="00F424F7">
              <w:rPr>
                <w:sz w:val="22"/>
                <w:szCs w:val="22"/>
                <w:lang w:val="en-US"/>
              </w:rPr>
              <w:t>641</w:t>
            </w:r>
          </w:p>
        </w:tc>
      </w:tr>
      <w:tr w:rsidR="00025C68" w:rsidRPr="00F424F7" w:rsidTr="00316548">
        <w:trPr>
          <w:trHeight w:val="630"/>
          <w:jc w:val="center"/>
        </w:trPr>
        <w:tc>
          <w:tcPr>
            <w:tcW w:w="1401" w:type="dxa"/>
            <w:vMerge/>
            <w:tcBorders>
              <w:top w:val="nil"/>
              <w:left w:val="single" w:sz="8" w:space="0" w:color="auto"/>
              <w:bottom w:val="single" w:sz="8" w:space="0" w:color="000000"/>
              <w:right w:val="single" w:sz="4" w:space="0" w:color="auto"/>
            </w:tcBorders>
            <w:vAlign w:val="center"/>
            <w:hideMark/>
          </w:tcPr>
          <w:p w:rsidR="00025C68" w:rsidRPr="00F424F7" w:rsidRDefault="00025C68" w:rsidP="00AE2042">
            <w:pPr>
              <w:keepNext/>
              <w:spacing w:before="0" w:after="0"/>
              <w:jc w:val="left"/>
              <w:outlineLvl w:val="0"/>
              <w:rPr>
                <w:rFonts w:eastAsia="Times New Roman"/>
                <w:color w:val="000000"/>
                <w:sz w:val="22"/>
                <w:szCs w:val="22"/>
                <w:highlight w:val="red"/>
                <w:lang w:val="en-US" w:eastAsia="fr-FR"/>
              </w:rPr>
            </w:pPr>
          </w:p>
        </w:tc>
        <w:tc>
          <w:tcPr>
            <w:tcW w:w="7920" w:type="dxa"/>
            <w:tcBorders>
              <w:top w:val="nil"/>
              <w:left w:val="nil"/>
              <w:bottom w:val="single" w:sz="4" w:space="0" w:color="auto"/>
              <w:right w:val="nil"/>
            </w:tcBorders>
            <w:vAlign w:val="center"/>
          </w:tcPr>
          <w:p w:rsidR="00025C68" w:rsidRPr="00F424F7" w:rsidRDefault="00C12B77" w:rsidP="00AE2042">
            <w:pPr>
              <w:spacing w:before="0" w:after="0"/>
              <w:jc w:val="left"/>
              <w:rPr>
                <w:rFonts w:eastAsia="Times New Roman"/>
                <w:color w:val="000000"/>
                <w:sz w:val="22"/>
                <w:szCs w:val="22"/>
                <w:lang w:val="fr-FR" w:eastAsia="fr-FR"/>
              </w:rPr>
            </w:pPr>
            <w:r w:rsidRPr="00F424F7">
              <w:rPr>
                <w:rFonts w:eastAsia="Times New Roman"/>
                <w:color w:val="000000"/>
                <w:sz w:val="22"/>
                <w:szCs w:val="22"/>
                <w:lang w:val="fr-FR" w:eastAsia="fr-FR"/>
              </w:rPr>
              <w:t xml:space="preserve">088 </w:t>
            </w:r>
            <w:r w:rsidR="001118A2" w:rsidRPr="00F424F7">
              <w:rPr>
                <w:rFonts w:eastAsia="Times New Roman"/>
                <w:color w:val="000000"/>
                <w:sz w:val="22"/>
                <w:szCs w:val="22"/>
                <w:lang w:val="fr-FR" w:eastAsia="fr-FR"/>
              </w:rPr>
              <w:t>Prevenirea riscurilor și gestionarea riscurilor naturale conexe care nu au legătură cu clima (de exemplu, cutremurele), precum și riscurile legate de activitățile umane (de exemplu, accidentele tehnologice), inclusiv acțiunile de sensibilizare, sistemele și infrastructurile de protecție civilă și de gestionare a dezastrelor</w:t>
            </w:r>
          </w:p>
        </w:tc>
        <w:tc>
          <w:tcPr>
            <w:tcW w:w="1650" w:type="dxa"/>
            <w:tcBorders>
              <w:top w:val="nil"/>
              <w:left w:val="single" w:sz="8" w:space="0" w:color="auto"/>
              <w:bottom w:val="single" w:sz="4" w:space="0" w:color="auto"/>
              <w:right w:val="single" w:sz="8" w:space="0" w:color="auto"/>
            </w:tcBorders>
            <w:noWrap/>
            <w:vAlign w:val="center"/>
          </w:tcPr>
          <w:p w:rsidR="00025C68" w:rsidRPr="00F424F7" w:rsidRDefault="00F85A85" w:rsidP="00AE2042">
            <w:pPr>
              <w:spacing w:before="0" w:after="0"/>
              <w:jc w:val="right"/>
              <w:rPr>
                <w:sz w:val="22"/>
                <w:szCs w:val="22"/>
                <w:lang w:val="en-US"/>
              </w:rPr>
            </w:pPr>
            <w:r w:rsidRPr="00F424F7">
              <w:rPr>
                <w:sz w:val="22"/>
                <w:szCs w:val="22"/>
                <w:lang w:val="en-US"/>
              </w:rPr>
              <w:t>23732006</w:t>
            </w:r>
          </w:p>
        </w:tc>
      </w:tr>
      <w:tr w:rsidR="00025C68" w:rsidRPr="00F424F7" w:rsidTr="00316548">
        <w:trPr>
          <w:trHeight w:val="1191"/>
          <w:jc w:val="center"/>
        </w:trPr>
        <w:tc>
          <w:tcPr>
            <w:tcW w:w="1401" w:type="dxa"/>
            <w:vMerge w:val="restart"/>
            <w:tcBorders>
              <w:top w:val="nil"/>
              <w:left w:val="single" w:sz="8" w:space="0" w:color="auto"/>
              <w:right w:val="single" w:sz="4" w:space="0" w:color="auto"/>
            </w:tcBorders>
            <w:vAlign w:val="center"/>
            <w:hideMark/>
          </w:tcPr>
          <w:p w:rsidR="00025C68" w:rsidRPr="006C6828" w:rsidRDefault="00316548" w:rsidP="00316548">
            <w:pPr>
              <w:spacing w:before="0" w:after="0"/>
              <w:jc w:val="left"/>
              <w:rPr>
                <w:rFonts w:eastAsia="Times New Roman"/>
                <w:color w:val="000000"/>
                <w:sz w:val="22"/>
                <w:szCs w:val="22"/>
                <w:lang w:val="it-IT" w:eastAsia="fr-FR"/>
              </w:rPr>
            </w:pPr>
            <w:r w:rsidRPr="006C6828">
              <w:rPr>
                <w:rFonts w:eastAsia="Times New Roman"/>
                <w:color w:val="000000"/>
                <w:sz w:val="22"/>
                <w:szCs w:val="22"/>
                <w:lang w:val="it-IT" w:eastAsia="fr-FR"/>
              </w:rPr>
              <w:t>AP</w:t>
            </w:r>
            <w:r w:rsidR="00025C68" w:rsidRPr="006C6828">
              <w:rPr>
                <w:rFonts w:eastAsia="Times New Roman"/>
                <w:color w:val="000000"/>
                <w:sz w:val="22"/>
                <w:szCs w:val="22"/>
                <w:lang w:val="it-IT" w:eastAsia="fr-FR"/>
              </w:rPr>
              <w:t xml:space="preserve"> 4: </w:t>
            </w:r>
            <w:r w:rsidRPr="00F424F7">
              <w:rPr>
                <w:sz w:val="22"/>
                <w:szCs w:val="22"/>
                <w:lang w:val="fr-FR"/>
              </w:rPr>
              <w:t>O regiune calificată și inclusivă</w:t>
            </w:r>
          </w:p>
        </w:tc>
        <w:tc>
          <w:tcPr>
            <w:tcW w:w="7920" w:type="dxa"/>
            <w:tcBorders>
              <w:top w:val="nil"/>
              <w:left w:val="nil"/>
              <w:bottom w:val="single" w:sz="4" w:space="0" w:color="auto"/>
              <w:right w:val="nil"/>
            </w:tcBorders>
            <w:vAlign w:val="center"/>
          </w:tcPr>
          <w:p w:rsidR="00025C68" w:rsidRPr="006C6828" w:rsidRDefault="00025C68" w:rsidP="00AE2042">
            <w:pPr>
              <w:spacing w:before="0" w:after="0" w:line="276" w:lineRule="auto"/>
              <w:jc w:val="left"/>
              <w:rPr>
                <w:rFonts w:eastAsia="Times New Roman"/>
                <w:color w:val="000000"/>
                <w:sz w:val="22"/>
                <w:szCs w:val="22"/>
                <w:lang w:val="it-IT"/>
              </w:rPr>
            </w:pPr>
            <w:r w:rsidRPr="006C6828">
              <w:rPr>
                <w:rFonts w:eastAsia="Times New Roman"/>
                <w:color w:val="000000"/>
                <w:sz w:val="22"/>
                <w:szCs w:val="22"/>
                <w:lang w:val="it-IT"/>
              </w:rPr>
              <w:t xml:space="preserve">102 </w:t>
            </w:r>
            <w:r w:rsidR="001745C7" w:rsidRPr="006C6828">
              <w:rPr>
                <w:rFonts w:eastAsia="Times New Roman"/>
                <w:color w:val="000000"/>
                <w:sz w:val="22"/>
                <w:szCs w:val="22"/>
                <w:lang w:val="it-IT"/>
              </w:rPr>
              <w:t>Acces la locurile de muncă pentru cei aflați în căutarea unui loc de muncă și pentru persoanele inactive, inclusiv pentru șomerii pe termen lung și persoanele care au renunțat să fie prezente pe piața muncii, în special prin inițiative locale de angajare și sprijinirea mobilității forței de muncă</w:t>
            </w:r>
          </w:p>
        </w:tc>
        <w:tc>
          <w:tcPr>
            <w:tcW w:w="1650" w:type="dxa"/>
            <w:tcBorders>
              <w:top w:val="nil"/>
              <w:left w:val="single" w:sz="8" w:space="0" w:color="auto"/>
              <w:bottom w:val="single" w:sz="4" w:space="0" w:color="auto"/>
              <w:right w:val="single" w:sz="8" w:space="0" w:color="auto"/>
            </w:tcBorders>
            <w:noWrap/>
            <w:vAlign w:val="center"/>
          </w:tcPr>
          <w:p w:rsidR="00025C68" w:rsidRPr="00F424F7" w:rsidRDefault="00DE78F7" w:rsidP="00AE2042">
            <w:pPr>
              <w:spacing w:before="0" w:after="0"/>
              <w:jc w:val="right"/>
              <w:rPr>
                <w:sz w:val="22"/>
                <w:szCs w:val="22"/>
                <w:lang w:val="en-US"/>
              </w:rPr>
            </w:pPr>
            <w:r w:rsidRPr="00F424F7">
              <w:rPr>
                <w:sz w:val="22"/>
                <w:szCs w:val="22"/>
                <w:lang w:val="en-US"/>
              </w:rPr>
              <w:t>6472366</w:t>
            </w:r>
          </w:p>
        </w:tc>
      </w:tr>
      <w:tr w:rsidR="00025C68" w:rsidRPr="00F424F7" w:rsidTr="00316548">
        <w:trPr>
          <w:trHeight w:val="340"/>
          <w:jc w:val="center"/>
        </w:trPr>
        <w:tc>
          <w:tcPr>
            <w:tcW w:w="1401" w:type="dxa"/>
            <w:vMerge/>
            <w:tcBorders>
              <w:left w:val="single" w:sz="8" w:space="0" w:color="auto"/>
              <w:right w:val="single" w:sz="4" w:space="0" w:color="auto"/>
            </w:tcBorders>
            <w:vAlign w:val="center"/>
            <w:hideMark/>
          </w:tcPr>
          <w:p w:rsidR="00025C68" w:rsidRPr="00F424F7" w:rsidRDefault="00025C68" w:rsidP="00AE2042">
            <w:pPr>
              <w:keepNext/>
              <w:spacing w:before="0" w:after="0"/>
              <w:jc w:val="left"/>
              <w:outlineLvl w:val="0"/>
              <w:rPr>
                <w:rFonts w:eastAsia="Times New Roman"/>
                <w:color w:val="000000"/>
                <w:sz w:val="22"/>
                <w:szCs w:val="22"/>
                <w:highlight w:val="red"/>
                <w:lang w:val="en-US" w:eastAsia="fr-FR"/>
              </w:rPr>
            </w:pPr>
          </w:p>
        </w:tc>
        <w:tc>
          <w:tcPr>
            <w:tcW w:w="7920" w:type="dxa"/>
            <w:tcBorders>
              <w:top w:val="nil"/>
              <w:left w:val="nil"/>
              <w:bottom w:val="single" w:sz="4" w:space="0" w:color="auto"/>
              <w:right w:val="nil"/>
            </w:tcBorders>
            <w:vAlign w:val="center"/>
          </w:tcPr>
          <w:p w:rsidR="00025C68" w:rsidRPr="00F424F7" w:rsidRDefault="00C12B77" w:rsidP="00AE2042">
            <w:pPr>
              <w:spacing w:before="0" w:after="0" w:line="276" w:lineRule="auto"/>
              <w:jc w:val="left"/>
              <w:rPr>
                <w:rFonts w:eastAsia="Times New Roman"/>
                <w:color w:val="000000"/>
                <w:sz w:val="22"/>
                <w:szCs w:val="22"/>
                <w:lang w:val="fr-FR"/>
              </w:rPr>
            </w:pPr>
            <w:r w:rsidRPr="00F424F7">
              <w:rPr>
                <w:rFonts w:eastAsia="Times New Roman"/>
                <w:color w:val="000000"/>
                <w:sz w:val="22"/>
                <w:szCs w:val="22"/>
                <w:lang w:val="fr-FR"/>
              </w:rPr>
              <w:t xml:space="preserve">106 </w:t>
            </w:r>
            <w:r w:rsidR="001745C7" w:rsidRPr="00F424F7">
              <w:rPr>
                <w:rFonts w:eastAsia="Times New Roman"/>
                <w:color w:val="000000"/>
                <w:sz w:val="22"/>
                <w:szCs w:val="22"/>
                <w:lang w:val="fr-FR"/>
              </w:rPr>
              <w:t xml:space="preserve">Adaptarea la schimbări a lucrătorilor, </w:t>
            </w:r>
            <w:proofErr w:type="gramStart"/>
            <w:r w:rsidR="001745C7" w:rsidRPr="00F424F7">
              <w:rPr>
                <w:rFonts w:eastAsia="Times New Roman"/>
                <w:color w:val="000000"/>
                <w:sz w:val="22"/>
                <w:szCs w:val="22"/>
                <w:lang w:val="fr-FR"/>
              </w:rPr>
              <w:t>a</w:t>
            </w:r>
            <w:proofErr w:type="gramEnd"/>
            <w:r w:rsidR="001745C7" w:rsidRPr="00F424F7">
              <w:rPr>
                <w:rFonts w:eastAsia="Times New Roman"/>
                <w:color w:val="000000"/>
                <w:sz w:val="22"/>
                <w:szCs w:val="22"/>
                <w:lang w:val="fr-FR"/>
              </w:rPr>
              <w:t xml:space="preserve"> întreprinderilor și a antreprenorilor</w:t>
            </w:r>
          </w:p>
        </w:tc>
        <w:tc>
          <w:tcPr>
            <w:tcW w:w="1650" w:type="dxa"/>
            <w:tcBorders>
              <w:top w:val="nil"/>
              <w:left w:val="single" w:sz="8" w:space="0" w:color="auto"/>
              <w:bottom w:val="single" w:sz="4" w:space="0" w:color="auto"/>
              <w:right w:val="single" w:sz="8" w:space="0" w:color="auto"/>
            </w:tcBorders>
            <w:noWrap/>
            <w:vAlign w:val="center"/>
          </w:tcPr>
          <w:p w:rsidR="00025C68" w:rsidRPr="00F424F7" w:rsidRDefault="00DE78F7" w:rsidP="00AE2042">
            <w:pPr>
              <w:spacing w:before="0" w:after="0"/>
              <w:jc w:val="right"/>
              <w:rPr>
                <w:sz w:val="22"/>
                <w:szCs w:val="22"/>
                <w:lang w:val="en-US"/>
              </w:rPr>
            </w:pPr>
            <w:r w:rsidRPr="00F424F7">
              <w:rPr>
                <w:sz w:val="22"/>
                <w:szCs w:val="22"/>
                <w:lang w:val="en-US"/>
              </w:rPr>
              <w:t>4314910</w:t>
            </w:r>
          </w:p>
        </w:tc>
      </w:tr>
      <w:tr w:rsidR="00025C68" w:rsidRPr="00F424F7" w:rsidTr="00316548">
        <w:trPr>
          <w:trHeight w:val="1275"/>
          <w:jc w:val="center"/>
        </w:trPr>
        <w:tc>
          <w:tcPr>
            <w:tcW w:w="1401" w:type="dxa"/>
            <w:vMerge/>
            <w:tcBorders>
              <w:left w:val="single" w:sz="8" w:space="0" w:color="auto"/>
              <w:bottom w:val="single" w:sz="8" w:space="0" w:color="000000"/>
              <w:right w:val="single" w:sz="4" w:space="0" w:color="auto"/>
            </w:tcBorders>
            <w:vAlign w:val="center"/>
          </w:tcPr>
          <w:p w:rsidR="00025C68" w:rsidRPr="00F424F7" w:rsidRDefault="00025C68" w:rsidP="00AE2042">
            <w:pPr>
              <w:keepNext/>
              <w:spacing w:before="0" w:after="0"/>
              <w:jc w:val="left"/>
              <w:outlineLvl w:val="0"/>
              <w:rPr>
                <w:rFonts w:eastAsia="Times New Roman"/>
                <w:color w:val="000000"/>
                <w:sz w:val="22"/>
                <w:szCs w:val="22"/>
                <w:highlight w:val="red"/>
                <w:lang w:val="en-US" w:eastAsia="fr-FR"/>
              </w:rPr>
            </w:pPr>
          </w:p>
        </w:tc>
        <w:tc>
          <w:tcPr>
            <w:tcW w:w="7920" w:type="dxa"/>
            <w:tcBorders>
              <w:top w:val="nil"/>
              <w:left w:val="nil"/>
              <w:bottom w:val="single" w:sz="4" w:space="0" w:color="auto"/>
              <w:right w:val="nil"/>
            </w:tcBorders>
            <w:vAlign w:val="center"/>
          </w:tcPr>
          <w:p w:rsidR="00025C68" w:rsidRPr="00F424F7" w:rsidRDefault="00C12B77" w:rsidP="00AE2042">
            <w:pPr>
              <w:spacing w:before="0" w:after="0" w:line="276" w:lineRule="auto"/>
              <w:jc w:val="left"/>
              <w:rPr>
                <w:rFonts w:eastAsia="Times New Roman"/>
                <w:color w:val="000000"/>
                <w:sz w:val="22"/>
                <w:szCs w:val="22"/>
                <w:lang w:val="en-US"/>
              </w:rPr>
            </w:pPr>
            <w:r w:rsidRPr="00F424F7">
              <w:rPr>
                <w:rFonts w:eastAsia="Times New Roman"/>
                <w:color w:val="000000"/>
                <w:sz w:val="22"/>
                <w:szCs w:val="22"/>
                <w:lang w:val="en-US"/>
              </w:rPr>
              <w:t xml:space="preserve">108 </w:t>
            </w:r>
            <w:r w:rsidR="001745C7" w:rsidRPr="00F424F7">
              <w:rPr>
                <w:rFonts w:eastAsia="Times New Roman"/>
                <w:color w:val="000000"/>
                <w:sz w:val="22"/>
                <w:szCs w:val="22"/>
                <w:lang w:val="en-US"/>
              </w:rPr>
              <w:t>Modernizarea instituțiilor pieței forței de muncă, cum ar fi serviciile publice și private de ocupare a forței de muncă, pentru a răspunde mai bine necesităților pieței forței de muncă, inclusiv prin acțiuni de îmbunătățire a mobilității profesionale transnaționale, precum și prin scheme de mobilitate și o cooperare mai bună între instituții ș</w:t>
            </w:r>
            <w:r w:rsidR="00316548" w:rsidRPr="00F424F7">
              <w:rPr>
                <w:rFonts w:eastAsia="Times New Roman"/>
                <w:color w:val="000000"/>
                <w:sz w:val="22"/>
                <w:szCs w:val="22"/>
                <w:lang w:val="en-US"/>
              </w:rPr>
              <w:t xml:space="preserve">i părțile interesate relevante </w:t>
            </w:r>
          </w:p>
        </w:tc>
        <w:tc>
          <w:tcPr>
            <w:tcW w:w="1650" w:type="dxa"/>
            <w:tcBorders>
              <w:top w:val="nil"/>
              <w:left w:val="single" w:sz="8" w:space="0" w:color="auto"/>
              <w:bottom w:val="single" w:sz="4" w:space="0" w:color="auto"/>
              <w:right w:val="single" w:sz="8" w:space="0" w:color="auto"/>
            </w:tcBorders>
            <w:noWrap/>
            <w:vAlign w:val="center"/>
          </w:tcPr>
          <w:p w:rsidR="00025C68" w:rsidRPr="00F424F7" w:rsidRDefault="00DE78F7" w:rsidP="00AE2042">
            <w:pPr>
              <w:spacing w:before="0" w:after="0"/>
              <w:jc w:val="right"/>
              <w:rPr>
                <w:sz w:val="22"/>
                <w:szCs w:val="22"/>
                <w:lang w:val="en-US"/>
              </w:rPr>
            </w:pPr>
            <w:r w:rsidRPr="00F424F7">
              <w:rPr>
                <w:sz w:val="22"/>
                <w:szCs w:val="22"/>
                <w:lang w:val="en-US"/>
              </w:rPr>
              <w:t>4314910</w:t>
            </w:r>
          </w:p>
        </w:tc>
      </w:tr>
      <w:tr w:rsidR="00025C68" w:rsidRPr="00F424F7" w:rsidTr="00316548">
        <w:trPr>
          <w:trHeight w:val="960"/>
          <w:jc w:val="center"/>
        </w:trPr>
        <w:tc>
          <w:tcPr>
            <w:tcW w:w="1401" w:type="dxa"/>
            <w:vMerge w:val="restart"/>
            <w:tcBorders>
              <w:top w:val="nil"/>
              <w:left w:val="single" w:sz="8" w:space="0" w:color="auto"/>
              <w:bottom w:val="single" w:sz="8" w:space="0" w:color="auto"/>
              <w:right w:val="single" w:sz="4" w:space="0" w:color="auto"/>
            </w:tcBorders>
            <w:vAlign w:val="center"/>
            <w:hideMark/>
          </w:tcPr>
          <w:p w:rsidR="00025C68" w:rsidRPr="00F424F7" w:rsidRDefault="00316548" w:rsidP="00316548">
            <w:pPr>
              <w:spacing w:before="0" w:after="0"/>
              <w:jc w:val="left"/>
              <w:rPr>
                <w:rFonts w:eastAsia="Times New Roman"/>
                <w:color w:val="000000"/>
                <w:sz w:val="22"/>
                <w:szCs w:val="22"/>
                <w:lang w:val="en-US" w:eastAsia="fr-FR"/>
              </w:rPr>
            </w:pPr>
            <w:r w:rsidRPr="00F424F7">
              <w:rPr>
                <w:rFonts w:eastAsia="Times New Roman"/>
                <w:color w:val="000000"/>
                <w:sz w:val="22"/>
                <w:szCs w:val="22"/>
                <w:lang w:val="en-US" w:eastAsia="fr-FR"/>
              </w:rPr>
              <w:t>AP</w:t>
            </w:r>
            <w:r w:rsidR="00025C68" w:rsidRPr="00F424F7">
              <w:rPr>
                <w:rFonts w:eastAsia="Times New Roman"/>
                <w:color w:val="000000"/>
                <w:sz w:val="22"/>
                <w:szCs w:val="22"/>
                <w:lang w:val="en-US" w:eastAsia="fr-FR"/>
              </w:rPr>
              <w:t xml:space="preserve"> 5: </w:t>
            </w:r>
            <w:r w:rsidRPr="00F424F7">
              <w:rPr>
                <w:sz w:val="22"/>
                <w:szCs w:val="22"/>
              </w:rPr>
              <w:t>O regiune eficientă</w:t>
            </w:r>
          </w:p>
        </w:tc>
        <w:tc>
          <w:tcPr>
            <w:tcW w:w="7920" w:type="dxa"/>
            <w:tcBorders>
              <w:top w:val="single" w:sz="4" w:space="0" w:color="auto"/>
              <w:left w:val="nil"/>
              <w:bottom w:val="single" w:sz="4" w:space="0" w:color="auto"/>
              <w:right w:val="single" w:sz="4" w:space="0" w:color="auto"/>
            </w:tcBorders>
            <w:vAlign w:val="center"/>
            <w:hideMark/>
          </w:tcPr>
          <w:p w:rsidR="00025C68" w:rsidRPr="00F424F7" w:rsidRDefault="00025C68" w:rsidP="00AE2042">
            <w:pPr>
              <w:spacing w:before="0" w:after="0"/>
              <w:jc w:val="left"/>
              <w:rPr>
                <w:rFonts w:eastAsia="Times New Roman"/>
                <w:color w:val="000000"/>
                <w:sz w:val="22"/>
                <w:szCs w:val="22"/>
                <w:lang w:val="en-US" w:eastAsia="fr-FR"/>
              </w:rPr>
            </w:pPr>
            <w:r w:rsidRPr="00F424F7">
              <w:rPr>
                <w:rFonts w:eastAsia="Times New Roman"/>
                <w:color w:val="000000"/>
                <w:sz w:val="22"/>
                <w:szCs w:val="22"/>
                <w:lang w:val="en-US" w:eastAsia="fr-FR"/>
              </w:rPr>
              <w:t xml:space="preserve">119 </w:t>
            </w:r>
            <w:r w:rsidR="005149FE" w:rsidRPr="00F424F7">
              <w:rPr>
                <w:rFonts w:eastAsia="Times New Roman"/>
                <w:color w:val="000000"/>
                <w:sz w:val="22"/>
                <w:szCs w:val="22"/>
                <w:lang w:val="en-US" w:eastAsia="fr-FR"/>
              </w:rPr>
              <w:t>Investiții în capacitatea instituțională și în eficiența administrațiilor publice și a serviciilor publice la nivel național, regional și local, în perspectiva realizării de reforme, a unei mai bune legiferări și a bunei guvernanțe</w:t>
            </w:r>
          </w:p>
        </w:tc>
        <w:tc>
          <w:tcPr>
            <w:tcW w:w="1650" w:type="dxa"/>
            <w:tcBorders>
              <w:top w:val="single" w:sz="4" w:space="0" w:color="auto"/>
              <w:left w:val="single" w:sz="4" w:space="0" w:color="auto"/>
              <w:bottom w:val="single" w:sz="4" w:space="0" w:color="auto"/>
              <w:right w:val="single" w:sz="4" w:space="0" w:color="auto"/>
            </w:tcBorders>
            <w:noWrap/>
            <w:vAlign w:val="center"/>
          </w:tcPr>
          <w:p w:rsidR="00025C68" w:rsidRPr="00F424F7" w:rsidRDefault="00025C68" w:rsidP="00AE2042">
            <w:pPr>
              <w:spacing w:before="0" w:after="0"/>
              <w:jc w:val="right"/>
              <w:rPr>
                <w:sz w:val="22"/>
                <w:szCs w:val="22"/>
                <w:lang w:val="en-US"/>
              </w:rPr>
            </w:pPr>
            <w:r w:rsidRPr="00F424F7">
              <w:rPr>
                <w:sz w:val="22"/>
                <w:szCs w:val="22"/>
                <w:lang w:val="en-US"/>
              </w:rPr>
              <w:t>647236</w:t>
            </w:r>
            <w:r w:rsidR="00A36639" w:rsidRPr="00F424F7">
              <w:rPr>
                <w:sz w:val="22"/>
                <w:szCs w:val="22"/>
                <w:lang w:val="en-US"/>
              </w:rPr>
              <w:t>6</w:t>
            </w:r>
          </w:p>
        </w:tc>
      </w:tr>
      <w:tr w:rsidR="00025C68" w:rsidRPr="00F424F7" w:rsidTr="00316548">
        <w:trPr>
          <w:trHeight w:val="960"/>
          <w:jc w:val="center"/>
        </w:trPr>
        <w:tc>
          <w:tcPr>
            <w:tcW w:w="1401" w:type="dxa"/>
            <w:vMerge/>
            <w:tcBorders>
              <w:top w:val="nil"/>
              <w:left w:val="single" w:sz="8" w:space="0" w:color="auto"/>
              <w:bottom w:val="single" w:sz="8" w:space="0" w:color="auto"/>
              <w:right w:val="single" w:sz="4" w:space="0" w:color="auto"/>
            </w:tcBorders>
            <w:vAlign w:val="center"/>
            <w:hideMark/>
          </w:tcPr>
          <w:p w:rsidR="00025C68" w:rsidRPr="00F424F7" w:rsidRDefault="00025C68" w:rsidP="00AE2042">
            <w:pPr>
              <w:keepNext/>
              <w:spacing w:before="0" w:after="0"/>
              <w:jc w:val="left"/>
              <w:outlineLvl w:val="0"/>
              <w:rPr>
                <w:rFonts w:eastAsia="Times New Roman"/>
                <w:color w:val="000000"/>
                <w:sz w:val="22"/>
                <w:szCs w:val="22"/>
                <w:highlight w:val="red"/>
                <w:lang w:val="en-US" w:eastAsia="fr-FR"/>
              </w:rPr>
            </w:pPr>
          </w:p>
        </w:tc>
        <w:tc>
          <w:tcPr>
            <w:tcW w:w="7920" w:type="dxa"/>
            <w:tcBorders>
              <w:top w:val="single" w:sz="4" w:space="0" w:color="auto"/>
              <w:left w:val="nil"/>
              <w:bottom w:val="single" w:sz="4" w:space="0" w:color="auto"/>
              <w:right w:val="single" w:sz="4" w:space="0" w:color="auto"/>
            </w:tcBorders>
            <w:vAlign w:val="center"/>
            <w:hideMark/>
          </w:tcPr>
          <w:p w:rsidR="00025C68" w:rsidRPr="006C6828" w:rsidRDefault="00C12B77" w:rsidP="00AE2042">
            <w:pPr>
              <w:spacing w:before="0" w:after="0"/>
              <w:jc w:val="left"/>
              <w:rPr>
                <w:rFonts w:eastAsia="Times New Roman"/>
                <w:color w:val="000000"/>
                <w:sz w:val="22"/>
                <w:szCs w:val="22"/>
                <w:lang w:val="it-IT"/>
              </w:rPr>
            </w:pPr>
            <w:r w:rsidRPr="006C6828">
              <w:rPr>
                <w:rFonts w:eastAsia="Times New Roman"/>
                <w:color w:val="000000"/>
                <w:sz w:val="22"/>
                <w:szCs w:val="22"/>
                <w:lang w:val="it-IT"/>
              </w:rPr>
              <w:t xml:space="preserve">120 </w:t>
            </w:r>
            <w:r w:rsidR="005149FE" w:rsidRPr="006C6828">
              <w:rPr>
                <w:rFonts w:eastAsia="Times New Roman"/>
                <w:color w:val="000000"/>
                <w:sz w:val="22"/>
                <w:szCs w:val="22"/>
                <w:lang w:val="it-IT"/>
              </w:rPr>
              <w:t>Consolidarea capacităților tuturor părților interesate care pun în aplicare politici de educație, învățare pe tot parcursul vieții, formare și ocupare a forței de muncă, precum și politici sociale, în special prin pacte sectoriale și teritoriale, în vederea mobilizării în favoarea realizării de reforme la niv</w:t>
            </w:r>
            <w:r w:rsidR="00316548" w:rsidRPr="006C6828">
              <w:rPr>
                <w:rFonts w:eastAsia="Times New Roman"/>
                <w:color w:val="000000"/>
                <w:sz w:val="22"/>
                <w:szCs w:val="22"/>
                <w:lang w:val="it-IT"/>
              </w:rPr>
              <w:t xml:space="preserve">el național, regional și local </w:t>
            </w:r>
          </w:p>
        </w:tc>
        <w:tc>
          <w:tcPr>
            <w:tcW w:w="1650" w:type="dxa"/>
            <w:tcBorders>
              <w:top w:val="single" w:sz="4" w:space="0" w:color="auto"/>
              <w:left w:val="single" w:sz="4" w:space="0" w:color="auto"/>
              <w:bottom w:val="single" w:sz="4" w:space="0" w:color="auto"/>
              <w:right w:val="single" w:sz="4" w:space="0" w:color="auto"/>
            </w:tcBorders>
            <w:noWrap/>
            <w:vAlign w:val="center"/>
          </w:tcPr>
          <w:p w:rsidR="00025C68" w:rsidRPr="00F424F7" w:rsidRDefault="00C12B77" w:rsidP="00AE2042">
            <w:pPr>
              <w:spacing w:before="0" w:after="0"/>
              <w:jc w:val="right"/>
              <w:rPr>
                <w:sz w:val="22"/>
                <w:szCs w:val="22"/>
                <w:lang w:val="en-US"/>
              </w:rPr>
            </w:pPr>
            <w:r w:rsidRPr="00F424F7">
              <w:rPr>
                <w:sz w:val="22"/>
                <w:szCs w:val="22"/>
                <w:lang w:val="en-US"/>
              </w:rPr>
              <w:t>4314910</w:t>
            </w:r>
          </w:p>
        </w:tc>
      </w:tr>
    </w:tbl>
    <w:p w:rsidR="00FE27D8" w:rsidRPr="00647004" w:rsidRDefault="00FE27D8" w:rsidP="00552BE0">
      <w:pPr>
        <w:spacing w:after="240" w:line="276" w:lineRule="auto"/>
        <w:rPr>
          <w:rFonts w:eastAsia="Times New Roman"/>
          <w:szCs w:val="24"/>
          <w:highlight w:val="red"/>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FE27D8" w:rsidRPr="00A158A9" w:rsidTr="00975CDB">
        <w:trPr>
          <w:trHeight w:val="364"/>
          <w:jc w:val="center"/>
        </w:trPr>
        <w:tc>
          <w:tcPr>
            <w:tcW w:w="8472" w:type="dxa"/>
            <w:gridSpan w:val="3"/>
            <w:tcBorders>
              <w:top w:val="single" w:sz="4" w:space="0" w:color="auto"/>
              <w:left w:val="single" w:sz="4" w:space="0" w:color="auto"/>
              <w:bottom w:val="single" w:sz="4" w:space="0" w:color="auto"/>
              <w:right w:val="single" w:sz="4" w:space="0" w:color="auto"/>
            </w:tcBorders>
          </w:tcPr>
          <w:p w:rsidR="00FE27D8" w:rsidRPr="00316548" w:rsidRDefault="00FE27D8" w:rsidP="00316548">
            <w:pPr>
              <w:pStyle w:val="Heading2"/>
              <w:spacing w:before="0" w:after="0"/>
              <w:rPr>
                <w:lang w:val="fr-FR"/>
              </w:rPr>
            </w:pPr>
          </w:p>
        </w:tc>
      </w:tr>
      <w:tr w:rsidR="00FE27D8" w:rsidRPr="00316548" w:rsidTr="00975CDB">
        <w:trPr>
          <w:trHeight w:val="254"/>
          <w:jc w:val="center"/>
        </w:trPr>
        <w:tc>
          <w:tcPr>
            <w:tcW w:w="2802" w:type="dxa"/>
            <w:tcBorders>
              <w:top w:val="single" w:sz="4" w:space="0" w:color="auto"/>
              <w:left w:val="single" w:sz="4" w:space="0" w:color="auto"/>
              <w:bottom w:val="single" w:sz="4" w:space="0" w:color="auto"/>
              <w:right w:val="single" w:sz="4" w:space="0" w:color="auto"/>
            </w:tcBorders>
          </w:tcPr>
          <w:p w:rsidR="00FE27D8" w:rsidRPr="00316548" w:rsidRDefault="00FE27D8">
            <w:pPr>
              <w:spacing w:after="0" w:line="276" w:lineRule="auto"/>
              <w:jc w:val="center"/>
              <w:rPr>
                <w:rFonts w:eastAsia="Times New Roman"/>
                <w:b/>
                <w:szCs w:val="24"/>
                <w:lang w:val="en-US"/>
              </w:rPr>
            </w:pPr>
          </w:p>
        </w:tc>
        <w:tc>
          <w:tcPr>
            <w:tcW w:w="2693" w:type="dxa"/>
            <w:tcBorders>
              <w:top w:val="single" w:sz="4" w:space="0" w:color="auto"/>
              <w:left w:val="single" w:sz="4" w:space="0" w:color="auto"/>
              <w:bottom w:val="single" w:sz="4" w:space="0" w:color="auto"/>
              <w:right w:val="single" w:sz="4" w:space="0" w:color="auto"/>
            </w:tcBorders>
          </w:tcPr>
          <w:p w:rsidR="00FE27D8" w:rsidRPr="00316548" w:rsidRDefault="00FE27D8">
            <w:pPr>
              <w:spacing w:after="0" w:line="276" w:lineRule="auto"/>
              <w:jc w:val="center"/>
              <w:rPr>
                <w:rFonts w:eastAsia="Times New Roman"/>
                <w:b/>
                <w:szCs w:val="24"/>
                <w:lang w:val="en-US"/>
              </w:rPr>
            </w:pPr>
          </w:p>
        </w:tc>
        <w:tc>
          <w:tcPr>
            <w:tcW w:w="2977" w:type="dxa"/>
            <w:tcBorders>
              <w:top w:val="single" w:sz="4" w:space="0" w:color="auto"/>
              <w:left w:val="single" w:sz="4" w:space="0" w:color="auto"/>
              <w:bottom w:val="single" w:sz="4" w:space="0" w:color="auto"/>
              <w:right w:val="single" w:sz="4" w:space="0" w:color="auto"/>
            </w:tcBorders>
          </w:tcPr>
          <w:p w:rsidR="00FE27D8" w:rsidRPr="00316548" w:rsidRDefault="00FE27D8">
            <w:pPr>
              <w:spacing w:after="0" w:line="276" w:lineRule="auto"/>
              <w:jc w:val="center"/>
              <w:rPr>
                <w:rFonts w:eastAsia="Times New Roman"/>
                <w:b/>
                <w:szCs w:val="24"/>
                <w:lang w:val="en-US"/>
              </w:rPr>
            </w:pPr>
          </w:p>
        </w:tc>
      </w:tr>
      <w:tr w:rsidR="00FE27D8" w:rsidRPr="00647004" w:rsidTr="00975CDB">
        <w:trPr>
          <w:jc w:val="center"/>
        </w:trPr>
        <w:tc>
          <w:tcPr>
            <w:tcW w:w="2802" w:type="dxa"/>
            <w:tcBorders>
              <w:top w:val="single" w:sz="4" w:space="0" w:color="auto"/>
              <w:left w:val="single" w:sz="4" w:space="0" w:color="auto"/>
              <w:bottom w:val="single" w:sz="4" w:space="0" w:color="auto"/>
              <w:right w:val="single" w:sz="4" w:space="0" w:color="auto"/>
            </w:tcBorders>
          </w:tcPr>
          <w:p w:rsidR="00107505" w:rsidRPr="00316548" w:rsidRDefault="00107505">
            <w:pPr>
              <w:suppressAutoHyphens/>
              <w:spacing w:after="0" w:line="276" w:lineRule="auto"/>
              <w:rPr>
                <w:rFonts w:eastAsia="Times New Roman"/>
                <w:szCs w:val="24"/>
                <w:lang w:val="en-US"/>
              </w:rPr>
            </w:pPr>
          </w:p>
        </w:tc>
        <w:tc>
          <w:tcPr>
            <w:tcW w:w="2693" w:type="dxa"/>
            <w:tcBorders>
              <w:top w:val="single" w:sz="4" w:space="0" w:color="auto"/>
              <w:left w:val="single" w:sz="4" w:space="0" w:color="auto"/>
              <w:bottom w:val="single" w:sz="4" w:space="0" w:color="auto"/>
              <w:right w:val="single" w:sz="4" w:space="0" w:color="auto"/>
            </w:tcBorders>
          </w:tcPr>
          <w:p w:rsidR="00FE27D8" w:rsidRPr="00B77BA5" w:rsidRDefault="00FE27D8">
            <w:pPr>
              <w:suppressAutoHyphens/>
              <w:spacing w:after="0" w:line="276" w:lineRule="auto"/>
              <w:rPr>
                <w:rFonts w:eastAsia="Times New Roman"/>
                <w:szCs w:val="24"/>
                <w:lang w:val="fr-FR"/>
              </w:rPr>
            </w:pPr>
          </w:p>
        </w:tc>
        <w:tc>
          <w:tcPr>
            <w:tcW w:w="2977" w:type="dxa"/>
            <w:tcBorders>
              <w:top w:val="single" w:sz="4" w:space="0" w:color="auto"/>
              <w:left w:val="single" w:sz="4" w:space="0" w:color="auto"/>
              <w:bottom w:val="single" w:sz="4" w:space="0" w:color="auto"/>
              <w:right w:val="single" w:sz="4" w:space="0" w:color="auto"/>
            </w:tcBorders>
            <w:vAlign w:val="center"/>
          </w:tcPr>
          <w:p w:rsidR="00FE27D8" w:rsidRPr="00316548" w:rsidRDefault="00FE27D8">
            <w:pPr>
              <w:suppressAutoHyphens/>
              <w:spacing w:after="0" w:line="276" w:lineRule="auto"/>
              <w:jc w:val="center"/>
              <w:rPr>
                <w:rFonts w:eastAsia="Times New Roman"/>
                <w:szCs w:val="24"/>
                <w:lang w:val="en-US"/>
              </w:rPr>
            </w:pPr>
          </w:p>
        </w:tc>
      </w:tr>
      <w:tr w:rsidR="005803DC" w:rsidRPr="000B7282" w:rsidTr="000559DC">
        <w:trPr>
          <w:trHeight w:val="364"/>
          <w:jc w:val="center"/>
        </w:trPr>
        <w:tc>
          <w:tcPr>
            <w:tcW w:w="8472" w:type="dxa"/>
            <w:gridSpan w:val="3"/>
            <w:tcBorders>
              <w:top w:val="single" w:sz="4" w:space="0" w:color="auto"/>
              <w:left w:val="single" w:sz="4" w:space="0" w:color="auto"/>
              <w:bottom w:val="single" w:sz="4" w:space="0" w:color="auto"/>
              <w:right w:val="single" w:sz="4" w:space="0" w:color="auto"/>
            </w:tcBorders>
            <w:hideMark/>
          </w:tcPr>
          <w:p w:rsidR="005803DC" w:rsidRPr="006902B3" w:rsidRDefault="005803DC" w:rsidP="000559DC">
            <w:pPr>
              <w:pStyle w:val="Heading2"/>
              <w:spacing w:before="0" w:after="0"/>
              <w:rPr>
                <w:lang w:val="en-US"/>
              </w:rPr>
            </w:pPr>
            <w:r w:rsidRPr="00316548">
              <w:rPr>
                <w:lang w:val="fr-FR"/>
              </w:rPr>
              <w:t>Ta</w:t>
            </w:r>
            <w:r>
              <w:rPr>
                <w:lang w:val="fr-FR"/>
              </w:rPr>
              <w:t>belul</w:t>
            </w:r>
            <w:r w:rsidRPr="00316548">
              <w:rPr>
                <w:lang w:val="fr-FR"/>
              </w:rPr>
              <w:t xml:space="preserve"> 7: Dimensiunea 2 Forma de finanțare</w:t>
            </w:r>
          </w:p>
        </w:tc>
      </w:tr>
      <w:tr w:rsidR="005803DC" w:rsidRPr="000B7282" w:rsidTr="000559DC">
        <w:trPr>
          <w:trHeight w:val="254"/>
          <w:jc w:val="center"/>
        </w:trPr>
        <w:tc>
          <w:tcPr>
            <w:tcW w:w="2802" w:type="dxa"/>
            <w:tcBorders>
              <w:top w:val="single" w:sz="4" w:space="0" w:color="auto"/>
              <w:left w:val="single" w:sz="4" w:space="0" w:color="auto"/>
              <w:bottom w:val="single" w:sz="4" w:space="0" w:color="auto"/>
              <w:right w:val="single" w:sz="4" w:space="0" w:color="auto"/>
            </w:tcBorders>
            <w:hideMark/>
          </w:tcPr>
          <w:p w:rsidR="005803DC" w:rsidRPr="006902B3" w:rsidRDefault="005803DC" w:rsidP="000559DC">
            <w:pPr>
              <w:spacing w:after="0" w:line="276" w:lineRule="auto"/>
              <w:jc w:val="center"/>
              <w:rPr>
                <w:rFonts w:eastAsia="Times New Roman"/>
                <w:b/>
                <w:szCs w:val="24"/>
                <w:lang w:val="en-US"/>
              </w:rPr>
            </w:pPr>
            <w:r w:rsidRPr="00316548">
              <w:rPr>
                <w:rFonts w:eastAsia="Times New Roman"/>
                <w:b/>
                <w:szCs w:val="24"/>
                <w:lang w:val="en-US"/>
              </w:rPr>
              <w:t>Axa prioritară</w:t>
            </w:r>
          </w:p>
        </w:tc>
        <w:tc>
          <w:tcPr>
            <w:tcW w:w="2693" w:type="dxa"/>
            <w:tcBorders>
              <w:top w:val="single" w:sz="4" w:space="0" w:color="auto"/>
              <w:left w:val="single" w:sz="4" w:space="0" w:color="auto"/>
              <w:bottom w:val="single" w:sz="4" w:space="0" w:color="auto"/>
              <w:right w:val="single" w:sz="4" w:space="0" w:color="auto"/>
            </w:tcBorders>
            <w:hideMark/>
          </w:tcPr>
          <w:p w:rsidR="005803DC" w:rsidRPr="006902B3" w:rsidRDefault="005803DC" w:rsidP="000559DC">
            <w:pPr>
              <w:spacing w:after="0" w:line="276" w:lineRule="auto"/>
              <w:jc w:val="center"/>
              <w:rPr>
                <w:rFonts w:eastAsia="Times New Roman"/>
                <w:szCs w:val="24"/>
                <w:lang w:val="en-US"/>
              </w:rPr>
            </w:pPr>
            <w:r>
              <w:rPr>
                <w:rFonts w:eastAsia="Times New Roman"/>
                <w:b/>
                <w:szCs w:val="24"/>
                <w:lang w:val="en-US"/>
              </w:rPr>
              <w:t>Codul</w:t>
            </w:r>
          </w:p>
        </w:tc>
        <w:tc>
          <w:tcPr>
            <w:tcW w:w="2977" w:type="dxa"/>
            <w:tcBorders>
              <w:top w:val="single" w:sz="4" w:space="0" w:color="auto"/>
              <w:left w:val="single" w:sz="4" w:space="0" w:color="auto"/>
              <w:bottom w:val="single" w:sz="4" w:space="0" w:color="auto"/>
              <w:right w:val="single" w:sz="4" w:space="0" w:color="auto"/>
            </w:tcBorders>
            <w:hideMark/>
          </w:tcPr>
          <w:p w:rsidR="005803DC" w:rsidRPr="006902B3" w:rsidRDefault="005803DC" w:rsidP="000559DC">
            <w:pPr>
              <w:spacing w:after="0" w:line="276" w:lineRule="auto"/>
              <w:jc w:val="center"/>
              <w:rPr>
                <w:rFonts w:eastAsia="Times New Roman"/>
                <w:szCs w:val="24"/>
                <w:lang w:val="en-US"/>
              </w:rPr>
            </w:pPr>
            <w:r w:rsidRPr="00316548">
              <w:rPr>
                <w:rFonts w:eastAsia="Times New Roman"/>
                <w:b/>
                <w:szCs w:val="24"/>
                <w:lang w:val="en-US"/>
              </w:rPr>
              <w:t>Suma (EUR)</w:t>
            </w:r>
          </w:p>
        </w:tc>
      </w:tr>
      <w:tr w:rsidR="005803DC" w:rsidRPr="000B7282" w:rsidTr="000559DC">
        <w:trPr>
          <w:trHeight w:val="435"/>
          <w:jc w:val="center"/>
        </w:trPr>
        <w:tc>
          <w:tcPr>
            <w:tcW w:w="2802" w:type="dxa"/>
            <w:tcBorders>
              <w:top w:val="single" w:sz="4" w:space="0" w:color="auto"/>
              <w:left w:val="single" w:sz="4" w:space="0" w:color="auto"/>
              <w:bottom w:val="single" w:sz="4" w:space="0" w:color="auto"/>
              <w:right w:val="single" w:sz="4" w:space="0" w:color="auto"/>
            </w:tcBorders>
            <w:hideMark/>
          </w:tcPr>
          <w:p w:rsidR="005803DC" w:rsidRPr="006902B3" w:rsidRDefault="005803DC" w:rsidP="000559DC">
            <w:pPr>
              <w:suppressAutoHyphens/>
              <w:spacing w:after="0" w:line="276" w:lineRule="auto"/>
              <w:rPr>
                <w:rFonts w:eastAsia="Times New Roman"/>
                <w:szCs w:val="24"/>
                <w:lang w:val="en-US"/>
              </w:rPr>
            </w:pPr>
            <w:r>
              <w:rPr>
                <w:rFonts w:eastAsia="Times New Roman"/>
                <w:szCs w:val="24"/>
                <w:lang w:val="en-US"/>
              </w:rPr>
              <w:t>Prioritatea 1</w:t>
            </w:r>
          </w:p>
        </w:tc>
        <w:tc>
          <w:tcPr>
            <w:tcW w:w="2693" w:type="dxa"/>
            <w:vMerge w:val="restart"/>
            <w:tcBorders>
              <w:top w:val="single" w:sz="4" w:space="0" w:color="auto"/>
              <w:left w:val="single" w:sz="4" w:space="0" w:color="auto"/>
              <w:right w:val="single" w:sz="4" w:space="0" w:color="auto"/>
            </w:tcBorders>
            <w:hideMark/>
          </w:tcPr>
          <w:p w:rsidR="005803DC" w:rsidRDefault="005803DC" w:rsidP="000559DC">
            <w:pPr>
              <w:suppressAutoHyphens/>
              <w:spacing w:after="0" w:line="276" w:lineRule="auto"/>
              <w:jc w:val="center"/>
              <w:rPr>
                <w:rFonts w:eastAsia="Times New Roman"/>
                <w:szCs w:val="24"/>
                <w:lang w:val="en-US"/>
              </w:rPr>
            </w:pPr>
          </w:p>
          <w:p w:rsidR="005803DC" w:rsidRDefault="005803DC" w:rsidP="000559DC">
            <w:pPr>
              <w:suppressAutoHyphens/>
              <w:spacing w:after="0" w:line="276" w:lineRule="auto"/>
              <w:jc w:val="center"/>
              <w:rPr>
                <w:rFonts w:eastAsia="Times New Roman"/>
                <w:szCs w:val="24"/>
                <w:lang w:val="en-US"/>
              </w:rPr>
            </w:pPr>
          </w:p>
          <w:p w:rsidR="005803DC" w:rsidRPr="006902B3" w:rsidRDefault="005803DC" w:rsidP="005803DC">
            <w:pPr>
              <w:suppressAutoHyphens/>
              <w:spacing w:after="0" w:line="276" w:lineRule="auto"/>
              <w:rPr>
                <w:rFonts w:eastAsia="Times New Roman"/>
                <w:szCs w:val="24"/>
                <w:lang w:val="en-US"/>
              </w:rPr>
            </w:pPr>
            <w:r w:rsidRPr="006902B3">
              <w:rPr>
                <w:rFonts w:eastAsia="Times New Roman"/>
                <w:szCs w:val="24"/>
                <w:lang w:val="en-US"/>
              </w:rPr>
              <w:t xml:space="preserve">01 </w:t>
            </w:r>
            <w:r>
              <w:rPr>
                <w:rFonts w:eastAsia="Times New Roman"/>
                <w:szCs w:val="24"/>
                <w:lang w:val="en-US"/>
              </w:rPr>
              <w:t>Grant nerambusabil</w:t>
            </w:r>
          </w:p>
        </w:tc>
        <w:tc>
          <w:tcPr>
            <w:tcW w:w="2977" w:type="dxa"/>
            <w:tcBorders>
              <w:top w:val="single" w:sz="4" w:space="0" w:color="auto"/>
              <w:left w:val="single" w:sz="4" w:space="0" w:color="auto"/>
              <w:right w:val="single" w:sz="4" w:space="0" w:color="auto"/>
            </w:tcBorders>
            <w:vAlign w:val="center"/>
            <w:hideMark/>
          </w:tcPr>
          <w:p w:rsidR="005803DC" w:rsidRPr="006902B3" w:rsidRDefault="005803DC" w:rsidP="000559DC">
            <w:pPr>
              <w:suppressAutoHyphens/>
              <w:spacing w:after="0" w:line="276" w:lineRule="auto"/>
              <w:jc w:val="center"/>
              <w:rPr>
                <w:rFonts w:eastAsia="Times New Roman"/>
                <w:szCs w:val="24"/>
                <w:lang w:val="en-US"/>
              </w:rPr>
            </w:pPr>
            <w:r>
              <w:rPr>
                <w:color w:val="000000"/>
              </w:rPr>
              <w:t>81,983,295.00</w:t>
            </w:r>
          </w:p>
        </w:tc>
      </w:tr>
      <w:tr w:rsidR="005803DC" w:rsidRPr="000B7282" w:rsidTr="000559DC">
        <w:trPr>
          <w:trHeight w:val="450"/>
          <w:jc w:val="center"/>
        </w:trPr>
        <w:tc>
          <w:tcPr>
            <w:tcW w:w="2802" w:type="dxa"/>
            <w:tcBorders>
              <w:top w:val="single" w:sz="4" w:space="0" w:color="auto"/>
              <w:left w:val="single" w:sz="4" w:space="0" w:color="auto"/>
              <w:bottom w:val="single" w:sz="4" w:space="0" w:color="auto"/>
              <w:right w:val="single" w:sz="4" w:space="0" w:color="auto"/>
            </w:tcBorders>
          </w:tcPr>
          <w:p w:rsidR="005803DC" w:rsidRPr="006902B3" w:rsidRDefault="005803DC" w:rsidP="000559DC">
            <w:pPr>
              <w:suppressAutoHyphens/>
              <w:spacing w:after="0" w:line="276" w:lineRule="auto"/>
              <w:rPr>
                <w:rFonts w:eastAsia="Times New Roman"/>
                <w:szCs w:val="24"/>
                <w:lang w:val="en-US"/>
              </w:rPr>
            </w:pPr>
            <w:r>
              <w:rPr>
                <w:rFonts w:eastAsia="Times New Roman"/>
                <w:szCs w:val="24"/>
                <w:lang w:val="en-US"/>
              </w:rPr>
              <w:t>Prioritatea 2</w:t>
            </w:r>
          </w:p>
        </w:tc>
        <w:tc>
          <w:tcPr>
            <w:tcW w:w="2693" w:type="dxa"/>
            <w:vMerge/>
            <w:tcBorders>
              <w:left w:val="single" w:sz="4" w:space="0" w:color="auto"/>
              <w:right w:val="single" w:sz="4" w:space="0" w:color="auto"/>
            </w:tcBorders>
          </w:tcPr>
          <w:p w:rsidR="005803DC" w:rsidRPr="006902B3" w:rsidRDefault="005803DC" w:rsidP="000559DC">
            <w:pPr>
              <w:suppressAutoHyphens/>
              <w:spacing w:after="0" w:line="276" w:lineRule="auto"/>
              <w:rPr>
                <w:rFonts w:eastAsia="Times New Roman"/>
                <w:szCs w:val="24"/>
                <w:lang w:val="en-US"/>
              </w:rPr>
            </w:pPr>
          </w:p>
        </w:tc>
        <w:tc>
          <w:tcPr>
            <w:tcW w:w="2977" w:type="dxa"/>
            <w:tcBorders>
              <w:left w:val="single" w:sz="4" w:space="0" w:color="auto"/>
              <w:right w:val="single" w:sz="4" w:space="0" w:color="auto"/>
            </w:tcBorders>
            <w:vAlign w:val="center"/>
          </w:tcPr>
          <w:p w:rsidR="005803DC" w:rsidRPr="006902B3" w:rsidRDefault="005803DC" w:rsidP="000559DC">
            <w:pPr>
              <w:suppressAutoHyphens/>
              <w:spacing w:after="0" w:line="276" w:lineRule="auto"/>
              <w:jc w:val="center"/>
              <w:rPr>
                <w:rFonts w:eastAsia="Times New Roman"/>
                <w:szCs w:val="24"/>
                <w:lang w:val="en-US"/>
              </w:rPr>
            </w:pPr>
            <w:r>
              <w:rPr>
                <w:color w:val="000000"/>
              </w:rPr>
              <w:t>53,936,378.00</w:t>
            </w:r>
          </w:p>
        </w:tc>
      </w:tr>
      <w:tr w:rsidR="005803DC" w:rsidRPr="000B7282" w:rsidTr="000559DC">
        <w:trPr>
          <w:trHeight w:val="474"/>
          <w:jc w:val="center"/>
        </w:trPr>
        <w:tc>
          <w:tcPr>
            <w:tcW w:w="2802" w:type="dxa"/>
            <w:tcBorders>
              <w:top w:val="single" w:sz="4" w:space="0" w:color="auto"/>
              <w:left w:val="single" w:sz="4" w:space="0" w:color="auto"/>
              <w:bottom w:val="single" w:sz="4" w:space="0" w:color="auto"/>
              <w:right w:val="single" w:sz="4" w:space="0" w:color="auto"/>
            </w:tcBorders>
          </w:tcPr>
          <w:p w:rsidR="005803DC" w:rsidRPr="006902B3" w:rsidRDefault="005803DC" w:rsidP="000559DC">
            <w:pPr>
              <w:suppressAutoHyphens/>
              <w:spacing w:after="0" w:line="276" w:lineRule="auto"/>
              <w:rPr>
                <w:rFonts w:eastAsia="Times New Roman"/>
                <w:szCs w:val="24"/>
                <w:lang w:val="en-US"/>
              </w:rPr>
            </w:pPr>
            <w:r>
              <w:rPr>
                <w:rFonts w:eastAsia="Times New Roman"/>
                <w:szCs w:val="24"/>
                <w:lang w:val="en-US"/>
              </w:rPr>
              <w:t>Prioritatea 3</w:t>
            </w:r>
          </w:p>
        </w:tc>
        <w:tc>
          <w:tcPr>
            <w:tcW w:w="2693" w:type="dxa"/>
            <w:vMerge/>
            <w:tcBorders>
              <w:left w:val="single" w:sz="4" w:space="0" w:color="auto"/>
              <w:right w:val="single" w:sz="4" w:space="0" w:color="auto"/>
            </w:tcBorders>
          </w:tcPr>
          <w:p w:rsidR="005803DC" w:rsidRPr="006902B3" w:rsidRDefault="005803DC" w:rsidP="000559DC">
            <w:pPr>
              <w:suppressAutoHyphens/>
              <w:spacing w:after="0" w:line="276" w:lineRule="auto"/>
              <w:rPr>
                <w:rFonts w:eastAsia="Times New Roman"/>
                <w:szCs w:val="24"/>
                <w:lang w:val="en-US"/>
              </w:rPr>
            </w:pPr>
          </w:p>
        </w:tc>
        <w:tc>
          <w:tcPr>
            <w:tcW w:w="2977" w:type="dxa"/>
            <w:tcBorders>
              <w:left w:val="single" w:sz="4" w:space="0" w:color="auto"/>
              <w:right w:val="single" w:sz="4" w:space="0" w:color="auto"/>
            </w:tcBorders>
            <w:vAlign w:val="center"/>
          </w:tcPr>
          <w:p w:rsidR="005803DC" w:rsidRPr="006902B3" w:rsidRDefault="005803DC" w:rsidP="000559DC">
            <w:pPr>
              <w:suppressAutoHyphens/>
              <w:spacing w:after="0" w:line="276" w:lineRule="auto"/>
              <w:jc w:val="center"/>
              <w:rPr>
                <w:rFonts w:eastAsia="Times New Roman"/>
                <w:szCs w:val="24"/>
                <w:lang w:val="en-US"/>
              </w:rPr>
            </w:pPr>
            <w:r>
              <w:rPr>
                <w:color w:val="000000"/>
              </w:rPr>
              <w:t>40,991,647.00</w:t>
            </w:r>
          </w:p>
        </w:tc>
      </w:tr>
      <w:tr w:rsidR="005803DC" w:rsidRPr="000B7282" w:rsidTr="000559DC">
        <w:trPr>
          <w:trHeight w:val="457"/>
          <w:jc w:val="center"/>
        </w:trPr>
        <w:tc>
          <w:tcPr>
            <w:tcW w:w="2802" w:type="dxa"/>
            <w:tcBorders>
              <w:top w:val="single" w:sz="4" w:space="0" w:color="auto"/>
              <w:left w:val="single" w:sz="4" w:space="0" w:color="auto"/>
              <w:bottom w:val="single" w:sz="4" w:space="0" w:color="auto"/>
              <w:right w:val="single" w:sz="4" w:space="0" w:color="auto"/>
            </w:tcBorders>
          </w:tcPr>
          <w:p w:rsidR="005803DC" w:rsidRPr="006902B3" w:rsidRDefault="005803DC" w:rsidP="000559DC">
            <w:pPr>
              <w:suppressAutoHyphens/>
              <w:spacing w:after="0" w:line="276" w:lineRule="auto"/>
              <w:rPr>
                <w:rFonts w:eastAsia="Times New Roman"/>
                <w:szCs w:val="24"/>
                <w:lang w:val="en-US"/>
              </w:rPr>
            </w:pPr>
            <w:r>
              <w:rPr>
                <w:rFonts w:eastAsia="Times New Roman"/>
                <w:szCs w:val="24"/>
                <w:lang w:val="en-US"/>
              </w:rPr>
              <w:t>Prioritatea 4</w:t>
            </w:r>
          </w:p>
        </w:tc>
        <w:tc>
          <w:tcPr>
            <w:tcW w:w="2693" w:type="dxa"/>
            <w:vMerge/>
            <w:tcBorders>
              <w:left w:val="single" w:sz="4" w:space="0" w:color="auto"/>
              <w:right w:val="single" w:sz="4" w:space="0" w:color="auto"/>
            </w:tcBorders>
          </w:tcPr>
          <w:p w:rsidR="005803DC" w:rsidRPr="006902B3" w:rsidRDefault="005803DC" w:rsidP="000559DC">
            <w:pPr>
              <w:suppressAutoHyphens/>
              <w:spacing w:after="0" w:line="276" w:lineRule="auto"/>
              <w:rPr>
                <w:rFonts w:eastAsia="Times New Roman"/>
                <w:szCs w:val="24"/>
                <w:lang w:val="en-US"/>
              </w:rPr>
            </w:pPr>
          </w:p>
        </w:tc>
        <w:tc>
          <w:tcPr>
            <w:tcW w:w="2977" w:type="dxa"/>
            <w:tcBorders>
              <w:left w:val="single" w:sz="4" w:space="0" w:color="auto"/>
              <w:right w:val="single" w:sz="4" w:space="0" w:color="auto"/>
            </w:tcBorders>
            <w:vAlign w:val="center"/>
          </w:tcPr>
          <w:p w:rsidR="005803DC" w:rsidRPr="006902B3" w:rsidRDefault="005803DC" w:rsidP="000559DC">
            <w:pPr>
              <w:suppressAutoHyphens/>
              <w:spacing w:after="0" w:line="276" w:lineRule="auto"/>
              <w:jc w:val="center"/>
              <w:rPr>
                <w:rFonts w:eastAsia="Times New Roman"/>
                <w:szCs w:val="24"/>
                <w:lang w:val="en-US"/>
              </w:rPr>
            </w:pPr>
            <w:r>
              <w:rPr>
                <w:color w:val="000000"/>
              </w:rPr>
              <w:t>15,102,186.00</w:t>
            </w:r>
          </w:p>
        </w:tc>
      </w:tr>
      <w:tr w:rsidR="005803DC" w:rsidRPr="000B7282" w:rsidTr="000559DC">
        <w:trPr>
          <w:trHeight w:val="454"/>
          <w:jc w:val="center"/>
        </w:trPr>
        <w:tc>
          <w:tcPr>
            <w:tcW w:w="2802" w:type="dxa"/>
            <w:tcBorders>
              <w:top w:val="single" w:sz="4" w:space="0" w:color="auto"/>
              <w:left w:val="single" w:sz="4" w:space="0" w:color="auto"/>
              <w:right w:val="single" w:sz="4" w:space="0" w:color="auto"/>
            </w:tcBorders>
          </w:tcPr>
          <w:p w:rsidR="005803DC" w:rsidRPr="006902B3" w:rsidRDefault="005803DC" w:rsidP="000559DC">
            <w:pPr>
              <w:suppressAutoHyphens/>
              <w:spacing w:after="0" w:line="276" w:lineRule="auto"/>
              <w:rPr>
                <w:rFonts w:eastAsia="Times New Roman"/>
                <w:szCs w:val="24"/>
                <w:lang w:val="en-US"/>
              </w:rPr>
            </w:pPr>
            <w:r>
              <w:rPr>
                <w:rFonts w:eastAsia="Times New Roman"/>
                <w:szCs w:val="24"/>
                <w:lang w:val="en-US"/>
              </w:rPr>
              <w:t>Prioritatea 5</w:t>
            </w:r>
          </w:p>
        </w:tc>
        <w:tc>
          <w:tcPr>
            <w:tcW w:w="2693" w:type="dxa"/>
            <w:vMerge/>
            <w:tcBorders>
              <w:left w:val="single" w:sz="4" w:space="0" w:color="auto"/>
              <w:right w:val="single" w:sz="4" w:space="0" w:color="auto"/>
            </w:tcBorders>
          </w:tcPr>
          <w:p w:rsidR="005803DC" w:rsidRPr="006902B3" w:rsidRDefault="005803DC" w:rsidP="000559DC">
            <w:pPr>
              <w:suppressAutoHyphens/>
              <w:spacing w:after="0" w:line="276" w:lineRule="auto"/>
              <w:rPr>
                <w:rFonts w:eastAsia="Times New Roman"/>
                <w:szCs w:val="24"/>
                <w:lang w:val="en-US"/>
              </w:rPr>
            </w:pPr>
          </w:p>
        </w:tc>
        <w:tc>
          <w:tcPr>
            <w:tcW w:w="2977" w:type="dxa"/>
            <w:tcBorders>
              <w:left w:val="single" w:sz="4" w:space="0" w:color="auto"/>
              <w:right w:val="single" w:sz="4" w:space="0" w:color="auto"/>
            </w:tcBorders>
            <w:vAlign w:val="center"/>
          </w:tcPr>
          <w:p w:rsidR="005803DC" w:rsidRPr="006902B3" w:rsidRDefault="005803DC" w:rsidP="000559DC">
            <w:pPr>
              <w:suppressAutoHyphens/>
              <w:spacing w:after="0" w:line="276" w:lineRule="auto"/>
              <w:jc w:val="center"/>
              <w:rPr>
                <w:rFonts w:eastAsia="Times New Roman"/>
                <w:szCs w:val="24"/>
                <w:lang w:val="en-US"/>
              </w:rPr>
            </w:pPr>
            <w:r>
              <w:rPr>
                <w:color w:val="000000"/>
              </w:rPr>
              <w:t>10,787,276.00</w:t>
            </w:r>
          </w:p>
        </w:tc>
      </w:tr>
    </w:tbl>
    <w:p w:rsidR="00FE27D8" w:rsidRPr="00647004" w:rsidRDefault="00FE27D8" w:rsidP="00552BE0">
      <w:pPr>
        <w:spacing w:after="240" w:line="276" w:lineRule="auto"/>
        <w:rPr>
          <w:rFonts w:eastAsia="Times New Roman"/>
          <w:szCs w:val="24"/>
          <w:highlight w:val="red"/>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6"/>
        <w:gridCol w:w="2693"/>
        <w:gridCol w:w="2977"/>
      </w:tblGrid>
      <w:tr w:rsidR="00FE27D8" w:rsidRPr="00A158A9" w:rsidTr="00FE27D8">
        <w:trPr>
          <w:trHeight w:val="364"/>
          <w:jc w:val="center"/>
        </w:trPr>
        <w:tc>
          <w:tcPr>
            <w:tcW w:w="8466" w:type="dxa"/>
            <w:gridSpan w:val="3"/>
            <w:tcBorders>
              <w:top w:val="single" w:sz="4" w:space="0" w:color="auto"/>
              <w:left w:val="single" w:sz="4" w:space="0" w:color="auto"/>
              <w:bottom w:val="single" w:sz="4" w:space="0" w:color="auto"/>
              <w:right w:val="single" w:sz="4" w:space="0" w:color="auto"/>
            </w:tcBorders>
            <w:hideMark/>
          </w:tcPr>
          <w:p w:rsidR="00FE27D8" w:rsidRPr="00316548" w:rsidRDefault="00316548" w:rsidP="00316548">
            <w:pPr>
              <w:pStyle w:val="Heading2"/>
              <w:spacing w:before="0" w:after="0"/>
              <w:rPr>
                <w:lang w:val="fr-FR"/>
              </w:rPr>
            </w:pPr>
            <w:bookmarkStart w:id="140" w:name="_Toc394837862"/>
            <w:r w:rsidRPr="00316548">
              <w:rPr>
                <w:lang w:val="fr-FR"/>
              </w:rPr>
              <w:t>Tabelul</w:t>
            </w:r>
            <w:r w:rsidR="00FE27D8" w:rsidRPr="00316548">
              <w:rPr>
                <w:lang w:val="fr-FR"/>
              </w:rPr>
              <w:t xml:space="preserve"> 8: </w:t>
            </w:r>
            <w:r w:rsidRPr="00316548">
              <w:rPr>
                <w:lang w:val="fr-FR"/>
              </w:rPr>
              <w:t>Dimensiunea 3 Tipul de teritoriu</w:t>
            </w:r>
            <w:bookmarkEnd w:id="140"/>
          </w:p>
        </w:tc>
      </w:tr>
      <w:tr w:rsidR="00FE27D8" w:rsidRPr="00316548" w:rsidTr="00FE27D8">
        <w:trPr>
          <w:trHeight w:val="254"/>
          <w:jc w:val="center"/>
        </w:trPr>
        <w:tc>
          <w:tcPr>
            <w:tcW w:w="2796" w:type="dxa"/>
            <w:tcBorders>
              <w:top w:val="single" w:sz="4" w:space="0" w:color="auto"/>
              <w:left w:val="single" w:sz="4" w:space="0" w:color="auto"/>
              <w:bottom w:val="single" w:sz="4" w:space="0" w:color="auto"/>
              <w:right w:val="single" w:sz="4" w:space="0" w:color="auto"/>
            </w:tcBorders>
            <w:hideMark/>
          </w:tcPr>
          <w:p w:rsidR="00FE27D8" w:rsidRPr="00316548" w:rsidRDefault="00316548">
            <w:pPr>
              <w:spacing w:after="0" w:line="276" w:lineRule="auto"/>
              <w:jc w:val="center"/>
              <w:rPr>
                <w:rFonts w:eastAsia="Times New Roman"/>
                <w:b/>
                <w:szCs w:val="24"/>
                <w:lang w:val="en-US"/>
              </w:rPr>
            </w:pPr>
            <w:r w:rsidRPr="00316548">
              <w:rPr>
                <w:rFonts w:eastAsia="Times New Roman"/>
                <w:b/>
                <w:szCs w:val="24"/>
                <w:lang w:val="en-US"/>
              </w:rPr>
              <w:t>Axa prioritară</w:t>
            </w:r>
          </w:p>
        </w:tc>
        <w:tc>
          <w:tcPr>
            <w:tcW w:w="2693" w:type="dxa"/>
            <w:tcBorders>
              <w:top w:val="single" w:sz="4" w:space="0" w:color="auto"/>
              <w:left w:val="single" w:sz="4" w:space="0" w:color="auto"/>
              <w:bottom w:val="single" w:sz="4" w:space="0" w:color="auto"/>
              <w:right w:val="single" w:sz="4" w:space="0" w:color="auto"/>
            </w:tcBorders>
            <w:hideMark/>
          </w:tcPr>
          <w:p w:rsidR="00FE27D8" w:rsidRPr="00316548" w:rsidRDefault="00316548">
            <w:pPr>
              <w:spacing w:after="0" w:line="276" w:lineRule="auto"/>
              <w:jc w:val="center"/>
              <w:rPr>
                <w:rFonts w:eastAsia="Times New Roman"/>
                <w:szCs w:val="24"/>
                <w:lang w:val="en-US"/>
              </w:rPr>
            </w:pPr>
            <w:r>
              <w:rPr>
                <w:rFonts w:eastAsia="Times New Roman"/>
                <w:b/>
                <w:szCs w:val="24"/>
                <w:lang w:val="en-US"/>
              </w:rPr>
              <w:t>Codul</w:t>
            </w:r>
          </w:p>
        </w:tc>
        <w:tc>
          <w:tcPr>
            <w:tcW w:w="2977" w:type="dxa"/>
            <w:tcBorders>
              <w:top w:val="single" w:sz="4" w:space="0" w:color="auto"/>
              <w:left w:val="single" w:sz="4" w:space="0" w:color="auto"/>
              <w:bottom w:val="single" w:sz="4" w:space="0" w:color="auto"/>
              <w:right w:val="single" w:sz="4" w:space="0" w:color="auto"/>
            </w:tcBorders>
            <w:hideMark/>
          </w:tcPr>
          <w:p w:rsidR="00FE27D8" w:rsidRPr="00316548" w:rsidRDefault="00316548" w:rsidP="00316548">
            <w:pPr>
              <w:spacing w:after="0" w:line="276" w:lineRule="auto"/>
              <w:jc w:val="center"/>
              <w:rPr>
                <w:rFonts w:eastAsia="Times New Roman"/>
                <w:szCs w:val="24"/>
                <w:lang w:val="en-US"/>
              </w:rPr>
            </w:pPr>
            <w:r>
              <w:rPr>
                <w:b/>
                <w:szCs w:val="24"/>
                <w:lang w:val="en-US"/>
              </w:rPr>
              <w:t>Suma</w:t>
            </w:r>
            <w:r w:rsidR="00FE27D8" w:rsidRPr="00316548">
              <w:rPr>
                <w:b/>
                <w:szCs w:val="24"/>
                <w:lang w:val="en-US"/>
              </w:rPr>
              <w:t xml:space="preserve"> (</w:t>
            </w:r>
            <w:r>
              <w:rPr>
                <w:b/>
                <w:szCs w:val="24"/>
                <w:lang w:val="en-US"/>
              </w:rPr>
              <w:t>EUR</w:t>
            </w:r>
            <w:r w:rsidR="00FE27D8" w:rsidRPr="00316548">
              <w:rPr>
                <w:b/>
                <w:szCs w:val="24"/>
                <w:lang w:val="en-US"/>
              </w:rPr>
              <w:t>)</w:t>
            </w:r>
          </w:p>
        </w:tc>
      </w:tr>
      <w:tr w:rsidR="00FE27D8" w:rsidRPr="00647004" w:rsidTr="00FE27D8">
        <w:trPr>
          <w:jc w:val="center"/>
        </w:trPr>
        <w:tc>
          <w:tcPr>
            <w:tcW w:w="2796" w:type="dxa"/>
            <w:tcBorders>
              <w:top w:val="single" w:sz="4" w:space="0" w:color="auto"/>
              <w:left w:val="single" w:sz="4" w:space="0" w:color="auto"/>
              <w:bottom w:val="single" w:sz="4" w:space="0" w:color="auto"/>
              <w:right w:val="single" w:sz="4" w:space="0" w:color="auto"/>
            </w:tcBorders>
          </w:tcPr>
          <w:p w:rsidR="00FE27D8" w:rsidRPr="00316548" w:rsidRDefault="00FE27D8">
            <w:pPr>
              <w:spacing w:after="0" w:line="276" w:lineRule="auto"/>
              <w:rPr>
                <w:rFonts w:eastAsia="Times New Roman"/>
                <w:szCs w:val="24"/>
                <w:lang w:val="en-US"/>
              </w:rPr>
            </w:pPr>
          </w:p>
        </w:tc>
        <w:tc>
          <w:tcPr>
            <w:tcW w:w="2693" w:type="dxa"/>
            <w:tcBorders>
              <w:top w:val="single" w:sz="4" w:space="0" w:color="auto"/>
              <w:left w:val="single" w:sz="4" w:space="0" w:color="auto"/>
              <w:bottom w:val="single" w:sz="4" w:space="0" w:color="auto"/>
              <w:right w:val="single" w:sz="4" w:space="0" w:color="auto"/>
            </w:tcBorders>
            <w:hideMark/>
          </w:tcPr>
          <w:p w:rsidR="00FE27D8" w:rsidRPr="00316548" w:rsidRDefault="00316548">
            <w:pPr>
              <w:spacing w:after="0" w:line="276" w:lineRule="auto"/>
              <w:rPr>
                <w:rFonts w:eastAsia="Times New Roman"/>
                <w:szCs w:val="24"/>
                <w:lang w:val="en-US"/>
              </w:rPr>
            </w:pPr>
            <w:r>
              <w:rPr>
                <w:rFonts w:eastAsia="Times New Roman"/>
                <w:szCs w:val="24"/>
                <w:lang w:val="en-US"/>
              </w:rPr>
              <w:t>07 Nu se aplică</w:t>
            </w:r>
          </w:p>
        </w:tc>
        <w:tc>
          <w:tcPr>
            <w:tcW w:w="2977" w:type="dxa"/>
            <w:tcBorders>
              <w:top w:val="single" w:sz="4" w:space="0" w:color="auto"/>
              <w:left w:val="single" w:sz="4" w:space="0" w:color="auto"/>
              <w:bottom w:val="single" w:sz="4" w:space="0" w:color="auto"/>
              <w:right w:val="single" w:sz="4" w:space="0" w:color="auto"/>
            </w:tcBorders>
            <w:vAlign w:val="center"/>
          </w:tcPr>
          <w:p w:rsidR="00FE27D8" w:rsidRPr="00316548" w:rsidRDefault="00FE27D8">
            <w:pPr>
              <w:spacing w:after="0" w:line="276" w:lineRule="auto"/>
              <w:jc w:val="center"/>
              <w:rPr>
                <w:rFonts w:eastAsia="Times New Roman"/>
                <w:szCs w:val="24"/>
                <w:lang w:val="en-US"/>
              </w:rPr>
            </w:pPr>
          </w:p>
        </w:tc>
      </w:tr>
    </w:tbl>
    <w:p w:rsidR="00FE27D8" w:rsidRPr="00647004" w:rsidRDefault="00FE27D8" w:rsidP="00552BE0">
      <w:pPr>
        <w:spacing w:after="240" w:line="276" w:lineRule="auto"/>
        <w:rPr>
          <w:rFonts w:eastAsia="Times New Roman"/>
          <w:szCs w:val="24"/>
          <w:highlight w:val="red"/>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FE27D8" w:rsidRPr="00A158A9" w:rsidTr="00FE27D8">
        <w:trPr>
          <w:trHeight w:val="364"/>
          <w:jc w:val="center"/>
        </w:trPr>
        <w:tc>
          <w:tcPr>
            <w:tcW w:w="8472" w:type="dxa"/>
            <w:gridSpan w:val="3"/>
            <w:tcBorders>
              <w:top w:val="single" w:sz="4" w:space="0" w:color="auto"/>
              <w:left w:val="single" w:sz="4" w:space="0" w:color="auto"/>
              <w:bottom w:val="single" w:sz="4" w:space="0" w:color="auto"/>
              <w:right w:val="single" w:sz="4" w:space="0" w:color="auto"/>
            </w:tcBorders>
            <w:hideMark/>
          </w:tcPr>
          <w:p w:rsidR="00FE27D8" w:rsidRPr="00DD4E34" w:rsidRDefault="00DD4E34" w:rsidP="00BB60A1">
            <w:pPr>
              <w:pStyle w:val="Heading2"/>
              <w:spacing w:before="0" w:after="0"/>
              <w:rPr>
                <w:lang w:val="fr-FR"/>
              </w:rPr>
            </w:pPr>
            <w:bookmarkStart w:id="141" w:name="_Toc394837863"/>
            <w:r>
              <w:rPr>
                <w:lang w:val="fr-FR"/>
              </w:rPr>
              <w:t>Tabelul</w:t>
            </w:r>
            <w:r w:rsidR="00FE27D8" w:rsidRPr="00DD4E34">
              <w:rPr>
                <w:lang w:val="fr-FR"/>
              </w:rPr>
              <w:t xml:space="preserve"> 9: </w:t>
            </w:r>
            <w:r w:rsidRPr="00DD4E34">
              <w:rPr>
                <w:lang w:val="fr-FR"/>
              </w:rPr>
              <w:t>Dimensiunea 6 Mecanismele teritoriale de furnizare</w:t>
            </w:r>
            <w:bookmarkEnd w:id="141"/>
          </w:p>
        </w:tc>
      </w:tr>
      <w:tr w:rsidR="00FE27D8" w:rsidRPr="00DD4E34" w:rsidTr="00FE27D8">
        <w:trPr>
          <w:trHeight w:val="254"/>
          <w:jc w:val="center"/>
        </w:trPr>
        <w:tc>
          <w:tcPr>
            <w:tcW w:w="2802" w:type="dxa"/>
            <w:tcBorders>
              <w:top w:val="single" w:sz="4" w:space="0" w:color="auto"/>
              <w:left w:val="single" w:sz="4" w:space="0" w:color="auto"/>
              <w:bottom w:val="single" w:sz="4" w:space="0" w:color="auto"/>
              <w:right w:val="single" w:sz="4" w:space="0" w:color="auto"/>
            </w:tcBorders>
            <w:hideMark/>
          </w:tcPr>
          <w:p w:rsidR="00FE27D8" w:rsidRPr="00DD4E34" w:rsidRDefault="00DD4E34">
            <w:pPr>
              <w:spacing w:after="0" w:line="276" w:lineRule="auto"/>
              <w:jc w:val="center"/>
              <w:rPr>
                <w:rFonts w:eastAsia="Times New Roman"/>
                <w:b/>
                <w:szCs w:val="24"/>
                <w:lang w:val="en-US"/>
              </w:rPr>
            </w:pPr>
            <w:r w:rsidRPr="00316548">
              <w:rPr>
                <w:rFonts w:eastAsia="Times New Roman"/>
                <w:b/>
                <w:szCs w:val="24"/>
                <w:lang w:val="en-US"/>
              </w:rPr>
              <w:t>Axa prioritară</w:t>
            </w:r>
          </w:p>
        </w:tc>
        <w:tc>
          <w:tcPr>
            <w:tcW w:w="2693" w:type="dxa"/>
            <w:tcBorders>
              <w:top w:val="single" w:sz="4" w:space="0" w:color="auto"/>
              <w:left w:val="single" w:sz="4" w:space="0" w:color="auto"/>
              <w:bottom w:val="single" w:sz="4" w:space="0" w:color="auto"/>
              <w:right w:val="single" w:sz="4" w:space="0" w:color="auto"/>
            </w:tcBorders>
            <w:hideMark/>
          </w:tcPr>
          <w:p w:rsidR="00FE27D8" w:rsidRPr="00DD4E34" w:rsidRDefault="00DD4E34">
            <w:pPr>
              <w:spacing w:after="0" w:line="276" w:lineRule="auto"/>
              <w:jc w:val="center"/>
              <w:rPr>
                <w:rFonts w:eastAsia="Times New Roman"/>
                <w:szCs w:val="24"/>
                <w:lang w:val="en-US"/>
              </w:rPr>
            </w:pPr>
            <w:r>
              <w:rPr>
                <w:rFonts w:eastAsia="Times New Roman"/>
                <w:b/>
                <w:szCs w:val="24"/>
                <w:lang w:val="en-US"/>
              </w:rPr>
              <w:t>Codul</w:t>
            </w:r>
          </w:p>
        </w:tc>
        <w:tc>
          <w:tcPr>
            <w:tcW w:w="2977" w:type="dxa"/>
            <w:tcBorders>
              <w:top w:val="single" w:sz="4" w:space="0" w:color="auto"/>
              <w:left w:val="single" w:sz="4" w:space="0" w:color="auto"/>
              <w:bottom w:val="single" w:sz="4" w:space="0" w:color="auto"/>
              <w:right w:val="single" w:sz="4" w:space="0" w:color="auto"/>
            </w:tcBorders>
            <w:hideMark/>
          </w:tcPr>
          <w:p w:rsidR="00FE27D8" w:rsidRPr="00DD4E34" w:rsidRDefault="00DD4E34">
            <w:pPr>
              <w:spacing w:after="0" w:line="276" w:lineRule="auto"/>
              <w:jc w:val="center"/>
              <w:rPr>
                <w:rFonts w:eastAsia="Times New Roman"/>
                <w:szCs w:val="24"/>
                <w:lang w:val="en-US"/>
              </w:rPr>
            </w:pPr>
            <w:r>
              <w:rPr>
                <w:b/>
                <w:szCs w:val="24"/>
                <w:lang w:val="en-US"/>
              </w:rPr>
              <w:t>Suma</w:t>
            </w:r>
            <w:r w:rsidRPr="00316548">
              <w:rPr>
                <w:b/>
                <w:szCs w:val="24"/>
                <w:lang w:val="en-US"/>
              </w:rPr>
              <w:t xml:space="preserve"> (</w:t>
            </w:r>
            <w:r>
              <w:rPr>
                <w:b/>
                <w:szCs w:val="24"/>
                <w:lang w:val="en-US"/>
              </w:rPr>
              <w:t>EUR</w:t>
            </w:r>
            <w:r w:rsidRPr="00316548">
              <w:rPr>
                <w:b/>
                <w:szCs w:val="24"/>
                <w:lang w:val="en-US"/>
              </w:rPr>
              <w:t>)</w:t>
            </w:r>
          </w:p>
        </w:tc>
      </w:tr>
      <w:tr w:rsidR="00FE27D8" w:rsidRPr="00647004" w:rsidTr="00FE27D8">
        <w:trPr>
          <w:jc w:val="center"/>
        </w:trPr>
        <w:tc>
          <w:tcPr>
            <w:tcW w:w="2802" w:type="dxa"/>
            <w:tcBorders>
              <w:top w:val="single" w:sz="4" w:space="0" w:color="auto"/>
              <w:left w:val="single" w:sz="4" w:space="0" w:color="auto"/>
              <w:bottom w:val="single" w:sz="4" w:space="0" w:color="auto"/>
              <w:right w:val="single" w:sz="4" w:space="0" w:color="auto"/>
            </w:tcBorders>
          </w:tcPr>
          <w:p w:rsidR="00FE27D8" w:rsidRPr="00DD4E34" w:rsidRDefault="00FE27D8">
            <w:pPr>
              <w:spacing w:after="0" w:line="276" w:lineRule="auto"/>
              <w:rPr>
                <w:rFonts w:eastAsia="Times New Roman"/>
                <w:szCs w:val="24"/>
                <w:lang w:val="en-US"/>
              </w:rPr>
            </w:pPr>
          </w:p>
        </w:tc>
        <w:tc>
          <w:tcPr>
            <w:tcW w:w="2693" w:type="dxa"/>
            <w:tcBorders>
              <w:top w:val="single" w:sz="4" w:space="0" w:color="auto"/>
              <w:left w:val="single" w:sz="4" w:space="0" w:color="auto"/>
              <w:bottom w:val="single" w:sz="4" w:space="0" w:color="auto"/>
              <w:right w:val="single" w:sz="4" w:space="0" w:color="auto"/>
            </w:tcBorders>
            <w:hideMark/>
          </w:tcPr>
          <w:p w:rsidR="00FE27D8" w:rsidRPr="00DD4E34" w:rsidRDefault="00FE27D8" w:rsidP="00DD4E34">
            <w:pPr>
              <w:spacing w:after="0" w:line="276" w:lineRule="auto"/>
              <w:rPr>
                <w:rFonts w:eastAsia="Times New Roman"/>
                <w:szCs w:val="24"/>
                <w:lang w:val="en-US"/>
              </w:rPr>
            </w:pPr>
            <w:r w:rsidRPr="00DD4E34">
              <w:rPr>
                <w:rFonts w:eastAsia="Times New Roman"/>
                <w:szCs w:val="24"/>
                <w:lang w:val="en-US"/>
              </w:rPr>
              <w:t xml:space="preserve">07 </w:t>
            </w:r>
            <w:r w:rsidR="00DD4E34">
              <w:rPr>
                <w:rFonts w:eastAsia="Times New Roman"/>
                <w:szCs w:val="24"/>
                <w:lang w:val="en-US"/>
              </w:rPr>
              <w:t>Nu se aplică</w:t>
            </w:r>
          </w:p>
        </w:tc>
        <w:tc>
          <w:tcPr>
            <w:tcW w:w="2977" w:type="dxa"/>
            <w:tcBorders>
              <w:top w:val="single" w:sz="4" w:space="0" w:color="auto"/>
              <w:left w:val="single" w:sz="4" w:space="0" w:color="auto"/>
              <w:bottom w:val="single" w:sz="4" w:space="0" w:color="auto"/>
              <w:right w:val="single" w:sz="4" w:space="0" w:color="auto"/>
            </w:tcBorders>
          </w:tcPr>
          <w:p w:rsidR="00FE27D8" w:rsidRPr="00DD4E34" w:rsidRDefault="00FE27D8">
            <w:pPr>
              <w:spacing w:after="0" w:line="276" w:lineRule="auto"/>
              <w:jc w:val="right"/>
              <w:rPr>
                <w:rFonts w:eastAsia="Times New Roman"/>
                <w:szCs w:val="24"/>
                <w:lang w:val="en-US"/>
              </w:rPr>
            </w:pPr>
          </w:p>
        </w:tc>
      </w:tr>
    </w:tbl>
    <w:p w:rsidR="005B5BA1" w:rsidRPr="00647004" w:rsidRDefault="005B5BA1" w:rsidP="00552BE0">
      <w:pPr>
        <w:spacing w:after="240" w:line="276" w:lineRule="auto"/>
        <w:rPr>
          <w:rFonts w:eastAsia="Times New Roman"/>
          <w:szCs w:val="24"/>
          <w:highlight w:val="red"/>
          <w:lang w:val="en-US"/>
        </w:rPr>
      </w:pPr>
    </w:p>
    <w:p w:rsidR="005B5BA1" w:rsidRPr="006C6828" w:rsidRDefault="005B5BA1" w:rsidP="00BB60A1">
      <w:pPr>
        <w:pStyle w:val="Heading2"/>
        <w:rPr>
          <w:lang w:val="it-IT"/>
        </w:rPr>
      </w:pPr>
      <w:bookmarkStart w:id="142" w:name="_Toc394837864"/>
      <w:r w:rsidRPr="006C6828">
        <w:rPr>
          <w:lang w:val="it-IT"/>
        </w:rPr>
        <w:t xml:space="preserve">2.A.9. </w:t>
      </w:r>
      <w:r w:rsidR="00DD4E34" w:rsidRPr="006C6828">
        <w:rPr>
          <w:lang w:val="it-IT"/>
        </w:rPr>
        <w:t>Dacă este cazul, un rezumat al utilizării planificate pentru asistența tehnică, inclusiv acțiunile de consolidare a capacității administrative a autorităților implicate în managementul și controlul programelor și beneficiarilor și, dacă este necesar, acțiunile de sporire a capacității administrative a partenerilor relevanți care participă la implementarea programelor (după caz)</w:t>
      </w:r>
      <w:bookmarkEnd w:id="142"/>
    </w:p>
    <w:p w:rsidR="00DD4E34" w:rsidRPr="006C6828" w:rsidRDefault="00DD4E34" w:rsidP="009A7650">
      <w:pPr>
        <w:spacing w:after="240" w:line="276" w:lineRule="auto"/>
        <w:rPr>
          <w:sz w:val="20"/>
          <w:highlight w:val="red"/>
          <w:lang w:val="it-IT"/>
        </w:rPr>
      </w:pPr>
      <w:r w:rsidRPr="006C6828">
        <w:rPr>
          <w:sz w:val="20"/>
          <w:lang w:val="it-IT"/>
        </w:rPr>
        <w:t>[Referință: articolul 8 alineatul (2) litera (b) punctul (vi) din Regulamentul (UE) nr. 1299/2013]</w:t>
      </w:r>
    </w:p>
    <w:p w:rsidR="00DD4E34" w:rsidRPr="00DD4E34" w:rsidRDefault="00DD4E34" w:rsidP="00DD4E34">
      <w:pPr>
        <w:rPr>
          <w:highlight w:val="red"/>
          <w:lang w:val="fr-FR"/>
        </w:rPr>
      </w:pPr>
      <w:r w:rsidRPr="00DD4E34">
        <w:rPr>
          <w:lang w:val="fr-FR"/>
        </w:rPr>
        <w:t>Nu se aplică</w:t>
      </w:r>
    </w:p>
    <w:p w:rsidR="005606A0" w:rsidRPr="00DD4E34" w:rsidRDefault="005606A0" w:rsidP="00BB60A1">
      <w:pPr>
        <w:pStyle w:val="Heading2"/>
        <w:rPr>
          <w:lang w:val="fr-FR"/>
        </w:rPr>
      </w:pPr>
      <w:bookmarkStart w:id="143" w:name="_Toc394837865"/>
      <w:proofErr w:type="gramStart"/>
      <w:r w:rsidRPr="00DD4E34">
        <w:rPr>
          <w:lang w:val="fr-FR"/>
        </w:rPr>
        <w:t>2.B</w:t>
      </w:r>
      <w:proofErr w:type="gramEnd"/>
      <w:r w:rsidRPr="00DD4E34">
        <w:rPr>
          <w:lang w:val="fr-FR"/>
        </w:rPr>
        <w:t xml:space="preserve">. </w:t>
      </w:r>
      <w:r w:rsidR="00DD4E34" w:rsidRPr="00DD4E34">
        <w:rPr>
          <w:lang w:val="fr-FR"/>
        </w:rPr>
        <w:t>Descriere a axelor prioritare pentru asistența tehnică</w:t>
      </w:r>
      <w:bookmarkEnd w:id="143"/>
    </w:p>
    <w:p w:rsidR="005606A0" w:rsidRPr="00DD4E34" w:rsidRDefault="005606A0" w:rsidP="00BB60A1">
      <w:pPr>
        <w:pStyle w:val="Heading2"/>
        <w:rPr>
          <w:lang w:val="en-US"/>
        </w:rPr>
      </w:pPr>
      <w:bookmarkStart w:id="144" w:name="_Toc394837866"/>
      <w:proofErr w:type="gramStart"/>
      <w:r w:rsidRPr="00DD4E34">
        <w:rPr>
          <w:lang w:val="en-US"/>
        </w:rPr>
        <w:t>2.B.1</w:t>
      </w:r>
      <w:proofErr w:type="gramEnd"/>
      <w:r w:rsidRPr="00DD4E34">
        <w:rPr>
          <w:lang w:val="en-US"/>
        </w:rPr>
        <w:t xml:space="preserve">. </w:t>
      </w:r>
      <w:r w:rsidR="00DD4E34" w:rsidRPr="00DD4E34">
        <w:rPr>
          <w:lang w:val="en-US"/>
        </w:rPr>
        <w:t>Axa prioritară</w:t>
      </w:r>
      <w:bookmarkEnd w:id="14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5606A0" w:rsidRPr="00DD4E34" w:rsidTr="00B1411D">
        <w:trPr>
          <w:trHeight w:val="491"/>
          <w:jc w:val="center"/>
        </w:trPr>
        <w:tc>
          <w:tcPr>
            <w:tcW w:w="3510" w:type="dxa"/>
            <w:shd w:val="clear" w:color="auto" w:fill="auto"/>
          </w:tcPr>
          <w:p w:rsidR="005606A0" w:rsidRPr="00DD4E34" w:rsidRDefault="005606A0" w:rsidP="005606A0">
            <w:pPr>
              <w:spacing w:after="240" w:line="276" w:lineRule="auto"/>
              <w:rPr>
                <w:rFonts w:eastAsia="Times New Roman"/>
                <w:i/>
                <w:lang w:val="en-US"/>
              </w:rPr>
            </w:pPr>
            <w:r w:rsidRPr="00DD4E34">
              <w:rPr>
                <w:rFonts w:eastAsia="Times New Roman"/>
                <w:i/>
                <w:lang w:val="en-US"/>
              </w:rPr>
              <w:t>ID</w:t>
            </w:r>
          </w:p>
        </w:tc>
        <w:tc>
          <w:tcPr>
            <w:tcW w:w="4962" w:type="dxa"/>
            <w:shd w:val="clear" w:color="auto" w:fill="auto"/>
          </w:tcPr>
          <w:p w:rsidR="005606A0" w:rsidRPr="00DD4E34" w:rsidRDefault="000559DC" w:rsidP="005606A0">
            <w:pPr>
              <w:spacing w:after="240" w:line="276" w:lineRule="auto"/>
              <w:rPr>
                <w:rFonts w:eastAsia="Times New Roman"/>
                <w:i/>
                <w:color w:val="8DB3E2"/>
                <w:sz w:val="18"/>
                <w:szCs w:val="18"/>
                <w:lang w:val="en-US"/>
              </w:rPr>
            </w:pPr>
            <w:r>
              <w:rPr>
                <w:rFonts w:eastAsia="Times New Roman"/>
                <w:i/>
                <w:color w:val="8DB3E2"/>
                <w:sz w:val="18"/>
                <w:szCs w:val="18"/>
                <w:lang w:val="en-US"/>
              </w:rPr>
              <w:t>SO 6</w:t>
            </w:r>
          </w:p>
        </w:tc>
      </w:tr>
      <w:tr w:rsidR="005606A0" w:rsidRPr="00647004" w:rsidTr="00B1411D">
        <w:trPr>
          <w:trHeight w:val="466"/>
          <w:jc w:val="center"/>
        </w:trPr>
        <w:tc>
          <w:tcPr>
            <w:tcW w:w="3510" w:type="dxa"/>
            <w:shd w:val="clear" w:color="auto" w:fill="auto"/>
          </w:tcPr>
          <w:p w:rsidR="005606A0" w:rsidRPr="00DD4E34" w:rsidRDefault="00DD4E34" w:rsidP="005606A0">
            <w:pPr>
              <w:spacing w:after="240" w:line="276" w:lineRule="auto"/>
              <w:rPr>
                <w:rFonts w:eastAsia="Times New Roman"/>
                <w:i/>
                <w:lang w:val="en-US"/>
              </w:rPr>
            </w:pPr>
            <w:r>
              <w:rPr>
                <w:rFonts w:eastAsia="Times New Roman"/>
                <w:i/>
                <w:lang w:val="en-US"/>
              </w:rPr>
              <w:lastRenderedPageBreak/>
              <w:t>Titlul</w:t>
            </w:r>
          </w:p>
        </w:tc>
        <w:tc>
          <w:tcPr>
            <w:tcW w:w="4962" w:type="dxa"/>
            <w:shd w:val="clear" w:color="auto" w:fill="auto"/>
          </w:tcPr>
          <w:p w:rsidR="005606A0" w:rsidRPr="00DD4E34" w:rsidRDefault="00DD4E34" w:rsidP="005606A0">
            <w:pPr>
              <w:spacing w:after="240" w:line="276" w:lineRule="auto"/>
              <w:rPr>
                <w:rFonts w:eastAsia="Times New Roman"/>
                <w:sz w:val="18"/>
                <w:szCs w:val="18"/>
                <w:lang w:val="en-US"/>
              </w:rPr>
            </w:pPr>
            <w:r>
              <w:rPr>
                <w:rFonts w:eastAsia="Times New Roman"/>
                <w:szCs w:val="18"/>
                <w:lang w:val="en-US"/>
              </w:rPr>
              <w:t>Asistență tehnică</w:t>
            </w:r>
          </w:p>
        </w:tc>
      </w:tr>
    </w:tbl>
    <w:p w:rsidR="005606A0" w:rsidRPr="00647004" w:rsidRDefault="005606A0" w:rsidP="005606A0">
      <w:pPr>
        <w:spacing w:after="240" w:line="276" w:lineRule="auto"/>
        <w:rPr>
          <w:rFonts w:eastAsia="Times New Roman"/>
          <w:b/>
          <w:highlight w:val="red"/>
          <w:lang w:val="en-US"/>
        </w:rPr>
      </w:pPr>
    </w:p>
    <w:p w:rsidR="005606A0" w:rsidRPr="00DD4E34" w:rsidRDefault="005606A0" w:rsidP="00BB60A1">
      <w:pPr>
        <w:pStyle w:val="Heading2"/>
        <w:rPr>
          <w:lang w:val="fr-FR"/>
        </w:rPr>
      </w:pPr>
      <w:bookmarkStart w:id="145" w:name="_Toc394837867"/>
      <w:proofErr w:type="gramStart"/>
      <w:r w:rsidRPr="00A77C97">
        <w:rPr>
          <w:lang w:val="fr-FR"/>
        </w:rPr>
        <w:t>2.B.2</w:t>
      </w:r>
      <w:proofErr w:type="gramEnd"/>
      <w:r w:rsidRPr="00A77C97">
        <w:rPr>
          <w:lang w:val="fr-FR"/>
        </w:rPr>
        <w:t xml:space="preserve">. </w:t>
      </w:r>
      <w:r w:rsidR="00DD4E34" w:rsidRPr="00DD4E34">
        <w:rPr>
          <w:lang w:val="fr-FR"/>
        </w:rPr>
        <w:t>Fondul și baza de calcul pentru sprijinul Uniunii</w:t>
      </w:r>
      <w:bookmarkEnd w:id="14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4962"/>
      </w:tblGrid>
      <w:tr w:rsidR="005606A0" w:rsidRPr="00DD4E34" w:rsidTr="00B1411D">
        <w:trPr>
          <w:jc w:val="center"/>
        </w:trPr>
        <w:tc>
          <w:tcPr>
            <w:tcW w:w="2070" w:type="dxa"/>
            <w:shd w:val="clear" w:color="auto" w:fill="auto"/>
          </w:tcPr>
          <w:p w:rsidR="005606A0" w:rsidRPr="00DD4E34" w:rsidRDefault="00DD4E34" w:rsidP="00F424F7">
            <w:pPr>
              <w:spacing w:before="0" w:after="0" w:line="276" w:lineRule="auto"/>
              <w:rPr>
                <w:rFonts w:eastAsia="Times New Roman"/>
                <w:i/>
                <w:lang w:val="en-US"/>
              </w:rPr>
            </w:pPr>
            <w:r>
              <w:rPr>
                <w:rFonts w:eastAsia="Times New Roman"/>
                <w:i/>
                <w:lang w:val="en-US"/>
              </w:rPr>
              <w:t>Fo</w:t>
            </w:r>
            <w:r w:rsidR="005606A0" w:rsidRPr="00DD4E34">
              <w:rPr>
                <w:rFonts w:eastAsia="Times New Roman"/>
                <w:i/>
                <w:lang w:val="en-US"/>
              </w:rPr>
              <w:t>nd</w:t>
            </w:r>
          </w:p>
        </w:tc>
        <w:tc>
          <w:tcPr>
            <w:tcW w:w="4962" w:type="dxa"/>
            <w:shd w:val="clear" w:color="auto" w:fill="auto"/>
          </w:tcPr>
          <w:p w:rsidR="005606A0" w:rsidRPr="00DD4E34" w:rsidRDefault="00F424F7" w:rsidP="00F424F7">
            <w:pPr>
              <w:spacing w:before="0" w:after="0" w:line="276" w:lineRule="auto"/>
              <w:rPr>
                <w:rFonts w:eastAsia="Times New Roman"/>
                <w:szCs w:val="18"/>
                <w:lang w:val="en-US"/>
              </w:rPr>
            </w:pPr>
            <w:r>
              <w:rPr>
                <w:rFonts w:eastAsia="Times New Roman"/>
                <w:szCs w:val="18"/>
                <w:lang w:val="en-US"/>
              </w:rPr>
              <w:t>FDER</w:t>
            </w:r>
          </w:p>
        </w:tc>
      </w:tr>
      <w:tr w:rsidR="005606A0" w:rsidRPr="00647004" w:rsidTr="00B1411D">
        <w:trPr>
          <w:jc w:val="center"/>
        </w:trPr>
        <w:tc>
          <w:tcPr>
            <w:tcW w:w="2070" w:type="dxa"/>
            <w:tcBorders>
              <w:top w:val="single" w:sz="4" w:space="0" w:color="auto"/>
              <w:left w:val="single" w:sz="4" w:space="0" w:color="auto"/>
              <w:bottom w:val="single" w:sz="4" w:space="0" w:color="auto"/>
              <w:right w:val="single" w:sz="4" w:space="0" w:color="auto"/>
            </w:tcBorders>
            <w:shd w:val="clear" w:color="auto" w:fill="auto"/>
          </w:tcPr>
          <w:p w:rsidR="005606A0" w:rsidRPr="006C6828" w:rsidRDefault="00DD4E34" w:rsidP="00F424F7">
            <w:pPr>
              <w:spacing w:before="0" w:after="0" w:line="276" w:lineRule="auto"/>
              <w:rPr>
                <w:rFonts w:eastAsia="Times New Roman"/>
                <w:i/>
                <w:lang w:val="it-IT"/>
              </w:rPr>
            </w:pPr>
            <w:r w:rsidRPr="006C6828">
              <w:rPr>
                <w:rFonts w:eastAsia="Times New Roman"/>
                <w:i/>
                <w:lang w:val="it-IT"/>
              </w:rPr>
              <w:t>Baza de calcul (totalul cheltuielilor eligibile sau al cheltuielilor publice eligibile)</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5606A0" w:rsidRPr="00DD4E34" w:rsidRDefault="00DD4E34" w:rsidP="00F424F7">
            <w:pPr>
              <w:spacing w:before="0" w:after="0" w:line="276" w:lineRule="auto"/>
              <w:rPr>
                <w:rFonts w:eastAsia="Times New Roman"/>
                <w:szCs w:val="18"/>
                <w:lang w:val="en-US"/>
              </w:rPr>
            </w:pPr>
            <w:r>
              <w:rPr>
                <w:rFonts w:eastAsia="Times New Roman"/>
                <w:i/>
                <w:lang w:val="en-US"/>
              </w:rPr>
              <w:t>Cheltuielile</w:t>
            </w:r>
            <w:r w:rsidRPr="00DD4E34">
              <w:rPr>
                <w:rFonts w:eastAsia="Times New Roman"/>
                <w:i/>
                <w:lang w:val="en-US"/>
              </w:rPr>
              <w:t xml:space="preserve"> publice eligibile</w:t>
            </w:r>
          </w:p>
        </w:tc>
      </w:tr>
    </w:tbl>
    <w:p w:rsidR="005606A0" w:rsidRPr="00647004" w:rsidRDefault="005606A0" w:rsidP="005606A0">
      <w:pPr>
        <w:spacing w:after="240" w:line="276" w:lineRule="auto"/>
        <w:rPr>
          <w:rFonts w:eastAsia="Times New Roman"/>
          <w:i/>
          <w:szCs w:val="24"/>
          <w:highlight w:val="red"/>
          <w:lang w:val="en-US"/>
        </w:rPr>
      </w:pPr>
    </w:p>
    <w:p w:rsidR="005606A0" w:rsidRPr="00DD4E34" w:rsidRDefault="005606A0" w:rsidP="00BB60A1">
      <w:pPr>
        <w:pStyle w:val="Heading2"/>
        <w:rPr>
          <w:lang w:val="en-US"/>
        </w:rPr>
      </w:pPr>
      <w:bookmarkStart w:id="146" w:name="_Toc394837868"/>
      <w:proofErr w:type="gramStart"/>
      <w:r w:rsidRPr="00DD4E34">
        <w:rPr>
          <w:lang w:val="en-US"/>
        </w:rPr>
        <w:t>2.B.3</w:t>
      </w:r>
      <w:proofErr w:type="gramEnd"/>
      <w:r w:rsidRPr="00DD4E34">
        <w:rPr>
          <w:lang w:val="en-US"/>
        </w:rPr>
        <w:t xml:space="preserve">. </w:t>
      </w:r>
      <w:r w:rsidR="00DD4E34" w:rsidRPr="00DD4E34">
        <w:rPr>
          <w:lang w:val="en-US"/>
        </w:rPr>
        <w:t>Obiective specifice și rezultatele preconizate</w:t>
      </w:r>
      <w:bookmarkEnd w:id="146"/>
    </w:p>
    <w:p w:rsidR="005606A0" w:rsidRPr="00DD4E34" w:rsidRDefault="00DD4E34" w:rsidP="00786C3C">
      <w:pPr>
        <w:rPr>
          <w:lang w:val="en-US"/>
        </w:rPr>
      </w:pPr>
      <w:r w:rsidRPr="00DD4E34">
        <w:rPr>
          <w:lang w:val="en-US"/>
        </w:rPr>
        <w:t>Obiectiv specific (se repetă pentru fiecare obiectiv specific)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103"/>
      </w:tblGrid>
      <w:tr w:rsidR="005606A0" w:rsidRPr="00DD4E34" w:rsidTr="00B1411D">
        <w:trPr>
          <w:trHeight w:val="491"/>
          <w:jc w:val="center"/>
        </w:trPr>
        <w:tc>
          <w:tcPr>
            <w:tcW w:w="3510" w:type="dxa"/>
            <w:shd w:val="clear" w:color="auto" w:fill="auto"/>
          </w:tcPr>
          <w:p w:rsidR="005606A0" w:rsidRPr="00DD4E34" w:rsidRDefault="005606A0" w:rsidP="00F424F7">
            <w:pPr>
              <w:spacing w:before="0" w:after="0" w:line="276" w:lineRule="auto"/>
              <w:rPr>
                <w:rFonts w:eastAsia="Times New Roman"/>
                <w:i/>
                <w:lang w:val="en-US"/>
              </w:rPr>
            </w:pPr>
            <w:r w:rsidRPr="00DD4E34">
              <w:rPr>
                <w:rFonts w:eastAsia="Times New Roman"/>
                <w:i/>
                <w:lang w:val="en-US"/>
              </w:rPr>
              <w:t>ID</w:t>
            </w:r>
          </w:p>
        </w:tc>
        <w:tc>
          <w:tcPr>
            <w:tcW w:w="5103" w:type="dxa"/>
            <w:shd w:val="clear" w:color="auto" w:fill="auto"/>
          </w:tcPr>
          <w:p w:rsidR="005606A0" w:rsidRPr="00DD4E34" w:rsidRDefault="005606A0" w:rsidP="00F424F7">
            <w:pPr>
              <w:spacing w:before="0" w:after="0" w:line="276" w:lineRule="auto"/>
              <w:rPr>
                <w:rFonts w:eastAsia="Times New Roman"/>
                <w:i/>
                <w:color w:val="8DB3E2"/>
                <w:sz w:val="18"/>
                <w:szCs w:val="18"/>
                <w:lang w:val="en-US"/>
              </w:rPr>
            </w:pPr>
          </w:p>
        </w:tc>
      </w:tr>
      <w:tr w:rsidR="005606A0" w:rsidRPr="00A158A9" w:rsidTr="00B1411D">
        <w:trPr>
          <w:trHeight w:val="360"/>
          <w:jc w:val="center"/>
        </w:trPr>
        <w:tc>
          <w:tcPr>
            <w:tcW w:w="3510" w:type="dxa"/>
            <w:shd w:val="clear" w:color="auto" w:fill="auto"/>
          </w:tcPr>
          <w:p w:rsidR="005606A0" w:rsidRPr="00DD4E34" w:rsidRDefault="00DD4E34" w:rsidP="00F424F7">
            <w:pPr>
              <w:spacing w:before="0" w:after="0" w:line="276" w:lineRule="auto"/>
              <w:rPr>
                <w:rFonts w:eastAsia="Times New Roman"/>
                <w:i/>
                <w:lang w:val="en-US"/>
              </w:rPr>
            </w:pPr>
            <w:r w:rsidRPr="00DD4E34">
              <w:rPr>
                <w:rFonts w:eastAsia="Times New Roman"/>
                <w:i/>
                <w:lang w:val="en-US"/>
              </w:rPr>
              <w:t>Obiectiv Specific</w:t>
            </w:r>
          </w:p>
        </w:tc>
        <w:tc>
          <w:tcPr>
            <w:tcW w:w="5103" w:type="dxa"/>
            <w:shd w:val="clear" w:color="auto" w:fill="auto"/>
          </w:tcPr>
          <w:p w:rsidR="005606A0" w:rsidRPr="00DD4E34" w:rsidRDefault="00FE62B0" w:rsidP="00F424F7">
            <w:pPr>
              <w:spacing w:before="0" w:after="0" w:line="276" w:lineRule="auto"/>
              <w:rPr>
                <w:rFonts w:eastAsia="Times New Roman"/>
                <w:szCs w:val="18"/>
                <w:lang w:val="fr-FR"/>
              </w:rPr>
            </w:pPr>
            <w:r>
              <w:rPr>
                <w:rFonts w:eastAsia="Times New Roman"/>
                <w:szCs w:val="18"/>
                <w:lang w:val="fr-FR"/>
              </w:rPr>
              <w:t>O implementare efectivă și eficientă a programului</w:t>
            </w:r>
          </w:p>
        </w:tc>
      </w:tr>
      <w:tr w:rsidR="005606A0" w:rsidRPr="00647004" w:rsidTr="00B1411D">
        <w:trPr>
          <w:trHeight w:val="360"/>
          <w:jc w:val="center"/>
        </w:trPr>
        <w:tc>
          <w:tcPr>
            <w:tcW w:w="3510" w:type="dxa"/>
            <w:shd w:val="clear" w:color="auto" w:fill="auto"/>
          </w:tcPr>
          <w:p w:rsidR="005606A0" w:rsidRPr="006C6828" w:rsidRDefault="00DD4E34" w:rsidP="00F424F7">
            <w:pPr>
              <w:spacing w:before="0" w:after="0" w:line="276" w:lineRule="auto"/>
              <w:rPr>
                <w:rFonts w:eastAsia="Times New Roman"/>
                <w:i/>
                <w:lang w:val="it-IT"/>
              </w:rPr>
            </w:pPr>
            <w:r w:rsidRPr="006C6828">
              <w:rPr>
                <w:rFonts w:eastAsia="Times New Roman"/>
                <w:i/>
                <w:lang w:val="it-IT"/>
              </w:rPr>
              <w:t>Rezultatele pe care statul membru caută să le obțină prin sprijinul din partea Uniunii</w:t>
            </w:r>
            <w:r>
              <w:rPr>
                <w:rStyle w:val="FootnoteReference"/>
                <w:rFonts w:eastAsia="Times New Roman"/>
                <w:i/>
                <w:lang w:val="en-US"/>
              </w:rPr>
              <w:footnoteReference w:id="14"/>
            </w:r>
          </w:p>
        </w:tc>
        <w:tc>
          <w:tcPr>
            <w:tcW w:w="5103" w:type="dxa"/>
            <w:shd w:val="clear" w:color="auto" w:fill="auto"/>
          </w:tcPr>
          <w:p w:rsidR="005606A0" w:rsidRPr="00DD4E34" w:rsidRDefault="00FE62B0" w:rsidP="00F424F7">
            <w:pPr>
              <w:spacing w:before="0" w:after="0" w:line="276" w:lineRule="auto"/>
              <w:rPr>
                <w:rFonts w:eastAsia="Times New Roman"/>
                <w:szCs w:val="18"/>
                <w:lang w:val="en-US"/>
              </w:rPr>
            </w:pPr>
            <w:r w:rsidRPr="00FE62B0">
              <w:rPr>
                <w:rFonts w:eastAsia="Times New Roman"/>
                <w:szCs w:val="18"/>
                <w:lang w:val="en-US"/>
              </w:rPr>
              <w:t>Nu este necesar (buget sub 15M EUR)</w:t>
            </w:r>
          </w:p>
        </w:tc>
      </w:tr>
    </w:tbl>
    <w:p w:rsidR="005606A0" w:rsidRPr="00647004" w:rsidRDefault="005606A0" w:rsidP="005606A0">
      <w:pPr>
        <w:spacing w:line="276" w:lineRule="auto"/>
        <w:rPr>
          <w:highlight w:val="red"/>
          <w:lang w:val="en-US"/>
        </w:rPr>
      </w:pPr>
    </w:p>
    <w:p w:rsidR="005606A0" w:rsidRPr="00FE62B0" w:rsidRDefault="005606A0" w:rsidP="00BB60A1">
      <w:pPr>
        <w:pStyle w:val="Heading2"/>
        <w:rPr>
          <w:lang w:val="fr-FR"/>
        </w:rPr>
      </w:pPr>
      <w:bookmarkStart w:id="147" w:name="_Toc394837869"/>
      <w:proofErr w:type="gramStart"/>
      <w:r w:rsidRPr="00A77C97">
        <w:rPr>
          <w:lang w:val="fr-FR"/>
        </w:rPr>
        <w:t>2.B.4</w:t>
      </w:r>
      <w:proofErr w:type="gramEnd"/>
      <w:r w:rsidRPr="00A77C97">
        <w:rPr>
          <w:lang w:val="fr-FR"/>
        </w:rPr>
        <w:t xml:space="preserve">. </w:t>
      </w:r>
      <w:r w:rsidR="00FE62B0" w:rsidRPr="00FE62B0">
        <w:rPr>
          <w:lang w:val="fr-FR"/>
        </w:rPr>
        <w:t>Indicatori de rezultat</w:t>
      </w:r>
      <w:r w:rsidR="00FE62B0">
        <w:rPr>
          <w:rStyle w:val="FootnoteReference"/>
          <w:lang w:val="en-US"/>
        </w:rPr>
        <w:footnoteReference w:id="15"/>
      </w:r>
      <w:bookmarkEnd w:id="147"/>
    </w:p>
    <w:p w:rsidR="005606A0" w:rsidRPr="00FE62B0" w:rsidRDefault="00FE62B0" w:rsidP="005606A0">
      <w:pPr>
        <w:spacing w:line="276" w:lineRule="auto"/>
        <w:rPr>
          <w:rFonts w:eastAsia="Times New Roman"/>
          <w:b/>
          <w:sz w:val="36"/>
          <w:highlight w:val="red"/>
          <w:lang w:val="fr-FR"/>
        </w:rPr>
      </w:pPr>
      <w:r>
        <w:rPr>
          <w:rFonts w:eastAsia="Times New Roman"/>
          <w:szCs w:val="18"/>
          <w:lang w:val="fr-FR"/>
        </w:rPr>
        <w:t>Nu se aplică</w:t>
      </w:r>
    </w:p>
    <w:p w:rsidR="005606A0" w:rsidRPr="00396473" w:rsidRDefault="005606A0" w:rsidP="00BB60A1">
      <w:pPr>
        <w:pStyle w:val="Heading2"/>
        <w:rPr>
          <w:lang w:val="fr-FR"/>
        </w:rPr>
      </w:pPr>
      <w:bookmarkStart w:id="148" w:name="_Toc394837870"/>
      <w:proofErr w:type="gramStart"/>
      <w:r w:rsidRPr="00396473">
        <w:rPr>
          <w:lang w:val="fr-FR"/>
        </w:rPr>
        <w:t>2.B.5</w:t>
      </w:r>
      <w:proofErr w:type="gramEnd"/>
      <w:r w:rsidRPr="00396473">
        <w:rPr>
          <w:lang w:val="fr-FR"/>
        </w:rPr>
        <w:t xml:space="preserve">. </w:t>
      </w:r>
      <w:r w:rsidR="00FE62B0" w:rsidRPr="00396473">
        <w:rPr>
          <w:lang w:val="fr-FR"/>
        </w:rPr>
        <w:t>Acțiunile care urmează să fie sprijinite și contribuția lor preconizată la obiectivele specifice (pe axă prioritară)</w:t>
      </w:r>
      <w:bookmarkEnd w:id="148"/>
    </w:p>
    <w:p w:rsidR="005606A0" w:rsidRPr="00396473" w:rsidRDefault="00FE62B0" w:rsidP="00BB60A1">
      <w:pPr>
        <w:pStyle w:val="Heading2"/>
        <w:rPr>
          <w:lang w:val="fr-FR"/>
        </w:rPr>
      </w:pPr>
      <w:bookmarkStart w:id="149" w:name="_Toc394837871"/>
      <w:proofErr w:type="gramStart"/>
      <w:r w:rsidRPr="00396473">
        <w:rPr>
          <w:lang w:val="fr-FR"/>
        </w:rPr>
        <w:t>2.B.5.1</w:t>
      </w:r>
      <w:proofErr w:type="gramEnd"/>
      <w:r w:rsidRPr="00396473">
        <w:rPr>
          <w:lang w:val="fr-FR"/>
        </w:rPr>
        <w:t>. Descrierea acțiunilor care urmează să fie sprijinite și contribuția anticipată a acestora la obiectivele specifice</w:t>
      </w:r>
      <w:bookmarkEnd w:id="149"/>
    </w:p>
    <w:tbl>
      <w:tblPr>
        <w:tblW w:w="86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5606A0" w:rsidRPr="00647004" w:rsidTr="00B1411D">
        <w:trPr>
          <w:trHeight w:val="518"/>
          <w:jc w:val="center"/>
        </w:trPr>
        <w:tc>
          <w:tcPr>
            <w:tcW w:w="2235" w:type="dxa"/>
            <w:shd w:val="clear" w:color="auto" w:fill="auto"/>
          </w:tcPr>
          <w:p w:rsidR="005606A0" w:rsidRPr="00FE62B0" w:rsidRDefault="00FE62B0" w:rsidP="00FE62B0">
            <w:pPr>
              <w:spacing w:after="240" w:line="276" w:lineRule="auto"/>
              <w:rPr>
                <w:rFonts w:eastAsia="Times New Roman"/>
                <w:i/>
                <w:color w:val="8DB3E2"/>
                <w:sz w:val="18"/>
                <w:szCs w:val="18"/>
                <w:lang w:val="en-US"/>
              </w:rPr>
            </w:pPr>
            <w:r w:rsidRPr="00FE62B0">
              <w:rPr>
                <w:rFonts w:eastAsia="Times New Roman"/>
                <w:i/>
                <w:lang w:val="en-US"/>
              </w:rPr>
              <w:t>Axa prioritară</w:t>
            </w:r>
            <w:r w:rsidR="005606A0" w:rsidRPr="00FE62B0">
              <w:rPr>
                <w:rFonts w:eastAsia="Times New Roman"/>
                <w:i/>
                <w:lang w:val="en-US"/>
              </w:rPr>
              <w:t xml:space="preserve"> 6</w:t>
            </w:r>
          </w:p>
        </w:tc>
        <w:tc>
          <w:tcPr>
            <w:tcW w:w="6443" w:type="dxa"/>
            <w:shd w:val="clear" w:color="auto" w:fill="auto"/>
          </w:tcPr>
          <w:p w:rsidR="005606A0" w:rsidRPr="00FE62B0" w:rsidRDefault="00FE62B0" w:rsidP="005606A0">
            <w:pPr>
              <w:spacing w:after="240" w:line="276" w:lineRule="auto"/>
              <w:rPr>
                <w:rFonts w:eastAsia="Times New Roman"/>
                <w:sz w:val="18"/>
                <w:szCs w:val="18"/>
                <w:lang w:val="en-US"/>
              </w:rPr>
            </w:pPr>
            <w:r>
              <w:rPr>
                <w:rFonts w:eastAsia="Times New Roman"/>
                <w:szCs w:val="18"/>
                <w:lang w:val="en-US"/>
              </w:rPr>
              <w:t>Asistență tehnică</w:t>
            </w:r>
          </w:p>
        </w:tc>
      </w:tr>
    </w:tbl>
    <w:p w:rsidR="00B9503B" w:rsidRPr="00F2516F" w:rsidRDefault="00B9503B" w:rsidP="00B9503B">
      <w:pPr>
        <w:rPr>
          <w:lang w:val="ro-RO"/>
        </w:rPr>
      </w:pPr>
      <w:r>
        <w:rPr>
          <w:lang w:val="ro-RO"/>
        </w:rPr>
        <w:t>Axa proritară Asistență</w:t>
      </w:r>
      <w:r w:rsidRPr="00F2516F">
        <w:rPr>
          <w:lang w:val="ro-RO"/>
        </w:rPr>
        <w:t xml:space="preserve"> tehnică va sprijini acțiuni care consolidează capacitatea aplicanților și beneficiarilor de a aplica pentru și de a folosi fondurile Programului, dar și acțiuni care </w:t>
      </w:r>
      <w:r w:rsidRPr="00F2516F">
        <w:rPr>
          <w:lang w:val="ro-RO"/>
        </w:rPr>
        <w:lastRenderedPageBreak/>
        <w:t xml:space="preserve">îmbunătățesc procedurile administrative, asigurând o verificare </w:t>
      </w:r>
      <w:r>
        <w:rPr>
          <w:lang w:val="ro-RO"/>
        </w:rPr>
        <w:t>adecvată a realizărilor</w:t>
      </w:r>
      <w:r w:rsidRPr="00F2516F">
        <w:rPr>
          <w:lang w:val="ro-RO"/>
        </w:rPr>
        <w:t xml:space="preserve"> imediate a</w:t>
      </w:r>
      <w:r>
        <w:rPr>
          <w:lang w:val="ro-RO"/>
        </w:rPr>
        <w:t>le</w:t>
      </w:r>
      <w:r w:rsidRPr="00F2516F">
        <w:rPr>
          <w:lang w:val="ro-RO"/>
        </w:rPr>
        <w:t xml:space="preserve"> proiectelor și rezultatelor din punct de vedere cantitativ și c</w:t>
      </w:r>
      <w:r w:rsidR="008A29E2">
        <w:rPr>
          <w:lang w:val="ro-RO"/>
        </w:rPr>
        <w:t>alitativ. Costurile cu asistența</w:t>
      </w:r>
      <w:r w:rsidRPr="00F2516F">
        <w:rPr>
          <w:lang w:val="ro-RO"/>
        </w:rPr>
        <w:t xml:space="preserve"> tehnică vor fi compuse, în principal, din activități de pregătire, management, monitorizare, evaluare, informare și control, precum și din activități de finanțare (daca e cazul) pentru întărirea  capacității administrative de implimentare. În conformitate cu articolul 6 al Regulamentului UE Nr. 1299/2013, limita fondurilor dedicate asistenței tehnice este fixată la 6% din suma totală alocată programului de cooperare</w:t>
      </w:r>
      <w:r>
        <w:rPr>
          <w:lang w:val="ro-RO"/>
        </w:rPr>
        <w:t xml:space="preserve"> de către</w:t>
      </w:r>
      <w:r w:rsidRPr="00F2516F">
        <w:rPr>
          <w:lang w:val="ro-RO"/>
        </w:rPr>
        <w:t xml:space="preserve"> FEDR.</w:t>
      </w:r>
    </w:p>
    <w:p w:rsidR="00B9503B" w:rsidRPr="00F2516F" w:rsidRDefault="00B9503B" w:rsidP="00B9503B">
      <w:pPr>
        <w:rPr>
          <w:lang w:val="ro-RO"/>
        </w:rPr>
      </w:pPr>
      <w:r w:rsidRPr="00F2516F">
        <w:rPr>
          <w:lang w:val="ro-RO"/>
        </w:rPr>
        <w:t>În plus, fondurile pentru asistență tehnică vor fi fo</w:t>
      </w:r>
      <w:r>
        <w:rPr>
          <w:lang w:val="ro-RO"/>
        </w:rPr>
        <w:t>losite pentru a pregăti modele și procese în cadrul</w:t>
      </w:r>
      <w:r w:rsidR="00F754F5">
        <w:rPr>
          <w:lang w:val="ro-RO"/>
        </w:rPr>
        <w:t xml:space="preserve"> </w:t>
      </w:r>
      <w:r>
        <w:rPr>
          <w:lang w:val="ro-RO"/>
        </w:rPr>
        <w:t>Programului, pentru gestionarea lui</w:t>
      </w:r>
      <w:r w:rsidRPr="00F2516F">
        <w:rPr>
          <w:lang w:val="ro-RO"/>
        </w:rPr>
        <w:t xml:space="preserve"> (implementare, monitorizare, evaluare, comunicare, audit) și pentru îmbunătățirea capacității administrative a organism</w:t>
      </w:r>
      <w:r>
        <w:rPr>
          <w:lang w:val="ro-RO"/>
        </w:rPr>
        <w:t>e</w:t>
      </w:r>
      <w:r w:rsidRPr="00F2516F">
        <w:rPr>
          <w:lang w:val="ro-RO"/>
        </w:rPr>
        <w:t>lor Programului și actorilor interesanți. Astfel, fondurile de Asistență Tehnică vor finanța organismele programului: Autoritatea de Management (AM), Autoritatea Națională</w:t>
      </w:r>
      <w:r>
        <w:rPr>
          <w:lang w:val="ro-RO"/>
        </w:rPr>
        <w:t xml:space="preserve"> (AN)</w:t>
      </w:r>
      <w:r w:rsidRPr="00F2516F">
        <w:rPr>
          <w:lang w:val="ro-RO"/>
        </w:rPr>
        <w:t xml:space="preserve">, Secretariatul Comun (SC), unitățile de Control de prim nivel și Autoritatea de Audit (AA). </w:t>
      </w:r>
    </w:p>
    <w:p w:rsidR="00B9503B" w:rsidRPr="00F2516F" w:rsidRDefault="00B9503B" w:rsidP="00B9503B">
      <w:pPr>
        <w:rPr>
          <w:lang w:val="ro-RO"/>
        </w:rPr>
      </w:pPr>
      <w:r w:rsidRPr="00F2516F">
        <w:rPr>
          <w:lang w:val="ro-RO"/>
        </w:rPr>
        <w:t xml:space="preserve">Acțiunile </w:t>
      </w:r>
      <w:r>
        <w:rPr>
          <w:lang w:val="ro-RO"/>
        </w:rPr>
        <w:t xml:space="preserve">semnificative </w:t>
      </w:r>
      <w:r w:rsidRPr="00F2516F">
        <w:rPr>
          <w:lang w:val="ro-RO"/>
        </w:rPr>
        <w:t>sprijinite în cadrul acestei axe prioritare sunt enumerate mai jos și fac referire la principiile desc</w:t>
      </w:r>
      <w:r>
        <w:rPr>
          <w:lang w:val="ro-RO"/>
        </w:rPr>
        <w:t>r</w:t>
      </w:r>
      <w:r w:rsidRPr="00F2516F">
        <w:rPr>
          <w:lang w:val="ro-RO"/>
        </w:rPr>
        <w:t>ise în Secțiuni</w:t>
      </w:r>
      <w:r w:rsidR="008A29E2">
        <w:rPr>
          <w:lang w:val="ro-RO"/>
        </w:rPr>
        <w:t>le 5.3 și 7 din documentul pri</w:t>
      </w:r>
      <w:r w:rsidRPr="00F2516F">
        <w:rPr>
          <w:lang w:val="ro-RO"/>
        </w:rPr>
        <w:t>vind Programul Operațional din zona transfrontalieră România – Bulgaria 2014-2020</w:t>
      </w:r>
      <w:r>
        <w:rPr>
          <w:lang w:val="ro-RO"/>
        </w:rPr>
        <w:t xml:space="preserve"> (versiunea în limba engleză)</w:t>
      </w:r>
      <w:r w:rsidRPr="00F2516F">
        <w:rPr>
          <w:lang w:val="ro-RO"/>
        </w:rPr>
        <w:t xml:space="preserve">. </w:t>
      </w:r>
    </w:p>
    <w:p w:rsidR="00B9503B" w:rsidRPr="00F2516F" w:rsidRDefault="00B9503B" w:rsidP="00EC1DA9">
      <w:pPr>
        <w:pStyle w:val="ListParagraph"/>
        <w:numPr>
          <w:ilvl w:val="0"/>
          <w:numId w:val="8"/>
        </w:numPr>
        <w:rPr>
          <w:b/>
          <w:lang w:val="ro-RO"/>
        </w:rPr>
      </w:pPr>
      <w:r w:rsidRPr="00F2516F">
        <w:rPr>
          <w:b/>
          <w:lang w:val="ro-RO"/>
        </w:rPr>
        <w:t>Management general</w:t>
      </w:r>
    </w:p>
    <w:p w:rsidR="00B9503B" w:rsidRPr="00F2516F" w:rsidRDefault="00B9503B" w:rsidP="00EC1DA9">
      <w:pPr>
        <w:pStyle w:val="ListParagraph"/>
        <w:numPr>
          <w:ilvl w:val="0"/>
          <w:numId w:val="27"/>
        </w:numPr>
        <w:rPr>
          <w:b/>
          <w:lang w:val="ro-RO"/>
        </w:rPr>
      </w:pPr>
      <w:r>
        <w:rPr>
          <w:lang w:val="ro-RO"/>
        </w:rPr>
        <w:t>Sprijinirea organisme</w:t>
      </w:r>
      <w:r w:rsidRPr="00F2516F">
        <w:rPr>
          <w:lang w:val="ro-RO"/>
        </w:rPr>
        <w:t>lor de implementare și gestionare continuă a programului; sprijinirea activităților Comitetului de Monitorizare, Autorității Naționale, funcționării altor comitete ale Programului (organizarea întâlnirilor, comunicar</w:t>
      </w:r>
      <w:r>
        <w:rPr>
          <w:lang w:val="ro-RO"/>
        </w:rPr>
        <w:t>ea</w:t>
      </w:r>
      <w:r w:rsidRPr="00F2516F">
        <w:rPr>
          <w:lang w:val="ro-RO"/>
        </w:rPr>
        <w:t xml:space="preserve"> costurilor materiale, etc. ), </w:t>
      </w:r>
    </w:p>
    <w:p w:rsidR="00B9503B" w:rsidRPr="00F2516F" w:rsidRDefault="00B9503B" w:rsidP="00EC1DA9">
      <w:pPr>
        <w:pStyle w:val="ListParagraph"/>
        <w:numPr>
          <w:ilvl w:val="0"/>
          <w:numId w:val="27"/>
        </w:numPr>
        <w:rPr>
          <w:lang w:val="ro-RO"/>
        </w:rPr>
      </w:pPr>
      <w:r w:rsidRPr="00F2516F">
        <w:rPr>
          <w:lang w:val="ro-RO"/>
        </w:rPr>
        <w:t>Dezvoltarea unui sistem electronic de gestionare a informațiilor (PROETC),</w:t>
      </w:r>
    </w:p>
    <w:p w:rsidR="00B9503B" w:rsidRPr="00F2516F" w:rsidRDefault="00B9503B" w:rsidP="00EC1DA9">
      <w:pPr>
        <w:pStyle w:val="ListParagraph"/>
        <w:numPr>
          <w:ilvl w:val="0"/>
          <w:numId w:val="27"/>
        </w:numPr>
        <w:rPr>
          <w:lang w:val="ro-RO"/>
        </w:rPr>
      </w:pPr>
      <w:r w:rsidRPr="00F2516F">
        <w:rPr>
          <w:lang w:val="ro-RO"/>
        </w:rPr>
        <w:t>Elaborarea studiilor, rapoartelor și cercetărilor privind subiectele strategice ce au legătură cu programul. Aceste documente vor contribui la sustenabilitatea și integrarea rezultatelor și reușitelor în politici, strategii și investiții de interes public, inc</w:t>
      </w:r>
      <w:r>
        <w:rPr>
          <w:lang w:val="ro-RO"/>
        </w:rPr>
        <w:t>lusiv prin folosirea experților, dacă este cazul,</w:t>
      </w:r>
    </w:p>
    <w:p w:rsidR="00B9503B" w:rsidRPr="00F2516F" w:rsidRDefault="00B9503B" w:rsidP="00EC1DA9">
      <w:pPr>
        <w:pStyle w:val="ListParagraph"/>
        <w:numPr>
          <w:ilvl w:val="0"/>
          <w:numId w:val="27"/>
        </w:numPr>
        <w:rPr>
          <w:lang w:val="ro-RO"/>
        </w:rPr>
      </w:pPr>
      <w:r w:rsidRPr="00F2516F">
        <w:rPr>
          <w:lang w:val="ro-RO"/>
        </w:rPr>
        <w:t>Elaborarea și implementarea cererilor de propuneri și documentelor de orientare</w:t>
      </w:r>
      <w:r>
        <w:rPr>
          <w:lang w:val="ro-RO"/>
        </w:rPr>
        <w:t>/ghidare</w:t>
      </w:r>
      <w:r w:rsidRPr="00F2516F">
        <w:rPr>
          <w:lang w:val="ro-RO"/>
        </w:rPr>
        <w:t>.</w:t>
      </w:r>
    </w:p>
    <w:p w:rsidR="00B9503B" w:rsidRPr="00F2516F" w:rsidRDefault="00B9503B" w:rsidP="00EC1DA9">
      <w:pPr>
        <w:numPr>
          <w:ilvl w:val="0"/>
          <w:numId w:val="8"/>
        </w:numPr>
        <w:spacing w:before="60" w:after="0"/>
        <w:rPr>
          <w:rFonts w:eastAsia="Times New Roman"/>
          <w:b/>
          <w:lang w:val="ro-RO"/>
        </w:rPr>
      </w:pPr>
      <w:r w:rsidRPr="00F2516F">
        <w:rPr>
          <w:rFonts w:eastAsia="Times New Roman"/>
          <w:b/>
          <w:lang w:val="ro-RO"/>
        </w:rPr>
        <w:t>Monitorizare, control și audit</w:t>
      </w:r>
    </w:p>
    <w:p w:rsidR="00B9503B" w:rsidRPr="00F2516F" w:rsidRDefault="00B9503B" w:rsidP="00B9503B">
      <w:pPr>
        <w:pStyle w:val="ListParagraph"/>
        <w:rPr>
          <w:lang w:val="ro-RO"/>
        </w:rPr>
      </w:pPr>
      <w:r w:rsidRPr="00F2516F">
        <w:rPr>
          <w:lang w:val="ro-RO"/>
        </w:rPr>
        <w:t>Implementarea procedurilor adecvate pentru e</w:t>
      </w:r>
      <w:r>
        <w:rPr>
          <w:lang w:val="ro-RO"/>
        </w:rPr>
        <w:t>valuarea calității, monitorizarea și controlul</w:t>
      </w:r>
      <w:r w:rsidRPr="00F2516F">
        <w:rPr>
          <w:lang w:val="ro-RO"/>
        </w:rPr>
        <w:t xml:space="preserve"> operațiunilor ce sunt desfășurate în cadrul programului de cooperare, implicând experți externi precum auditorii de prim nivel, unde este necesar, și contribuția la reducerea </w:t>
      </w:r>
      <w:r w:rsidR="008A29E2">
        <w:rPr>
          <w:lang w:val="ro-RO"/>
        </w:rPr>
        <w:t>sarcinilor</w:t>
      </w:r>
      <w:r w:rsidRPr="00F2516F">
        <w:rPr>
          <w:lang w:val="ro-RO"/>
        </w:rPr>
        <w:t xml:space="preserve"> administrative a beneficiarilor,</w:t>
      </w:r>
    </w:p>
    <w:p w:rsidR="00B9503B" w:rsidRPr="00F2516F" w:rsidRDefault="00B9503B" w:rsidP="00B9503B">
      <w:pPr>
        <w:pStyle w:val="ListParagraph"/>
        <w:rPr>
          <w:lang w:val="ro-RO"/>
        </w:rPr>
      </w:pPr>
      <w:r>
        <w:rPr>
          <w:lang w:val="ro-RO"/>
        </w:rPr>
        <w:t>Organizar</w:t>
      </w:r>
      <w:r w:rsidRPr="00F2516F">
        <w:rPr>
          <w:lang w:val="ro-RO"/>
        </w:rPr>
        <w:t>e</w:t>
      </w:r>
      <w:r>
        <w:rPr>
          <w:lang w:val="ro-RO"/>
        </w:rPr>
        <w:t>a</w:t>
      </w:r>
      <w:r w:rsidRPr="00F2516F">
        <w:rPr>
          <w:lang w:val="ro-RO"/>
        </w:rPr>
        <w:t xml:space="preserve"> și implementarea activităților de audit cu privire la sistemul de control și gestionare al Programului și operațiunilor</w:t>
      </w:r>
      <w:r>
        <w:rPr>
          <w:lang w:val="ro-RO"/>
        </w:rPr>
        <w:t xml:space="preserve"> din cadrul său</w:t>
      </w:r>
      <w:r w:rsidRPr="00F2516F">
        <w:rPr>
          <w:lang w:val="ro-RO"/>
        </w:rPr>
        <w:t>.</w:t>
      </w:r>
    </w:p>
    <w:p w:rsidR="00B9503B" w:rsidRPr="00F2516F" w:rsidRDefault="00B9503B" w:rsidP="00EC1DA9">
      <w:pPr>
        <w:numPr>
          <w:ilvl w:val="0"/>
          <w:numId w:val="8"/>
        </w:numPr>
        <w:spacing w:before="60" w:after="0"/>
        <w:rPr>
          <w:rFonts w:eastAsia="Times New Roman"/>
          <w:b/>
          <w:lang w:val="ro-RO"/>
        </w:rPr>
      </w:pPr>
      <w:r w:rsidRPr="00F2516F">
        <w:rPr>
          <w:rFonts w:eastAsia="Times New Roman"/>
          <w:b/>
          <w:lang w:val="ro-RO"/>
        </w:rPr>
        <w:t>Comunicare și informații</w:t>
      </w:r>
    </w:p>
    <w:p w:rsidR="00B9503B" w:rsidRPr="00F2516F" w:rsidRDefault="00B9503B" w:rsidP="00B9503B">
      <w:pPr>
        <w:pStyle w:val="ListParagraph"/>
        <w:rPr>
          <w:lang w:val="ro-RO"/>
        </w:rPr>
      </w:pPr>
      <w:r w:rsidRPr="00F2516F">
        <w:rPr>
          <w:lang w:val="ro-RO"/>
        </w:rPr>
        <w:t xml:space="preserve">Implementarea activităților de informare în masă cu privire la Program și la proiectele din cadrul său, precum și sprijinirea activităților legate de comunicare și publicitate prin elaborarea și implementarea unei strategii de </w:t>
      </w:r>
      <w:r>
        <w:rPr>
          <w:lang w:val="ro-RO"/>
        </w:rPr>
        <w:t>comunicare a Programului și de</w:t>
      </w:r>
      <w:r w:rsidRPr="00F2516F">
        <w:rPr>
          <w:lang w:val="ro-RO"/>
        </w:rPr>
        <w:t xml:space="preserve"> activități </w:t>
      </w:r>
      <w:r>
        <w:rPr>
          <w:lang w:val="ro-RO"/>
        </w:rPr>
        <w:t xml:space="preserve">de sprijin </w:t>
      </w:r>
      <w:r w:rsidR="00F754F5">
        <w:rPr>
          <w:lang w:val="ro-RO"/>
        </w:rPr>
        <w:t>similare</w:t>
      </w:r>
    </w:p>
    <w:p w:rsidR="00B9503B" w:rsidRPr="00F2516F" w:rsidRDefault="00B9503B" w:rsidP="00B9503B">
      <w:pPr>
        <w:pStyle w:val="ListParagraph"/>
        <w:rPr>
          <w:lang w:val="ro-RO"/>
        </w:rPr>
      </w:pPr>
      <w:r w:rsidRPr="00F2516F">
        <w:rPr>
          <w:lang w:val="ro-RO"/>
        </w:rPr>
        <w:t xml:space="preserve">Sprijinirea identificării și întăririi rețelelor de coordonare și contactelor între reprezentanții altor programe co-finanțate de către UE prin AM, AN și SC (SUERD, programele </w:t>
      </w:r>
      <w:r>
        <w:rPr>
          <w:lang w:val="ro-RO"/>
        </w:rPr>
        <w:t>CTE</w:t>
      </w:r>
      <w:r w:rsidRPr="00F2516F">
        <w:rPr>
          <w:lang w:val="ro-RO"/>
        </w:rPr>
        <w:t xml:space="preserve"> din țările vecine, programe naționale, etc.),</w:t>
      </w:r>
    </w:p>
    <w:p w:rsidR="00B9503B" w:rsidRPr="00F2516F" w:rsidRDefault="00B9503B" w:rsidP="00B9503B">
      <w:pPr>
        <w:pStyle w:val="ListParagraph"/>
        <w:rPr>
          <w:lang w:val="ro-RO"/>
        </w:rPr>
      </w:pPr>
      <w:r w:rsidRPr="00F2516F">
        <w:rPr>
          <w:lang w:val="ro-RO"/>
        </w:rPr>
        <w:lastRenderedPageBreak/>
        <w:t>Elaborarea d</w:t>
      </w:r>
      <w:r>
        <w:rPr>
          <w:lang w:val="ro-RO"/>
        </w:rPr>
        <w:t>e documente de informare</w:t>
      </w:r>
      <w:r w:rsidRPr="00F2516F">
        <w:rPr>
          <w:lang w:val="ro-RO"/>
        </w:rPr>
        <w:t xml:space="preserve"> a beneficiarilor, pentru a-i ghida în activitățile de i</w:t>
      </w:r>
      <w:r>
        <w:rPr>
          <w:lang w:val="ro-RO"/>
        </w:rPr>
        <w:t>mplementare, evaluare, control</w:t>
      </w:r>
      <w:r w:rsidRPr="00F2516F">
        <w:rPr>
          <w:lang w:val="ro-RO"/>
        </w:rPr>
        <w:t xml:space="preserve"> și comunicare ale operațiunilor aprobate,</w:t>
      </w:r>
    </w:p>
    <w:p w:rsidR="00B9503B" w:rsidRPr="00F2516F" w:rsidRDefault="00B9503B" w:rsidP="00B9503B">
      <w:pPr>
        <w:pStyle w:val="ListParagraph"/>
        <w:rPr>
          <w:lang w:val="ro-RO"/>
        </w:rPr>
      </w:pPr>
      <w:r w:rsidRPr="00F2516F">
        <w:rPr>
          <w:lang w:val="ro-RO"/>
        </w:rPr>
        <w:t>Organizarea de seminarii, sesiuni de formare și evenimente de informare la nivel național și transfr</w:t>
      </w:r>
      <w:r>
        <w:rPr>
          <w:lang w:val="ro-RO"/>
        </w:rPr>
        <w:t>o</w:t>
      </w:r>
      <w:r w:rsidRPr="00F2516F">
        <w:rPr>
          <w:lang w:val="ro-RO"/>
        </w:rPr>
        <w:t>n</w:t>
      </w:r>
      <w:r>
        <w:rPr>
          <w:lang w:val="ro-RO"/>
        </w:rPr>
        <w:t>t</w:t>
      </w:r>
      <w:r w:rsidRPr="00F2516F">
        <w:rPr>
          <w:lang w:val="ro-RO"/>
        </w:rPr>
        <w:t>alier (detaliile vor fi elaborate în strate</w:t>
      </w:r>
      <w:r>
        <w:rPr>
          <w:lang w:val="ro-RO"/>
        </w:rPr>
        <w:t>g</w:t>
      </w:r>
      <w:r w:rsidRPr="00F2516F">
        <w:rPr>
          <w:lang w:val="ro-RO"/>
        </w:rPr>
        <w:t>ia de comunicare) pentru a sprijini dezvoltarea și implementarea proiectelor.</w:t>
      </w:r>
    </w:p>
    <w:p w:rsidR="00B9503B" w:rsidRPr="00F2516F" w:rsidRDefault="00B9503B" w:rsidP="00EC1DA9">
      <w:pPr>
        <w:pStyle w:val="ListParagraph"/>
        <w:numPr>
          <w:ilvl w:val="0"/>
          <w:numId w:val="8"/>
        </w:numPr>
        <w:rPr>
          <w:b/>
          <w:lang w:val="ro-RO"/>
        </w:rPr>
      </w:pPr>
      <w:r w:rsidRPr="00F2516F">
        <w:rPr>
          <w:b/>
          <w:lang w:val="ro-RO"/>
        </w:rPr>
        <w:t>Evaluare</w:t>
      </w:r>
    </w:p>
    <w:p w:rsidR="00B9503B" w:rsidRDefault="00B9503B" w:rsidP="00B9503B">
      <w:pPr>
        <w:pStyle w:val="ListParagraph"/>
        <w:rPr>
          <w:lang w:val="ro-RO"/>
        </w:rPr>
      </w:pPr>
      <w:r w:rsidRPr="00F2516F">
        <w:rPr>
          <w:lang w:val="ro-RO"/>
        </w:rPr>
        <w:t xml:space="preserve">Evaluarea implementării programului cu privire la atingerea obiectivelor. </w:t>
      </w:r>
      <w:r>
        <w:rPr>
          <w:lang w:val="ro-RO"/>
        </w:rPr>
        <w:t>Metodologia folosită va fi generală și va include activități precum evaluarea datelor financiare și cu pri</w:t>
      </w:r>
      <w:r w:rsidR="008A29E2">
        <w:rPr>
          <w:lang w:val="ro-RO"/>
        </w:rPr>
        <w:t>vire la indicatori și jaloanele</w:t>
      </w:r>
      <w:r>
        <w:rPr>
          <w:lang w:val="ro-RO"/>
        </w:rPr>
        <w:t xml:space="preserve"> de timp, elaborarea rapoartelor intermediare, ad-hoc, ex-ante pentru perioada post 2020 și raportarea către Comitetul de Monitorizare și către Comisia Europeană. În acest scop, un plan de evaluare poate fi elaborat în conformitate cu litera regulamentelor și prin contractarea de experți externi, dacă este necesar.</w:t>
      </w:r>
    </w:p>
    <w:p w:rsidR="00B9503B" w:rsidRDefault="00B9503B" w:rsidP="00B9503B">
      <w:pPr>
        <w:rPr>
          <w:lang w:val="ro-RO"/>
        </w:rPr>
      </w:pPr>
      <w:r>
        <w:rPr>
          <w:lang w:val="ro-RO"/>
        </w:rPr>
        <w:t xml:space="preserve">Acțiunile privind asistența tehnică vor fi implementate de către toate autoritățile implicate în managementul Programului, enumerate în secțiunea IV a rezumatului Programului Operațional din zona transfrontalieră România – Bulgaria 2014-2020. </w:t>
      </w:r>
    </w:p>
    <w:p w:rsidR="005606A0" w:rsidRPr="00B9503B" w:rsidRDefault="005606A0" w:rsidP="00CA0EDF">
      <w:pPr>
        <w:pStyle w:val="Heading2"/>
        <w:rPr>
          <w:lang w:val="fr-FR"/>
        </w:rPr>
      </w:pPr>
      <w:bookmarkStart w:id="150" w:name="_Toc394837872"/>
      <w:proofErr w:type="gramStart"/>
      <w:r w:rsidRPr="00B9503B">
        <w:rPr>
          <w:lang w:val="fr-FR"/>
        </w:rPr>
        <w:t>2.B.5.2</w:t>
      </w:r>
      <w:r w:rsidR="00B9503B" w:rsidRPr="00B9503B">
        <w:rPr>
          <w:lang w:val="fr-FR"/>
        </w:rPr>
        <w:t>Indicatorii</w:t>
      </w:r>
      <w:proofErr w:type="gramEnd"/>
      <w:r w:rsidR="00B9503B" w:rsidRPr="00B9503B">
        <w:rPr>
          <w:lang w:val="fr-FR"/>
        </w:rPr>
        <w:t xml:space="preserve"> de realizare a căror contribuție la rezultate este anticipată (pe axă prioritară)</w:t>
      </w:r>
      <w:bookmarkEnd w:id="150"/>
    </w:p>
    <w:p w:rsidR="005606A0" w:rsidRPr="00B9503B" w:rsidRDefault="00B9503B" w:rsidP="00CA0EDF">
      <w:pPr>
        <w:pStyle w:val="Heading2"/>
        <w:rPr>
          <w:lang w:val="en-US"/>
        </w:rPr>
      </w:pPr>
      <w:bookmarkStart w:id="151" w:name="_Toc394837873"/>
      <w:r>
        <w:rPr>
          <w:lang w:val="en-US"/>
        </w:rPr>
        <w:t>Tabelul</w:t>
      </w:r>
      <w:r w:rsidR="005606A0" w:rsidRPr="00B9503B">
        <w:rPr>
          <w:lang w:val="en-US"/>
        </w:rPr>
        <w:t xml:space="preserve"> 11: </w:t>
      </w:r>
      <w:r w:rsidRPr="00B9503B">
        <w:rPr>
          <w:lang w:val="en-US"/>
        </w:rPr>
        <w:t>Indicatorii de realizare</w:t>
      </w:r>
      <w:bookmarkEnd w:id="15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92"/>
        <w:gridCol w:w="2459"/>
        <w:gridCol w:w="1601"/>
        <w:gridCol w:w="1647"/>
        <w:gridCol w:w="1787"/>
      </w:tblGrid>
      <w:tr w:rsidR="00B9503B" w:rsidRPr="00F2516F" w:rsidTr="00B9503B">
        <w:trPr>
          <w:trHeight w:val="358"/>
          <w:jc w:val="center"/>
        </w:trPr>
        <w:tc>
          <w:tcPr>
            <w:tcW w:w="1792" w:type="dxa"/>
          </w:tcPr>
          <w:p w:rsidR="00B9503B" w:rsidRPr="00F2516F" w:rsidRDefault="00B9503B" w:rsidP="00B9503B">
            <w:pPr>
              <w:spacing w:before="0" w:after="0"/>
              <w:ind w:left="283" w:hanging="283"/>
              <w:jc w:val="left"/>
              <w:rPr>
                <w:rFonts w:eastAsia="Times New Roman"/>
                <w:b/>
                <w:sz w:val="20"/>
                <w:lang w:val="ro-RO"/>
              </w:rPr>
            </w:pPr>
            <w:r w:rsidRPr="00F2516F">
              <w:rPr>
                <w:rFonts w:eastAsia="Times New Roman"/>
                <w:b/>
                <w:sz w:val="20"/>
                <w:lang w:val="ro-RO"/>
              </w:rPr>
              <w:t>ID</w:t>
            </w:r>
          </w:p>
        </w:tc>
        <w:tc>
          <w:tcPr>
            <w:tcW w:w="2459" w:type="dxa"/>
            <w:shd w:val="clear" w:color="auto" w:fill="auto"/>
          </w:tcPr>
          <w:p w:rsidR="00B9503B" w:rsidRPr="00F2516F" w:rsidRDefault="00B9503B" w:rsidP="00B9503B">
            <w:pPr>
              <w:spacing w:before="0" w:after="0"/>
              <w:ind w:left="283" w:hanging="283"/>
              <w:jc w:val="left"/>
              <w:rPr>
                <w:rFonts w:eastAsia="Times New Roman"/>
                <w:b/>
                <w:sz w:val="20"/>
                <w:lang w:val="ro-RO"/>
              </w:rPr>
            </w:pPr>
            <w:r w:rsidRPr="00F2516F">
              <w:rPr>
                <w:rFonts w:eastAsia="Times New Roman"/>
                <w:b/>
                <w:sz w:val="20"/>
                <w:lang w:val="ro-RO"/>
              </w:rPr>
              <w:t xml:space="preserve">Indicator </w:t>
            </w:r>
          </w:p>
        </w:tc>
        <w:tc>
          <w:tcPr>
            <w:tcW w:w="1601" w:type="dxa"/>
            <w:shd w:val="clear" w:color="auto" w:fill="auto"/>
          </w:tcPr>
          <w:p w:rsidR="00B9503B" w:rsidRPr="00F2516F" w:rsidRDefault="00B9503B" w:rsidP="00B9503B">
            <w:pPr>
              <w:spacing w:before="0" w:after="0"/>
              <w:jc w:val="left"/>
              <w:rPr>
                <w:rFonts w:eastAsia="Times New Roman"/>
                <w:b/>
                <w:sz w:val="20"/>
                <w:lang w:val="ro-RO"/>
              </w:rPr>
            </w:pPr>
            <w:r>
              <w:rPr>
                <w:rFonts w:eastAsia="Times New Roman"/>
                <w:b/>
                <w:sz w:val="20"/>
                <w:lang w:val="ro-RO"/>
              </w:rPr>
              <w:t>Unitate de Măsură</w:t>
            </w:r>
          </w:p>
        </w:tc>
        <w:tc>
          <w:tcPr>
            <w:tcW w:w="1647" w:type="dxa"/>
            <w:shd w:val="clear" w:color="auto" w:fill="auto"/>
          </w:tcPr>
          <w:p w:rsidR="00B9503B" w:rsidRPr="00F2516F" w:rsidRDefault="00B9503B" w:rsidP="00B9503B">
            <w:pPr>
              <w:spacing w:before="0" w:after="0"/>
              <w:jc w:val="left"/>
              <w:rPr>
                <w:rFonts w:eastAsia="Times New Roman"/>
                <w:b/>
                <w:sz w:val="20"/>
                <w:lang w:val="ro-RO"/>
              </w:rPr>
            </w:pPr>
            <w:r>
              <w:rPr>
                <w:rFonts w:eastAsia="Times New Roman"/>
                <w:b/>
                <w:sz w:val="20"/>
                <w:lang w:val="ro-RO"/>
              </w:rPr>
              <w:t>Valoare țintă</w:t>
            </w:r>
            <w:r w:rsidRPr="00F2516F">
              <w:rPr>
                <w:rFonts w:eastAsia="Times New Roman"/>
                <w:b/>
                <w:sz w:val="20"/>
                <w:lang w:val="ro-RO"/>
              </w:rPr>
              <w:t xml:space="preserve"> (2023)</w:t>
            </w:r>
          </w:p>
          <w:p w:rsidR="00B9503B" w:rsidRPr="00F2516F" w:rsidRDefault="00B9503B" w:rsidP="00B9503B">
            <w:pPr>
              <w:spacing w:before="0" w:after="0"/>
              <w:jc w:val="left"/>
              <w:rPr>
                <w:rFonts w:eastAsia="Times New Roman"/>
                <w:b/>
                <w:sz w:val="20"/>
                <w:lang w:val="ro-RO"/>
              </w:rPr>
            </w:pPr>
            <w:r>
              <w:rPr>
                <w:rFonts w:eastAsia="Times New Roman"/>
                <w:b/>
                <w:sz w:val="20"/>
                <w:lang w:val="ro-RO"/>
              </w:rPr>
              <w:t>(opți</w:t>
            </w:r>
            <w:r w:rsidRPr="00F2516F">
              <w:rPr>
                <w:rFonts w:eastAsia="Times New Roman"/>
                <w:b/>
                <w:sz w:val="20"/>
                <w:lang w:val="ro-RO"/>
              </w:rPr>
              <w:t>onal)</w:t>
            </w:r>
          </w:p>
        </w:tc>
        <w:tc>
          <w:tcPr>
            <w:tcW w:w="1787" w:type="dxa"/>
            <w:shd w:val="clear" w:color="auto" w:fill="auto"/>
          </w:tcPr>
          <w:p w:rsidR="00B9503B" w:rsidRPr="00F2516F" w:rsidRDefault="00B9503B" w:rsidP="00B9503B">
            <w:pPr>
              <w:spacing w:before="0" w:after="0"/>
              <w:jc w:val="left"/>
              <w:rPr>
                <w:rFonts w:eastAsia="Times New Roman"/>
                <w:b/>
                <w:sz w:val="20"/>
                <w:lang w:val="ro-RO"/>
              </w:rPr>
            </w:pPr>
            <w:r w:rsidRPr="00B9503B">
              <w:rPr>
                <w:rFonts w:eastAsia="Times New Roman"/>
                <w:b/>
                <w:sz w:val="20"/>
                <w:lang w:val="ro-RO"/>
              </w:rPr>
              <w:t>Sursa datelor</w:t>
            </w:r>
          </w:p>
        </w:tc>
      </w:tr>
      <w:tr w:rsidR="00B9503B" w:rsidRPr="00A77C97" w:rsidTr="00B9503B">
        <w:trPr>
          <w:trHeight w:val="664"/>
          <w:jc w:val="center"/>
        </w:trPr>
        <w:tc>
          <w:tcPr>
            <w:tcW w:w="1792" w:type="dxa"/>
          </w:tcPr>
          <w:p w:rsidR="00B9503B" w:rsidRPr="00B9503B" w:rsidRDefault="000559DC" w:rsidP="00B9503B">
            <w:pPr>
              <w:spacing w:before="0" w:after="0"/>
              <w:jc w:val="left"/>
              <w:rPr>
                <w:rFonts w:eastAsia="Times New Roman"/>
                <w:b/>
                <w:sz w:val="22"/>
                <w:szCs w:val="22"/>
                <w:lang w:val="ro-RO"/>
              </w:rPr>
            </w:pPr>
            <w:r>
              <w:rPr>
                <w:rFonts w:eastAsia="Times New Roman"/>
                <w:b/>
                <w:sz w:val="22"/>
                <w:szCs w:val="22"/>
                <w:lang w:val="ro-RO"/>
              </w:rPr>
              <w:t>TA 6.1</w:t>
            </w:r>
          </w:p>
        </w:tc>
        <w:tc>
          <w:tcPr>
            <w:tcW w:w="2459" w:type="dxa"/>
            <w:shd w:val="clear" w:color="auto" w:fill="auto"/>
          </w:tcPr>
          <w:p w:rsidR="00B9503B" w:rsidRPr="00B9503B" w:rsidRDefault="00B9503B" w:rsidP="00B9503B">
            <w:pPr>
              <w:spacing w:before="0" w:after="0"/>
              <w:jc w:val="left"/>
              <w:rPr>
                <w:rFonts w:eastAsia="Times New Roman"/>
                <w:b/>
                <w:sz w:val="22"/>
                <w:szCs w:val="22"/>
                <w:lang w:val="ro-RO"/>
              </w:rPr>
            </w:pPr>
            <w:r w:rsidRPr="00B9503B">
              <w:rPr>
                <w:rFonts w:eastAsia="Times New Roman"/>
                <w:sz w:val="22"/>
                <w:szCs w:val="22"/>
                <w:lang w:val="ro-RO"/>
              </w:rPr>
              <w:t>Nr. de evaluări a Programului efectuate</w:t>
            </w:r>
          </w:p>
        </w:tc>
        <w:tc>
          <w:tcPr>
            <w:tcW w:w="1601" w:type="dxa"/>
            <w:shd w:val="clear" w:color="auto" w:fill="auto"/>
          </w:tcPr>
          <w:p w:rsidR="00B9503B" w:rsidRPr="00B9503B" w:rsidRDefault="00B9503B" w:rsidP="00B9503B">
            <w:pPr>
              <w:spacing w:before="0" w:after="0"/>
              <w:jc w:val="left"/>
              <w:rPr>
                <w:rFonts w:eastAsia="Times New Roman"/>
                <w:b/>
                <w:sz w:val="22"/>
                <w:szCs w:val="22"/>
                <w:lang w:val="ro-RO"/>
              </w:rPr>
            </w:pPr>
            <w:r w:rsidRPr="00B9503B">
              <w:rPr>
                <w:rFonts w:eastAsia="Times New Roman"/>
                <w:sz w:val="22"/>
                <w:szCs w:val="22"/>
                <w:lang w:val="ro-RO"/>
              </w:rPr>
              <w:t>n</w:t>
            </w:r>
            <w:r w:rsidR="000559DC">
              <w:rPr>
                <w:rFonts w:eastAsia="Times New Roman"/>
                <w:sz w:val="22"/>
                <w:szCs w:val="22"/>
                <w:lang w:val="ro-RO"/>
              </w:rPr>
              <w:t>u</w:t>
            </w:r>
            <w:r w:rsidRPr="00B9503B">
              <w:rPr>
                <w:rFonts w:eastAsia="Times New Roman"/>
                <w:sz w:val="22"/>
                <w:szCs w:val="22"/>
                <w:lang w:val="ro-RO"/>
              </w:rPr>
              <w:t>r</w:t>
            </w:r>
            <w:r w:rsidR="000559DC">
              <w:rPr>
                <w:rFonts w:eastAsia="Times New Roman"/>
                <w:sz w:val="22"/>
                <w:szCs w:val="22"/>
                <w:lang w:val="ro-RO"/>
              </w:rPr>
              <w:t>măr</w:t>
            </w:r>
          </w:p>
        </w:tc>
        <w:tc>
          <w:tcPr>
            <w:tcW w:w="1647" w:type="dxa"/>
            <w:shd w:val="clear" w:color="auto" w:fill="auto"/>
          </w:tcPr>
          <w:p w:rsidR="00B9503B" w:rsidRPr="00B9503B" w:rsidRDefault="00B9503B" w:rsidP="00B9503B">
            <w:pPr>
              <w:spacing w:before="0" w:after="0"/>
              <w:jc w:val="left"/>
              <w:rPr>
                <w:rFonts w:eastAsia="Times New Roman"/>
                <w:b/>
                <w:sz w:val="22"/>
                <w:szCs w:val="22"/>
                <w:lang w:val="ro-RO"/>
              </w:rPr>
            </w:pPr>
          </w:p>
        </w:tc>
        <w:tc>
          <w:tcPr>
            <w:tcW w:w="1787" w:type="dxa"/>
            <w:shd w:val="clear" w:color="auto" w:fill="auto"/>
          </w:tcPr>
          <w:p w:rsidR="00B9503B" w:rsidRPr="00B9503B" w:rsidRDefault="00B9503B" w:rsidP="00B9503B">
            <w:pPr>
              <w:spacing w:before="0" w:after="0"/>
              <w:jc w:val="left"/>
              <w:rPr>
                <w:rFonts w:eastAsia="Times New Roman"/>
                <w:b/>
                <w:sz w:val="22"/>
                <w:szCs w:val="22"/>
                <w:lang w:val="ro-RO"/>
              </w:rPr>
            </w:pPr>
            <w:r w:rsidRPr="00B9503B">
              <w:rPr>
                <w:rFonts w:eastAsia="Times New Roman"/>
                <w:sz w:val="22"/>
                <w:szCs w:val="22"/>
                <w:lang w:val="ro-RO"/>
              </w:rPr>
              <w:t>Plan de evaluări, rapoarte de evaluare, observații, etc.</w:t>
            </w:r>
          </w:p>
        </w:tc>
      </w:tr>
      <w:tr w:rsidR="000559DC" w:rsidRPr="00B9503B" w:rsidTr="00B9503B">
        <w:trPr>
          <w:trHeight w:val="79"/>
          <w:jc w:val="center"/>
        </w:trPr>
        <w:tc>
          <w:tcPr>
            <w:tcW w:w="1792" w:type="dxa"/>
          </w:tcPr>
          <w:p w:rsidR="000559DC" w:rsidRPr="00B9503B" w:rsidRDefault="000559DC" w:rsidP="00B9503B">
            <w:pPr>
              <w:spacing w:before="0" w:after="0"/>
              <w:jc w:val="left"/>
              <w:rPr>
                <w:rFonts w:eastAsia="Times New Roman"/>
                <w:i/>
                <w:color w:val="8DB3E2"/>
                <w:sz w:val="22"/>
                <w:szCs w:val="22"/>
                <w:lang w:val="ro-RO"/>
              </w:rPr>
            </w:pPr>
            <w:r>
              <w:rPr>
                <w:rFonts w:eastAsia="Times New Roman"/>
                <w:b/>
                <w:sz w:val="22"/>
                <w:szCs w:val="22"/>
                <w:lang w:val="ro-RO"/>
              </w:rPr>
              <w:t>TA 6.2</w:t>
            </w:r>
          </w:p>
        </w:tc>
        <w:tc>
          <w:tcPr>
            <w:tcW w:w="2459" w:type="dxa"/>
            <w:shd w:val="clear" w:color="auto" w:fill="auto"/>
          </w:tcPr>
          <w:p w:rsidR="000559DC" w:rsidRPr="00B9503B" w:rsidRDefault="000559DC" w:rsidP="00B9503B">
            <w:pPr>
              <w:spacing w:before="0" w:after="0"/>
              <w:jc w:val="left"/>
              <w:rPr>
                <w:rFonts w:eastAsia="Times New Roman"/>
                <w:sz w:val="22"/>
                <w:szCs w:val="22"/>
                <w:lang w:val="ro-RO"/>
              </w:rPr>
            </w:pPr>
            <w:r w:rsidRPr="00B9503B">
              <w:rPr>
                <w:rFonts w:eastAsia="Times New Roman"/>
                <w:sz w:val="22"/>
                <w:szCs w:val="22"/>
                <w:lang w:val="ro-RO"/>
              </w:rPr>
              <w:t>PROETC funcțional</w:t>
            </w:r>
          </w:p>
        </w:tc>
        <w:tc>
          <w:tcPr>
            <w:tcW w:w="1601" w:type="dxa"/>
            <w:shd w:val="clear" w:color="auto" w:fill="auto"/>
          </w:tcPr>
          <w:p w:rsidR="000559DC" w:rsidRPr="00B9503B" w:rsidRDefault="000559DC" w:rsidP="00B9503B">
            <w:pPr>
              <w:spacing w:before="0" w:after="0"/>
              <w:jc w:val="left"/>
              <w:rPr>
                <w:rFonts w:eastAsia="Times New Roman"/>
                <w:sz w:val="22"/>
                <w:szCs w:val="22"/>
                <w:lang w:val="ro-RO"/>
              </w:rPr>
            </w:pPr>
            <w:r w:rsidRPr="0012345B">
              <w:rPr>
                <w:rFonts w:eastAsia="Times New Roman"/>
                <w:sz w:val="22"/>
                <w:szCs w:val="22"/>
                <w:lang w:val="ro-RO"/>
              </w:rPr>
              <w:t>nurmăr</w:t>
            </w:r>
          </w:p>
        </w:tc>
        <w:tc>
          <w:tcPr>
            <w:tcW w:w="1647" w:type="dxa"/>
            <w:shd w:val="clear" w:color="auto" w:fill="auto"/>
          </w:tcPr>
          <w:p w:rsidR="000559DC" w:rsidRPr="00B9503B" w:rsidRDefault="000559DC" w:rsidP="00B9503B">
            <w:pPr>
              <w:spacing w:before="0" w:after="0"/>
              <w:ind w:left="720"/>
              <w:jc w:val="left"/>
              <w:rPr>
                <w:rFonts w:eastAsia="Times New Roman"/>
                <w:sz w:val="22"/>
                <w:szCs w:val="22"/>
                <w:lang w:val="ro-RO"/>
              </w:rPr>
            </w:pPr>
          </w:p>
        </w:tc>
        <w:tc>
          <w:tcPr>
            <w:tcW w:w="1787" w:type="dxa"/>
            <w:shd w:val="clear" w:color="auto" w:fill="auto"/>
          </w:tcPr>
          <w:p w:rsidR="000559DC" w:rsidRPr="00B9503B" w:rsidRDefault="000559DC" w:rsidP="00B9503B">
            <w:pPr>
              <w:spacing w:before="0" w:after="0"/>
              <w:jc w:val="left"/>
              <w:rPr>
                <w:rFonts w:eastAsia="Times New Roman"/>
                <w:sz w:val="22"/>
                <w:szCs w:val="22"/>
                <w:lang w:val="ro-RO"/>
              </w:rPr>
            </w:pPr>
            <w:r w:rsidRPr="00B9503B">
              <w:rPr>
                <w:rFonts w:eastAsia="Times New Roman"/>
                <w:sz w:val="22"/>
                <w:szCs w:val="22"/>
                <w:lang w:val="ro-RO"/>
              </w:rPr>
              <w:t>Rapoarte generate, observații</w:t>
            </w:r>
          </w:p>
        </w:tc>
      </w:tr>
      <w:tr w:rsidR="000559DC" w:rsidRPr="00A158A9" w:rsidTr="00B9503B">
        <w:trPr>
          <w:trHeight w:val="79"/>
          <w:jc w:val="center"/>
        </w:trPr>
        <w:tc>
          <w:tcPr>
            <w:tcW w:w="1792" w:type="dxa"/>
          </w:tcPr>
          <w:p w:rsidR="000559DC" w:rsidRPr="00B9503B" w:rsidRDefault="000559DC" w:rsidP="00B9503B">
            <w:pPr>
              <w:spacing w:before="0" w:after="0"/>
              <w:jc w:val="left"/>
              <w:rPr>
                <w:rFonts w:eastAsia="Times New Roman"/>
                <w:i/>
                <w:color w:val="8DB3E2"/>
                <w:sz w:val="22"/>
                <w:szCs w:val="22"/>
                <w:lang w:val="ro-RO"/>
              </w:rPr>
            </w:pPr>
            <w:r>
              <w:rPr>
                <w:rFonts w:eastAsia="Times New Roman"/>
                <w:b/>
                <w:sz w:val="22"/>
                <w:szCs w:val="22"/>
                <w:lang w:val="ro-RO"/>
              </w:rPr>
              <w:t>TA 6.3</w:t>
            </w:r>
          </w:p>
        </w:tc>
        <w:tc>
          <w:tcPr>
            <w:tcW w:w="2459" w:type="dxa"/>
            <w:shd w:val="clear" w:color="auto" w:fill="auto"/>
          </w:tcPr>
          <w:p w:rsidR="000559DC" w:rsidRPr="00B9503B" w:rsidRDefault="000559DC" w:rsidP="00B9503B">
            <w:pPr>
              <w:spacing w:before="0" w:after="0"/>
              <w:jc w:val="left"/>
              <w:rPr>
                <w:rFonts w:eastAsia="Times New Roman"/>
                <w:sz w:val="22"/>
                <w:szCs w:val="22"/>
                <w:lang w:val="ro-RO"/>
              </w:rPr>
            </w:pPr>
            <w:r w:rsidRPr="00B9503B">
              <w:rPr>
                <w:rFonts w:eastAsia="Times New Roman"/>
                <w:sz w:val="22"/>
                <w:szCs w:val="22"/>
                <w:lang w:val="ro-RO"/>
              </w:rPr>
              <w:t>Nr. de întâlniri ale Comitetului de Monitorizare</w:t>
            </w:r>
          </w:p>
        </w:tc>
        <w:tc>
          <w:tcPr>
            <w:tcW w:w="1601" w:type="dxa"/>
            <w:shd w:val="clear" w:color="auto" w:fill="auto"/>
          </w:tcPr>
          <w:p w:rsidR="000559DC" w:rsidRPr="00B9503B" w:rsidRDefault="000559DC" w:rsidP="00B9503B">
            <w:pPr>
              <w:spacing w:before="0" w:after="0"/>
              <w:jc w:val="left"/>
              <w:rPr>
                <w:rFonts w:eastAsia="Times New Roman"/>
                <w:sz w:val="22"/>
                <w:szCs w:val="22"/>
                <w:lang w:val="ro-RO"/>
              </w:rPr>
            </w:pPr>
            <w:r w:rsidRPr="0012345B">
              <w:rPr>
                <w:rFonts w:eastAsia="Times New Roman"/>
                <w:sz w:val="22"/>
                <w:szCs w:val="22"/>
                <w:lang w:val="ro-RO"/>
              </w:rPr>
              <w:t>nurmăr</w:t>
            </w:r>
          </w:p>
        </w:tc>
        <w:tc>
          <w:tcPr>
            <w:tcW w:w="1647" w:type="dxa"/>
            <w:shd w:val="clear" w:color="auto" w:fill="auto"/>
          </w:tcPr>
          <w:p w:rsidR="000559DC" w:rsidRPr="00B9503B" w:rsidRDefault="000559DC" w:rsidP="00B9503B">
            <w:pPr>
              <w:spacing w:before="0" w:after="0"/>
              <w:ind w:left="720"/>
              <w:jc w:val="left"/>
              <w:rPr>
                <w:rFonts w:eastAsia="Times New Roman"/>
                <w:sz w:val="22"/>
                <w:szCs w:val="22"/>
                <w:lang w:val="ro-RO"/>
              </w:rPr>
            </w:pPr>
          </w:p>
        </w:tc>
        <w:tc>
          <w:tcPr>
            <w:tcW w:w="1787" w:type="dxa"/>
            <w:shd w:val="clear" w:color="auto" w:fill="auto"/>
          </w:tcPr>
          <w:p w:rsidR="000559DC" w:rsidRPr="00B9503B" w:rsidRDefault="000559DC" w:rsidP="00B9503B">
            <w:pPr>
              <w:spacing w:before="0" w:after="0"/>
              <w:jc w:val="left"/>
              <w:rPr>
                <w:rFonts w:eastAsia="Times New Roman"/>
                <w:sz w:val="22"/>
                <w:szCs w:val="22"/>
                <w:lang w:val="ro-RO"/>
              </w:rPr>
            </w:pPr>
            <w:r w:rsidRPr="00B9503B">
              <w:rPr>
                <w:rFonts w:eastAsia="Times New Roman"/>
                <w:sz w:val="22"/>
                <w:szCs w:val="22"/>
                <w:lang w:val="ro-RO"/>
              </w:rPr>
              <w:t>Invitații trimise către CM, minutele întâlnirilor, etc.</w:t>
            </w:r>
          </w:p>
        </w:tc>
      </w:tr>
      <w:tr w:rsidR="000559DC" w:rsidRPr="00A158A9" w:rsidTr="00B9503B">
        <w:trPr>
          <w:trHeight w:val="79"/>
          <w:jc w:val="center"/>
        </w:trPr>
        <w:tc>
          <w:tcPr>
            <w:tcW w:w="1792" w:type="dxa"/>
          </w:tcPr>
          <w:p w:rsidR="000559DC" w:rsidRPr="00B9503B" w:rsidRDefault="000559DC" w:rsidP="00B9503B">
            <w:pPr>
              <w:spacing w:before="0" w:after="0"/>
              <w:jc w:val="left"/>
              <w:rPr>
                <w:rFonts w:eastAsia="Times New Roman"/>
                <w:i/>
                <w:color w:val="8DB3E2"/>
                <w:sz w:val="22"/>
                <w:szCs w:val="22"/>
                <w:lang w:val="ro-RO"/>
              </w:rPr>
            </w:pPr>
            <w:r>
              <w:rPr>
                <w:rFonts w:eastAsia="Times New Roman"/>
                <w:b/>
                <w:sz w:val="22"/>
                <w:szCs w:val="22"/>
                <w:lang w:val="ro-RO"/>
              </w:rPr>
              <w:t>TA 6.4</w:t>
            </w:r>
          </w:p>
        </w:tc>
        <w:tc>
          <w:tcPr>
            <w:tcW w:w="2459" w:type="dxa"/>
            <w:shd w:val="clear" w:color="auto" w:fill="auto"/>
          </w:tcPr>
          <w:p w:rsidR="000559DC" w:rsidRPr="00B9503B" w:rsidRDefault="000559DC" w:rsidP="00B9503B">
            <w:pPr>
              <w:spacing w:before="0" w:after="0"/>
              <w:jc w:val="left"/>
              <w:rPr>
                <w:rFonts w:eastAsia="Times New Roman"/>
                <w:sz w:val="22"/>
                <w:szCs w:val="22"/>
                <w:lang w:val="ro-RO"/>
              </w:rPr>
            </w:pPr>
            <w:r w:rsidRPr="00B9503B">
              <w:rPr>
                <w:rFonts w:eastAsia="Times New Roman"/>
                <w:sz w:val="22"/>
                <w:szCs w:val="22"/>
                <w:lang w:val="ro-RO"/>
              </w:rPr>
              <w:t>Nr de evenimente pentru beneficiari</w:t>
            </w:r>
          </w:p>
        </w:tc>
        <w:tc>
          <w:tcPr>
            <w:tcW w:w="1601" w:type="dxa"/>
            <w:shd w:val="clear" w:color="auto" w:fill="auto"/>
          </w:tcPr>
          <w:p w:rsidR="000559DC" w:rsidRPr="00B9503B" w:rsidRDefault="000559DC" w:rsidP="00B9503B">
            <w:pPr>
              <w:spacing w:before="0" w:after="0"/>
              <w:jc w:val="left"/>
              <w:rPr>
                <w:rFonts w:eastAsia="Times New Roman"/>
                <w:sz w:val="22"/>
                <w:szCs w:val="22"/>
                <w:lang w:val="ro-RO"/>
              </w:rPr>
            </w:pPr>
            <w:r w:rsidRPr="0012345B">
              <w:rPr>
                <w:rFonts w:eastAsia="Times New Roman"/>
                <w:sz w:val="22"/>
                <w:szCs w:val="22"/>
                <w:lang w:val="ro-RO"/>
              </w:rPr>
              <w:t>nurmăr</w:t>
            </w:r>
          </w:p>
        </w:tc>
        <w:tc>
          <w:tcPr>
            <w:tcW w:w="1647" w:type="dxa"/>
            <w:shd w:val="clear" w:color="auto" w:fill="auto"/>
          </w:tcPr>
          <w:p w:rsidR="000559DC" w:rsidRPr="00B9503B" w:rsidRDefault="000559DC" w:rsidP="00B9503B">
            <w:pPr>
              <w:spacing w:before="0" w:after="0"/>
              <w:jc w:val="left"/>
              <w:rPr>
                <w:rFonts w:eastAsia="Times New Roman"/>
                <w:sz w:val="22"/>
                <w:szCs w:val="22"/>
                <w:lang w:val="ro-RO"/>
              </w:rPr>
            </w:pPr>
          </w:p>
        </w:tc>
        <w:tc>
          <w:tcPr>
            <w:tcW w:w="1787" w:type="dxa"/>
            <w:shd w:val="clear" w:color="auto" w:fill="auto"/>
          </w:tcPr>
          <w:p w:rsidR="000559DC" w:rsidRPr="00B9503B" w:rsidRDefault="000559DC" w:rsidP="00B9503B">
            <w:pPr>
              <w:spacing w:before="0" w:after="0"/>
              <w:jc w:val="left"/>
              <w:rPr>
                <w:rFonts w:eastAsia="Times New Roman"/>
                <w:sz w:val="22"/>
                <w:szCs w:val="22"/>
                <w:lang w:val="ro-RO"/>
              </w:rPr>
            </w:pPr>
            <w:r w:rsidRPr="00B9503B">
              <w:rPr>
                <w:rFonts w:eastAsia="Times New Roman"/>
                <w:sz w:val="22"/>
                <w:szCs w:val="22"/>
                <w:lang w:val="ro-RO"/>
              </w:rPr>
              <w:t xml:space="preserve">Invitații trimise către beneficiari, minutele întâlnirilor, etc. </w:t>
            </w:r>
          </w:p>
        </w:tc>
      </w:tr>
    </w:tbl>
    <w:p w:rsidR="00C1459B" w:rsidRPr="006C6828" w:rsidRDefault="00C1459B" w:rsidP="005606A0">
      <w:pPr>
        <w:rPr>
          <w:rFonts w:eastAsia="Times New Roman"/>
          <w:b/>
          <w:highlight w:val="red"/>
          <w:lang w:val="it-IT"/>
        </w:rPr>
      </w:pPr>
    </w:p>
    <w:p w:rsidR="005606A0" w:rsidRPr="006C6828" w:rsidRDefault="005606A0" w:rsidP="00CA0EDF">
      <w:pPr>
        <w:pStyle w:val="Heading2"/>
        <w:rPr>
          <w:lang w:val="it-IT"/>
        </w:rPr>
      </w:pPr>
      <w:bookmarkStart w:id="152" w:name="_Toc394837874"/>
      <w:r w:rsidRPr="006C6828">
        <w:rPr>
          <w:lang w:val="it-IT"/>
        </w:rPr>
        <w:t xml:space="preserve">2.B.6. </w:t>
      </w:r>
      <w:r w:rsidR="00B9503B" w:rsidRPr="006C6828">
        <w:rPr>
          <w:lang w:val="it-IT"/>
        </w:rPr>
        <w:t>Categoriile de intervenție</w:t>
      </w:r>
      <w:bookmarkEnd w:id="152"/>
    </w:p>
    <w:p w:rsidR="005606A0" w:rsidRPr="006C6828" w:rsidRDefault="00B9503B" w:rsidP="005606A0">
      <w:pPr>
        <w:suppressAutoHyphens/>
        <w:rPr>
          <w:rFonts w:eastAsia="Times New Roman"/>
          <w:highlight w:val="red"/>
          <w:lang w:val="it-IT"/>
        </w:rPr>
      </w:pPr>
      <w:r w:rsidRPr="006C6828">
        <w:rPr>
          <w:rFonts w:eastAsia="Times New Roman"/>
          <w:lang w:val="it-IT"/>
        </w:rPr>
        <w:t>Categorii de intervenție corespunzătoare</w:t>
      </w:r>
      <w:r w:rsidR="00FF3E3C" w:rsidRPr="006C6828">
        <w:rPr>
          <w:rFonts w:eastAsia="Times New Roman"/>
          <w:lang w:val="it-IT"/>
        </w:rPr>
        <w:t>,</w:t>
      </w:r>
      <w:r w:rsidRPr="006C6828">
        <w:rPr>
          <w:rFonts w:eastAsia="Times New Roman"/>
          <w:lang w:val="it-IT"/>
        </w:rPr>
        <w:t xml:space="preserve"> bazate pe nomenclatorul adoptat de Comisie și defalcarea indicativă a sprijinului din partea Uniunii.</w:t>
      </w:r>
    </w:p>
    <w:p w:rsidR="005606A0" w:rsidRPr="00B9503B" w:rsidRDefault="00B9503B" w:rsidP="00CA0EDF">
      <w:pPr>
        <w:pStyle w:val="Heading2"/>
        <w:rPr>
          <w:lang w:val="en-US"/>
        </w:rPr>
      </w:pPr>
      <w:bookmarkStart w:id="153" w:name="_Toc394837875"/>
      <w:r w:rsidRPr="00B9503B">
        <w:rPr>
          <w:lang w:val="en-US"/>
        </w:rPr>
        <w:lastRenderedPageBreak/>
        <w:t>Tabelele</w:t>
      </w:r>
      <w:r w:rsidR="005606A0" w:rsidRPr="00B9503B">
        <w:rPr>
          <w:lang w:val="en-US"/>
        </w:rPr>
        <w:t xml:space="preserve"> 12-14: </w:t>
      </w:r>
      <w:r w:rsidRPr="00B9503B">
        <w:rPr>
          <w:lang w:val="en-US"/>
        </w:rPr>
        <w:t>Categoriile de intervenție</w:t>
      </w:r>
      <w:bookmarkEnd w:id="15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3117"/>
        <w:gridCol w:w="2817"/>
      </w:tblGrid>
      <w:tr w:rsidR="005606A0" w:rsidRPr="00A158A9" w:rsidTr="001E6A87">
        <w:trPr>
          <w:trHeight w:val="364"/>
          <w:jc w:val="center"/>
        </w:trPr>
        <w:tc>
          <w:tcPr>
            <w:tcW w:w="8472" w:type="dxa"/>
            <w:gridSpan w:val="3"/>
            <w:shd w:val="clear" w:color="auto" w:fill="auto"/>
          </w:tcPr>
          <w:p w:rsidR="005606A0" w:rsidRPr="00B9503B" w:rsidRDefault="00B9503B" w:rsidP="00B77BA5">
            <w:pPr>
              <w:pStyle w:val="Heading2"/>
              <w:spacing w:before="0" w:after="0"/>
              <w:rPr>
                <w:lang w:val="fr-FR"/>
              </w:rPr>
            </w:pPr>
            <w:bookmarkStart w:id="154" w:name="_Toc394837876"/>
            <w:r w:rsidRPr="00B9503B">
              <w:rPr>
                <w:lang w:val="fr-FR"/>
              </w:rPr>
              <w:t>Tabelul</w:t>
            </w:r>
            <w:r w:rsidR="005606A0" w:rsidRPr="00B9503B">
              <w:rPr>
                <w:lang w:val="fr-FR"/>
              </w:rPr>
              <w:t xml:space="preserve"> 12: </w:t>
            </w:r>
            <w:r w:rsidRPr="00B9503B">
              <w:rPr>
                <w:lang w:val="fr-FR"/>
              </w:rPr>
              <w:t>Dimensiunea 1 Domeniul de intervenție</w:t>
            </w:r>
            <w:bookmarkEnd w:id="154"/>
          </w:p>
        </w:tc>
      </w:tr>
      <w:tr w:rsidR="005606A0" w:rsidRPr="00B9503B" w:rsidTr="003A22FB">
        <w:trPr>
          <w:trHeight w:val="254"/>
          <w:jc w:val="center"/>
        </w:trPr>
        <w:tc>
          <w:tcPr>
            <w:tcW w:w="2538" w:type="dxa"/>
            <w:shd w:val="clear" w:color="auto" w:fill="auto"/>
          </w:tcPr>
          <w:p w:rsidR="005606A0" w:rsidRPr="00B9503B" w:rsidRDefault="00B9503B" w:rsidP="00B77BA5">
            <w:pPr>
              <w:spacing w:before="0" w:after="0"/>
              <w:jc w:val="center"/>
              <w:rPr>
                <w:rFonts w:eastAsia="Times New Roman"/>
                <w:b/>
                <w:szCs w:val="24"/>
                <w:lang w:val="en-US"/>
              </w:rPr>
            </w:pPr>
            <w:r w:rsidRPr="00B9503B">
              <w:rPr>
                <w:rFonts w:eastAsia="Times New Roman"/>
                <w:b/>
                <w:szCs w:val="24"/>
                <w:lang w:val="en-US"/>
              </w:rPr>
              <w:t>Axa prioritară</w:t>
            </w:r>
          </w:p>
        </w:tc>
        <w:tc>
          <w:tcPr>
            <w:tcW w:w="3117" w:type="dxa"/>
            <w:shd w:val="clear" w:color="auto" w:fill="auto"/>
          </w:tcPr>
          <w:p w:rsidR="005606A0" w:rsidRPr="00B9503B" w:rsidRDefault="00B9503B" w:rsidP="00B77BA5">
            <w:pPr>
              <w:spacing w:before="0" w:after="0"/>
              <w:jc w:val="center"/>
              <w:rPr>
                <w:rFonts w:eastAsia="Times New Roman"/>
                <w:szCs w:val="24"/>
                <w:lang w:val="en-US"/>
              </w:rPr>
            </w:pPr>
            <w:r>
              <w:rPr>
                <w:rFonts w:eastAsia="Times New Roman"/>
                <w:b/>
                <w:szCs w:val="24"/>
                <w:lang w:val="en-US"/>
              </w:rPr>
              <w:t>Codul</w:t>
            </w:r>
          </w:p>
        </w:tc>
        <w:tc>
          <w:tcPr>
            <w:tcW w:w="2817" w:type="dxa"/>
            <w:shd w:val="clear" w:color="auto" w:fill="auto"/>
          </w:tcPr>
          <w:p w:rsidR="005606A0" w:rsidRPr="00B9503B" w:rsidRDefault="00B9503B" w:rsidP="00B77BA5">
            <w:pPr>
              <w:spacing w:before="0" w:after="0"/>
              <w:jc w:val="center"/>
              <w:rPr>
                <w:rFonts w:eastAsia="Times New Roman"/>
                <w:szCs w:val="24"/>
                <w:lang w:val="en-US"/>
              </w:rPr>
            </w:pPr>
            <w:r>
              <w:rPr>
                <w:b/>
                <w:szCs w:val="24"/>
                <w:lang w:val="en-US"/>
              </w:rPr>
              <w:t>Suma</w:t>
            </w:r>
            <w:r w:rsidR="005606A0" w:rsidRPr="00B9503B">
              <w:rPr>
                <w:b/>
                <w:szCs w:val="24"/>
                <w:lang w:val="en-US"/>
              </w:rPr>
              <w:t xml:space="preserve"> (EUR)</w:t>
            </w:r>
          </w:p>
        </w:tc>
      </w:tr>
      <w:tr w:rsidR="005606A0" w:rsidRPr="00B9503B" w:rsidTr="003A22FB">
        <w:trPr>
          <w:jc w:val="center"/>
        </w:trPr>
        <w:tc>
          <w:tcPr>
            <w:tcW w:w="2538" w:type="dxa"/>
            <w:shd w:val="clear" w:color="auto" w:fill="auto"/>
          </w:tcPr>
          <w:p w:rsidR="005606A0" w:rsidRPr="00B9503B" w:rsidRDefault="005606A0" w:rsidP="00B77BA5">
            <w:pPr>
              <w:spacing w:before="0" w:after="0"/>
              <w:rPr>
                <w:rFonts w:eastAsia="Times New Roman"/>
                <w:szCs w:val="24"/>
                <w:lang w:val="en-US"/>
              </w:rPr>
            </w:pPr>
          </w:p>
        </w:tc>
        <w:tc>
          <w:tcPr>
            <w:tcW w:w="3117" w:type="dxa"/>
            <w:shd w:val="clear" w:color="auto" w:fill="auto"/>
          </w:tcPr>
          <w:p w:rsidR="005606A0" w:rsidRPr="006C6828" w:rsidRDefault="00813A9F" w:rsidP="00B77BA5">
            <w:pPr>
              <w:spacing w:before="0" w:after="0"/>
              <w:rPr>
                <w:rFonts w:eastAsia="Times New Roman"/>
                <w:szCs w:val="24"/>
                <w:lang w:val="it-IT"/>
              </w:rPr>
            </w:pPr>
            <w:r w:rsidRPr="006C6828">
              <w:rPr>
                <w:rFonts w:eastAsiaTheme="minorEastAsia"/>
                <w:szCs w:val="24"/>
                <w:lang w:val="it-IT" w:eastAsia="en-US"/>
              </w:rPr>
              <w:t>121 Pregătire, punere în aplicare, monitorizare și inspectare</w:t>
            </w:r>
          </w:p>
        </w:tc>
        <w:tc>
          <w:tcPr>
            <w:tcW w:w="2817" w:type="dxa"/>
            <w:shd w:val="clear" w:color="auto" w:fill="auto"/>
          </w:tcPr>
          <w:p w:rsidR="005606A0" w:rsidRPr="00B9503B" w:rsidRDefault="00AA0D6B" w:rsidP="00B77BA5">
            <w:pPr>
              <w:spacing w:before="0" w:after="0"/>
              <w:jc w:val="right"/>
              <w:rPr>
                <w:rFonts w:eastAsia="Times New Roman"/>
                <w:szCs w:val="24"/>
                <w:lang w:val="en-US"/>
              </w:rPr>
            </w:pPr>
            <w:r w:rsidRPr="00B9503B">
              <w:rPr>
                <w:szCs w:val="24"/>
              </w:rPr>
              <w:t>11 044 731</w:t>
            </w:r>
          </w:p>
        </w:tc>
      </w:tr>
      <w:tr w:rsidR="005606A0" w:rsidRPr="00B9503B" w:rsidTr="003A22FB">
        <w:trPr>
          <w:jc w:val="center"/>
        </w:trPr>
        <w:tc>
          <w:tcPr>
            <w:tcW w:w="2538" w:type="dxa"/>
            <w:shd w:val="clear" w:color="auto" w:fill="auto"/>
          </w:tcPr>
          <w:p w:rsidR="005606A0" w:rsidRPr="00B9503B" w:rsidRDefault="005606A0" w:rsidP="00B77BA5">
            <w:pPr>
              <w:spacing w:before="0" w:after="0"/>
              <w:rPr>
                <w:rFonts w:eastAsia="Times New Roman"/>
                <w:szCs w:val="24"/>
                <w:lang w:val="en-US"/>
              </w:rPr>
            </w:pPr>
          </w:p>
        </w:tc>
        <w:tc>
          <w:tcPr>
            <w:tcW w:w="3117" w:type="dxa"/>
            <w:shd w:val="clear" w:color="auto" w:fill="auto"/>
          </w:tcPr>
          <w:p w:rsidR="005606A0" w:rsidRPr="00B9503B" w:rsidRDefault="003A22FB" w:rsidP="00B77BA5">
            <w:pPr>
              <w:spacing w:before="0" w:after="0"/>
              <w:rPr>
                <w:rFonts w:eastAsia="Times New Roman"/>
                <w:szCs w:val="24"/>
                <w:lang w:val="en-US"/>
              </w:rPr>
            </w:pPr>
            <w:r w:rsidRPr="00B9503B">
              <w:rPr>
                <w:rFonts w:eastAsia="Times New Roman"/>
                <w:szCs w:val="24"/>
                <w:lang w:val="en-US"/>
              </w:rPr>
              <w:t>122</w:t>
            </w:r>
            <w:r w:rsidR="00813A9F" w:rsidRPr="00B9503B">
              <w:rPr>
                <w:rFonts w:eastAsiaTheme="minorEastAsia"/>
                <w:szCs w:val="24"/>
                <w:lang w:val="en-US" w:eastAsia="en-US"/>
              </w:rPr>
              <w:t>Evaluare și studii</w:t>
            </w:r>
          </w:p>
        </w:tc>
        <w:tc>
          <w:tcPr>
            <w:tcW w:w="2817" w:type="dxa"/>
            <w:shd w:val="clear" w:color="auto" w:fill="auto"/>
          </w:tcPr>
          <w:p w:rsidR="005606A0" w:rsidRPr="00B9503B" w:rsidRDefault="00AA0D6B" w:rsidP="00B77BA5">
            <w:pPr>
              <w:spacing w:before="0" w:after="0"/>
              <w:jc w:val="right"/>
              <w:rPr>
                <w:rFonts w:eastAsia="Times New Roman"/>
                <w:szCs w:val="24"/>
                <w:lang w:val="en-US"/>
              </w:rPr>
            </w:pPr>
            <w:r w:rsidRPr="00B9503B">
              <w:rPr>
                <w:szCs w:val="24"/>
              </w:rPr>
              <w:t xml:space="preserve">670 000 </w:t>
            </w:r>
          </w:p>
        </w:tc>
      </w:tr>
      <w:tr w:rsidR="005606A0" w:rsidRPr="00647004" w:rsidTr="003A22FB">
        <w:trPr>
          <w:jc w:val="center"/>
        </w:trPr>
        <w:tc>
          <w:tcPr>
            <w:tcW w:w="2538" w:type="dxa"/>
            <w:shd w:val="clear" w:color="auto" w:fill="auto"/>
          </w:tcPr>
          <w:p w:rsidR="005606A0" w:rsidRPr="00B9503B" w:rsidRDefault="005606A0" w:rsidP="00B77BA5">
            <w:pPr>
              <w:spacing w:before="0" w:after="0"/>
              <w:rPr>
                <w:rFonts w:eastAsia="Times New Roman"/>
                <w:szCs w:val="24"/>
                <w:lang w:val="en-US"/>
              </w:rPr>
            </w:pPr>
          </w:p>
        </w:tc>
        <w:tc>
          <w:tcPr>
            <w:tcW w:w="3117" w:type="dxa"/>
            <w:shd w:val="clear" w:color="auto" w:fill="auto"/>
          </w:tcPr>
          <w:p w:rsidR="005606A0" w:rsidRPr="00B9503B" w:rsidRDefault="003A22FB" w:rsidP="00B77BA5">
            <w:pPr>
              <w:spacing w:before="0" w:after="0"/>
              <w:rPr>
                <w:rFonts w:eastAsia="Times New Roman"/>
                <w:szCs w:val="24"/>
                <w:lang w:val="en-US"/>
              </w:rPr>
            </w:pPr>
            <w:r w:rsidRPr="00B9503B">
              <w:rPr>
                <w:rFonts w:eastAsia="Times New Roman"/>
                <w:szCs w:val="24"/>
                <w:lang w:val="en-US"/>
              </w:rPr>
              <w:t xml:space="preserve">123 </w:t>
            </w:r>
            <w:r w:rsidR="00813A9F" w:rsidRPr="00B9503B">
              <w:rPr>
                <w:rFonts w:eastAsiaTheme="minorEastAsia"/>
                <w:szCs w:val="24"/>
                <w:lang w:val="en-US" w:eastAsia="en-US"/>
              </w:rPr>
              <w:t>Informare și comunicare</w:t>
            </w:r>
          </w:p>
        </w:tc>
        <w:tc>
          <w:tcPr>
            <w:tcW w:w="2817" w:type="dxa"/>
            <w:shd w:val="clear" w:color="auto" w:fill="auto"/>
          </w:tcPr>
          <w:p w:rsidR="005606A0" w:rsidRPr="003A22FB" w:rsidRDefault="00AA0D6B" w:rsidP="00B77BA5">
            <w:pPr>
              <w:spacing w:before="0" w:after="0"/>
              <w:jc w:val="right"/>
              <w:rPr>
                <w:rFonts w:eastAsia="Times New Roman"/>
                <w:szCs w:val="24"/>
                <w:lang w:val="en-US"/>
              </w:rPr>
            </w:pPr>
            <w:r w:rsidRPr="00B9503B">
              <w:rPr>
                <w:szCs w:val="24"/>
              </w:rPr>
              <w:t>1 230 000</w:t>
            </w:r>
          </w:p>
        </w:tc>
      </w:tr>
    </w:tbl>
    <w:p w:rsidR="005606A0" w:rsidRPr="00647004" w:rsidRDefault="005606A0" w:rsidP="005606A0">
      <w:pPr>
        <w:suppressAutoHyphens/>
        <w:spacing w:after="240"/>
        <w:rPr>
          <w:rFonts w:eastAsia="Times New Roman"/>
          <w:highlight w:val="red"/>
          <w:lang w:val="en-US"/>
        </w:rPr>
      </w:pPr>
    </w:p>
    <w:tbl>
      <w:tblPr>
        <w:tblW w:w="0" w:type="auto"/>
        <w:jc w:val="center"/>
        <w:tblLook w:val="04A0" w:firstRow="1" w:lastRow="0" w:firstColumn="1" w:lastColumn="0" w:noHBand="0" w:noVBand="1"/>
      </w:tblPr>
      <w:tblGrid>
        <w:gridCol w:w="2802"/>
        <w:gridCol w:w="2693"/>
        <w:gridCol w:w="2977"/>
      </w:tblGrid>
      <w:tr w:rsidR="00D505A3" w:rsidRPr="00A158A9" w:rsidTr="00B77BA5">
        <w:trPr>
          <w:trHeight w:val="364"/>
          <w:jc w:val="center"/>
        </w:trPr>
        <w:tc>
          <w:tcPr>
            <w:tcW w:w="84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05A3" w:rsidRPr="00B77BA5" w:rsidRDefault="00B77BA5" w:rsidP="00B77BA5">
            <w:pPr>
              <w:pStyle w:val="Heading2"/>
              <w:spacing w:before="0" w:after="0"/>
              <w:rPr>
                <w:lang w:val="fr-FR"/>
              </w:rPr>
            </w:pPr>
            <w:bookmarkStart w:id="155" w:name="_Toc394837877"/>
            <w:r>
              <w:rPr>
                <w:lang w:val="fr-FR"/>
              </w:rPr>
              <w:t>Tabelul</w:t>
            </w:r>
            <w:r w:rsidR="00D505A3" w:rsidRPr="00B77BA5">
              <w:rPr>
                <w:lang w:val="fr-FR"/>
              </w:rPr>
              <w:t xml:space="preserve"> 13: </w:t>
            </w:r>
            <w:r w:rsidRPr="00B77BA5">
              <w:rPr>
                <w:lang w:val="fr-FR"/>
              </w:rPr>
              <w:t>Dimensiunea 2 Forma de finanțare</w:t>
            </w:r>
            <w:bookmarkEnd w:id="155"/>
          </w:p>
        </w:tc>
      </w:tr>
      <w:tr w:rsidR="00B77BA5" w:rsidRPr="00B77BA5" w:rsidTr="00B77BA5">
        <w:trPr>
          <w:jc w:val="center"/>
        </w:trPr>
        <w:tc>
          <w:tcPr>
            <w:tcW w:w="2802" w:type="dxa"/>
            <w:tcBorders>
              <w:top w:val="single" w:sz="4" w:space="0" w:color="auto"/>
              <w:left w:val="single" w:sz="4" w:space="0" w:color="auto"/>
              <w:bottom w:val="single" w:sz="4" w:space="0" w:color="auto"/>
              <w:right w:val="single" w:sz="4" w:space="0" w:color="auto"/>
            </w:tcBorders>
            <w:shd w:val="clear" w:color="auto" w:fill="auto"/>
            <w:vAlign w:val="center"/>
          </w:tcPr>
          <w:p w:rsidR="00B77BA5" w:rsidRPr="00B77BA5" w:rsidRDefault="00B77BA5" w:rsidP="00B77BA5">
            <w:pPr>
              <w:suppressAutoHyphens/>
              <w:spacing w:before="0" w:after="0"/>
              <w:jc w:val="center"/>
            </w:pPr>
            <w:r w:rsidRPr="00B77BA5">
              <w:rPr>
                <w:rFonts w:eastAsia="Times New Roman"/>
                <w:b/>
                <w:szCs w:val="24"/>
                <w:lang w:val="en-US"/>
              </w:rPr>
              <w:t>Axa prioritară</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77BA5" w:rsidRPr="00B77BA5" w:rsidRDefault="00B77BA5" w:rsidP="00B77BA5">
            <w:pPr>
              <w:suppressAutoHyphens/>
              <w:spacing w:before="0" w:after="0"/>
              <w:jc w:val="center"/>
              <w:rPr>
                <w:rFonts w:eastAsia="Times New Roman"/>
                <w:szCs w:val="24"/>
              </w:rPr>
            </w:pPr>
            <w:r w:rsidRPr="00B77BA5">
              <w:rPr>
                <w:rFonts w:eastAsia="Times New Roman"/>
                <w:b/>
                <w:szCs w:val="24"/>
                <w:lang w:val="en-US"/>
              </w:rPr>
              <w:t>Codul</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B77BA5" w:rsidRPr="00B77BA5" w:rsidRDefault="00B77BA5" w:rsidP="00B77BA5">
            <w:pPr>
              <w:suppressAutoHyphens/>
              <w:spacing w:before="0" w:after="0"/>
              <w:jc w:val="center"/>
              <w:rPr>
                <w:rFonts w:eastAsia="Times New Roman"/>
                <w:szCs w:val="24"/>
              </w:rPr>
            </w:pPr>
            <w:r w:rsidRPr="00B77BA5">
              <w:rPr>
                <w:b/>
                <w:szCs w:val="24"/>
                <w:lang w:val="en-US"/>
              </w:rPr>
              <w:t>Suma (EUR)</w:t>
            </w:r>
          </w:p>
        </w:tc>
      </w:tr>
      <w:tr w:rsidR="00D505A3" w:rsidRPr="00647004" w:rsidTr="00B77BA5">
        <w:trPr>
          <w:jc w:val="center"/>
        </w:trPr>
        <w:tc>
          <w:tcPr>
            <w:tcW w:w="28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05A3" w:rsidRPr="00B77BA5" w:rsidRDefault="00B77BA5" w:rsidP="00B77BA5">
            <w:pPr>
              <w:suppressAutoHyphens/>
              <w:spacing w:before="0" w:after="0"/>
              <w:jc w:val="left"/>
            </w:pPr>
            <w:r>
              <w:rPr>
                <w:rFonts w:eastAsia="Times New Roman"/>
                <w:szCs w:val="24"/>
              </w:rPr>
              <w:t>AP</w:t>
            </w:r>
            <w:r w:rsidR="007A24A2">
              <w:rPr>
                <w:rFonts w:eastAsia="Times New Roman"/>
                <w:szCs w:val="24"/>
              </w:rPr>
              <w:t xml:space="preserve"> 6 - AT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22FB" w:rsidRPr="00B77BA5" w:rsidRDefault="00D505A3" w:rsidP="00B77BA5">
            <w:pPr>
              <w:suppressAutoHyphens/>
              <w:spacing w:before="0" w:after="0"/>
              <w:jc w:val="left"/>
              <w:rPr>
                <w:lang w:val="en-US"/>
              </w:rPr>
            </w:pPr>
            <w:r w:rsidRPr="00B77BA5">
              <w:rPr>
                <w:rFonts w:eastAsia="Times New Roman"/>
                <w:szCs w:val="24"/>
              </w:rPr>
              <w:t xml:space="preserve">01 </w:t>
            </w:r>
            <w:r w:rsidR="003A22FB" w:rsidRPr="00B77BA5">
              <w:rPr>
                <w:lang w:val="en-US"/>
              </w:rPr>
              <w:t xml:space="preserve">Grant nerambursabil </w:t>
            </w:r>
          </w:p>
          <w:p w:rsidR="003A22FB" w:rsidRPr="00B77BA5" w:rsidRDefault="003A22FB" w:rsidP="00B77BA5">
            <w:pPr>
              <w:suppressAutoHyphens/>
              <w:spacing w:before="0" w:after="0"/>
              <w:jc w:val="left"/>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05A3" w:rsidRPr="00B77BA5" w:rsidRDefault="000559DC">
            <w:pPr>
              <w:suppressAutoHyphens/>
              <w:spacing w:before="0" w:after="0"/>
              <w:jc w:val="left"/>
            </w:pPr>
            <w:r>
              <w:rPr>
                <w:rFonts w:eastAsia="Times New Roman"/>
                <w:szCs w:val="24"/>
              </w:rPr>
              <w:t>12.944.731</w:t>
            </w:r>
          </w:p>
        </w:tc>
      </w:tr>
    </w:tbl>
    <w:p w:rsidR="005606A0" w:rsidRPr="00647004" w:rsidRDefault="005606A0" w:rsidP="005606A0">
      <w:pPr>
        <w:spacing w:after="240" w:line="276" w:lineRule="auto"/>
        <w:rPr>
          <w:rFonts w:eastAsia="Times New Roman"/>
          <w:highlight w:val="red"/>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5606A0" w:rsidRPr="00A158A9" w:rsidTr="001E6A87">
        <w:trPr>
          <w:trHeight w:val="364"/>
          <w:jc w:val="center"/>
        </w:trPr>
        <w:tc>
          <w:tcPr>
            <w:tcW w:w="8472" w:type="dxa"/>
            <w:gridSpan w:val="3"/>
            <w:shd w:val="clear" w:color="auto" w:fill="auto"/>
          </w:tcPr>
          <w:p w:rsidR="005606A0" w:rsidRPr="00B77BA5" w:rsidRDefault="00B77BA5" w:rsidP="00B77BA5">
            <w:pPr>
              <w:pStyle w:val="Heading2"/>
              <w:spacing w:before="0" w:after="0"/>
              <w:rPr>
                <w:lang w:val="fr-FR"/>
              </w:rPr>
            </w:pPr>
            <w:bookmarkStart w:id="156" w:name="_Toc394837878"/>
            <w:r w:rsidRPr="00B77BA5">
              <w:rPr>
                <w:lang w:val="fr-FR"/>
              </w:rPr>
              <w:t>Tabelul</w:t>
            </w:r>
            <w:r w:rsidR="005606A0" w:rsidRPr="00B77BA5">
              <w:rPr>
                <w:lang w:val="fr-FR"/>
              </w:rPr>
              <w:t xml:space="preserve"> 14: </w:t>
            </w:r>
            <w:r w:rsidRPr="00B77BA5">
              <w:rPr>
                <w:lang w:val="fr-FR"/>
              </w:rPr>
              <w:t>Dimensiunea 3 Tipul de teritoriu</w:t>
            </w:r>
            <w:bookmarkEnd w:id="156"/>
          </w:p>
        </w:tc>
      </w:tr>
      <w:tr w:rsidR="005606A0" w:rsidRPr="00B77BA5" w:rsidTr="001E6A87">
        <w:trPr>
          <w:trHeight w:val="254"/>
          <w:jc w:val="center"/>
        </w:trPr>
        <w:tc>
          <w:tcPr>
            <w:tcW w:w="2802" w:type="dxa"/>
            <w:shd w:val="clear" w:color="auto" w:fill="auto"/>
          </w:tcPr>
          <w:p w:rsidR="005606A0" w:rsidRPr="00B77BA5" w:rsidRDefault="00B77BA5" w:rsidP="00B77BA5">
            <w:pPr>
              <w:spacing w:before="0" w:after="0"/>
              <w:jc w:val="center"/>
              <w:rPr>
                <w:rFonts w:eastAsia="Times New Roman"/>
                <w:b/>
                <w:szCs w:val="24"/>
                <w:lang w:val="en-US"/>
              </w:rPr>
            </w:pPr>
            <w:r w:rsidRPr="00B77BA5">
              <w:rPr>
                <w:rFonts w:eastAsia="Times New Roman"/>
                <w:b/>
                <w:szCs w:val="24"/>
                <w:lang w:val="en-US"/>
              </w:rPr>
              <w:t>Axa prioritară</w:t>
            </w:r>
          </w:p>
        </w:tc>
        <w:tc>
          <w:tcPr>
            <w:tcW w:w="2693" w:type="dxa"/>
            <w:shd w:val="clear" w:color="auto" w:fill="auto"/>
          </w:tcPr>
          <w:p w:rsidR="005606A0" w:rsidRPr="00B77BA5" w:rsidRDefault="00B77BA5" w:rsidP="00B77BA5">
            <w:pPr>
              <w:spacing w:before="0" w:after="0"/>
              <w:jc w:val="center"/>
              <w:rPr>
                <w:rFonts w:eastAsia="Times New Roman"/>
                <w:szCs w:val="24"/>
                <w:lang w:val="en-US"/>
              </w:rPr>
            </w:pPr>
            <w:r>
              <w:rPr>
                <w:rFonts w:eastAsia="Times New Roman"/>
                <w:b/>
                <w:szCs w:val="24"/>
                <w:lang w:val="en-US"/>
              </w:rPr>
              <w:t>Codul</w:t>
            </w:r>
          </w:p>
        </w:tc>
        <w:tc>
          <w:tcPr>
            <w:tcW w:w="2977" w:type="dxa"/>
            <w:shd w:val="clear" w:color="auto" w:fill="auto"/>
          </w:tcPr>
          <w:p w:rsidR="005606A0" w:rsidRPr="00B77BA5" w:rsidRDefault="00B77BA5" w:rsidP="00B77BA5">
            <w:pPr>
              <w:spacing w:before="0" w:after="0"/>
              <w:jc w:val="center"/>
              <w:rPr>
                <w:rFonts w:eastAsia="Times New Roman"/>
                <w:szCs w:val="24"/>
                <w:lang w:val="en-US"/>
              </w:rPr>
            </w:pPr>
            <w:r>
              <w:rPr>
                <w:b/>
                <w:szCs w:val="24"/>
                <w:lang w:val="en-US"/>
              </w:rPr>
              <w:t>Suma</w:t>
            </w:r>
            <w:r w:rsidR="005606A0" w:rsidRPr="00B77BA5">
              <w:rPr>
                <w:b/>
                <w:szCs w:val="24"/>
                <w:lang w:val="en-US"/>
              </w:rPr>
              <w:t xml:space="preserve"> (EUR)</w:t>
            </w:r>
          </w:p>
        </w:tc>
      </w:tr>
      <w:tr w:rsidR="005606A0" w:rsidRPr="00FF685E" w:rsidTr="001E6A87">
        <w:trPr>
          <w:jc w:val="center"/>
        </w:trPr>
        <w:tc>
          <w:tcPr>
            <w:tcW w:w="2802" w:type="dxa"/>
            <w:shd w:val="clear" w:color="auto" w:fill="auto"/>
          </w:tcPr>
          <w:p w:rsidR="005606A0" w:rsidRPr="00B77BA5" w:rsidRDefault="005606A0" w:rsidP="00B77BA5">
            <w:pPr>
              <w:suppressAutoHyphens/>
              <w:spacing w:before="0" w:after="0"/>
              <w:rPr>
                <w:rFonts w:eastAsia="Times New Roman"/>
                <w:i/>
                <w:color w:val="8DB3E2"/>
                <w:szCs w:val="24"/>
                <w:lang w:val="en-US"/>
              </w:rPr>
            </w:pPr>
          </w:p>
        </w:tc>
        <w:tc>
          <w:tcPr>
            <w:tcW w:w="2693" w:type="dxa"/>
            <w:shd w:val="clear" w:color="auto" w:fill="auto"/>
          </w:tcPr>
          <w:p w:rsidR="00856FCD" w:rsidRPr="00FF685E" w:rsidRDefault="00856FCD" w:rsidP="00B77BA5">
            <w:pPr>
              <w:suppressAutoHyphens/>
              <w:spacing w:before="0" w:after="0"/>
              <w:rPr>
                <w:rFonts w:eastAsia="Times New Roman"/>
                <w:szCs w:val="24"/>
                <w:lang w:val="fr-FR"/>
              </w:rPr>
            </w:pPr>
            <w:r w:rsidRPr="00B77BA5">
              <w:rPr>
                <w:rFonts w:eastAsiaTheme="minorEastAsia"/>
                <w:szCs w:val="24"/>
                <w:lang w:val="fr-FR" w:eastAsia="en-US"/>
              </w:rPr>
              <w:t>07 Nu se aplică</w:t>
            </w:r>
          </w:p>
        </w:tc>
        <w:tc>
          <w:tcPr>
            <w:tcW w:w="2977" w:type="dxa"/>
            <w:shd w:val="clear" w:color="auto" w:fill="auto"/>
          </w:tcPr>
          <w:p w:rsidR="005606A0" w:rsidRPr="00FF685E" w:rsidRDefault="005606A0" w:rsidP="00B77BA5">
            <w:pPr>
              <w:suppressAutoHyphens/>
              <w:spacing w:before="0" w:after="0"/>
              <w:rPr>
                <w:rFonts w:eastAsia="Times New Roman"/>
                <w:szCs w:val="24"/>
                <w:lang w:val="fr-FR"/>
              </w:rPr>
            </w:pPr>
          </w:p>
        </w:tc>
      </w:tr>
    </w:tbl>
    <w:p w:rsidR="00A06384" w:rsidRPr="00FF685E" w:rsidRDefault="00A06384" w:rsidP="00666C76">
      <w:pPr>
        <w:pStyle w:val="Heading4"/>
        <w:rPr>
          <w:lang w:val="fr-FR"/>
        </w:rPr>
        <w:sectPr w:rsidR="00A06384" w:rsidRPr="00FF685E" w:rsidSect="00FB7824">
          <w:headerReference w:type="default" r:id="rId29"/>
          <w:footerReference w:type="default" r:id="rId30"/>
          <w:headerReference w:type="first" r:id="rId31"/>
          <w:footerReference w:type="first" r:id="rId32"/>
          <w:pgSz w:w="11906" w:h="16838"/>
          <w:pgMar w:top="1021" w:right="1418" w:bottom="1021" w:left="1418" w:header="601" w:footer="1077" w:gutter="0"/>
          <w:cols w:space="720"/>
          <w:docGrid w:linePitch="326"/>
        </w:sectPr>
      </w:pPr>
    </w:p>
    <w:p w:rsidR="00DB39AE" w:rsidRPr="00D00161" w:rsidRDefault="00DB39AE" w:rsidP="00D00161">
      <w:pPr>
        <w:pStyle w:val="Heading1"/>
      </w:pPr>
      <w:bookmarkStart w:id="157" w:name="_Toc394837879"/>
      <w:r w:rsidRPr="00D00161">
        <w:lastRenderedPageBreak/>
        <w:t>Secțiunea 3.  Plan de finanțare</w:t>
      </w:r>
      <w:bookmarkEnd w:id="157"/>
    </w:p>
    <w:p w:rsidR="00DB39AE" w:rsidRDefault="00DB39AE" w:rsidP="00DB39AE">
      <w:pPr>
        <w:pStyle w:val="Heading2"/>
        <w:rPr>
          <w:lang w:val="fr-FR"/>
        </w:rPr>
      </w:pPr>
      <w:bookmarkStart w:id="158" w:name="_Toc394063559"/>
      <w:bookmarkStart w:id="159" w:name="_Toc394837880"/>
      <w:r>
        <w:rPr>
          <w:lang w:val="fr-FR"/>
        </w:rPr>
        <w:t xml:space="preserve">3.1. </w:t>
      </w:r>
      <w:bookmarkStart w:id="160" w:name="_Toc394063560"/>
      <w:bookmarkEnd w:id="158"/>
      <w:r w:rsidRPr="00DB39AE">
        <w:rPr>
          <w:lang w:val="fr-FR"/>
        </w:rPr>
        <w:t>Alocare financiară din FEDR (în EUR)</w:t>
      </w:r>
      <w:bookmarkEnd w:id="159"/>
    </w:p>
    <w:p w:rsidR="00DB39AE" w:rsidRDefault="00DB39AE" w:rsidP="00DB39AE">
      <w:pPr>
        <w:pStyle w:val="Heading2"/>
        <w:rPr>
          <w:lang w:val="en-US"/>
        </w:rPr>
      </w:pPr>
      <w:bookmarkStart w:id="161" w:name="_Toc394837881"/>
      <w:r>
        <w:t>Tabel</w:t>
      </w:r>
      <w:r w:rsidR="00786C3C">
        <w:t>ul</w:t>
      </w:r>
      <w:r>
        <w:t xml:space="preserve"> 15</w:t>
      </w:r>
      <w:bookmarkEnd w:id="160"/>
      <w:bookmarkEnd w:id="16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6"/>
        <w:gridCol w:w="1206"/>
        <w:gridCol w:w="1206"/>
        <w:gridCol w:w="1206"/>
        <w:gridCol w:w="1206"/>
        <w:gridCol w:w="1206"/>
        <w:gridCol w:w="1206"/>
        <w:gridCol w:w="1206"/>
        <w:gridCol w:w="1316"/>
      </w:tblGrid>
      <w:tr w:rsidR="00DB39AE" w:rsidRPr="005C1CDB" w:rsidTr="006C6828">
        <w:trPr>
          <w:trHeight w:val="525"/>
          <w:jc w:val="center"/>
        </w:trPr>
        <w:tc>
          <w:tcPr>
            <w:tcW w:w="1346" w:type="dxa"/>
            <w:tcBorders>
              <w:top w:val="single" w:sz="4" w:space="0" w:color="000000"/>
              <w:left w:val="single" w:sz="4" w:space="0" w:color="000000"/>
              <w:bottom w:val="single" w:sz="4" w:space="0" w:color="000000"/>
              <w:right w:val="single" w:sz="4" w:space="0" w:color="000000"/>
            </w:tcBorders>
            <w:vAlign w:val="center"/>
            <w:hideMark/>
          </w:tcPr>
          <w:p w:rsidR="00DB39AE" w:rsidRPr="005C1CDB" w:rsidRDefault="00DB39AE" w:rsidP="00DB39AE">
            <w:pPr>
              <w:rPr>
                <w:rFonts w:eastAsia="Times New Roman"/>
                <w:b/>
                <w:sz w:val="20"/>
              </w:rPr>
            </w:pPr>
            <w:r w:rsidRPr="005C1CDB">
              <w:rPr>
                <w:b/>
                <w:sz w:val="20"/>
              </w:rPr>
              <w:t>Finanţare</w:t>
            </w:r>
          </w:p>
        </w:tc>
        <w:tc>
          <w:tcPr>
            <w:tcW w:w="1206" w:type="dxa"/>
            <w:tcBorders>
              <w:top w:val="single" w:sz="4" w:space="0" w:color="000000"/>
              <w:left w:val="single" w:sz="4" w:space="0" w:color="000000"/>
              <w:bottom w:val="single" w:sz="4" w:space="0" w:color="000000"/>
              <w:right w:val="single" w:sz="4" w:space="0" w:color="000000"/>
            </w:tcBorders>
            <w:vAlign w:val="center"/>
            <w:hideMark/>
          </w:tcPr>
          <w:p w:rsidR="00DB39AE" w:rsidRPr="005C1CDB" w:rsidRDefault="00DB39AE" w:rsidP="00DB39AE">
            <w:pPr>
              <w:rPr>
                <w:rFonts w:eastAsia="Times New Roman"/>
                <w:b/>
                <w:sz w:val="20"/>
              </w:rPr>
            </w:pPr>
            <w:r w:rsidRPr="005C1CDB">
              <w:rPr>
                <w:b/>
                <w:sz w:val="20"/>
              </w:rPr>
              <w:t>2014</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B39AE" w:rsidRPr="005C1CDB" w:rsidRDefault="00DB39AE" w:rsidP="00DB39AE">
            <w:pPr>
              <w:rPr>
                <w:rFonts w:eastAsia="Times New Roman"/>
                <w:b/>
                <w:sz w:val="20"/>
              </w:rPr>
            </w:pPr>
            <w:r w:rsidRPr="005C1CDB">
              <w:rPr>
                <w:b/>
                <w:sz w:val="20"/>
              </w:rPr>
              <w:t>2015</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B39AE" w:rsidRPr="005C1CDB" w:rsidRDefault="00DB39AE" w:rsidP="00DB39AE">
            <w:pPr>
              <w:rPr>
                <w:rFonts w:eastAsia="Times New Roman"/>
                <w:b/>
                <w:sz w:val="20"/>
              </w:rPr>
            </w:pPr>
            <w:r w:rsidRPr="005C1CDB">
              <w:rPr>
                <w:b/>
                <w:sz w:val="20"/>
              </w:rPr>
              <w:t>2016</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B39AE" w:rsidRPr="005C1CDB" w:rsidRDefault="00DB39AE" w:rsidP="00DB39AE">
            <w:pPr>
              <w:rPr>
                <w:rFonts w:eastAsia="Times New Roman"/>
                <w:b/>
                <w:sz w:val="20"/>
              </w:rPr>
            </w:pPr>
            <w:r w:rsidRPr="005C1CDB">
              <w:rPr>
                <w:b/>
                <w:sz w:val="20"/>
              </w:rPr>
              <w:t>2017</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B39AE" w:rsidRPr="005C1CDB" w:rsidRDefault="00DB39AE" w:rsidP="00DB39AE">
            <w:pPr>
              <w:rPr>
                <w:rFonts w:eastAsia="Times New Roman"/>
                <w:b/>
                <w:sz w:val="20"/>
              </w:rPr>
            </w:pPr>
            <w:r w:rsidRPr="005C1CDB">
              <w:rPr>
                <w:b/>
                <w:sz w:val="20"/>
              </w:rPr>
              <w:t>2018</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B39AE" w:rsidRPr="005C1CDB" w:rsidRDefault="00DB39AE" w:rsidP="00DB39AE">
            <w:pPr>
              <w:rPr>
                <w:rFonts w:eastAsia="Times New Roman"/>
                <w:b/>
                <w:sz w:val="20"/>
              </w:rPr>
            </w:pPr>
            <w:r w:rsidRPr="005C1CDB">
              <w:rPr>
                <w:b/>
                <w:sz w:val="20"/>
              </w:rPr>
              <w:t>2019</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B39AE" w:rsidRPr="005C1CDB" w:rsidRDefault="00DB39AE" w:rsidP="00DB39AE">
            <w:pPr>
              <w:rPr>
                <w:rFonts w:eastAsia="Times New Roman"/>
                <w:b/>
                <w:sz w:val="20"/>
              </w:rPr>
            </w:pPr>
            <w:r w:rsidRPr="005C1CDB">
              <w:rPr>
                <w:b/>
                <w:sz w:val="20"/>
              </w:rPr>
              <w:t>2020</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B39AE" w:rsidRPr="005C1CDB" w:rsidRDefault="00DB39AE" w:rsidP="00DB39AE">
            <w:pPr>
              <w:rPr>
                <w:rFonts w:eastAsia="Times New Roman"/>
                <w:b/>
                <w:sz w:val="20"/>
              </w:rPr>
            </w:pPr>
            <w:r w:rsidRPr="005C1CDB">
              <w:rPr>
                <w:b/>
                <w:sz w:val="20"/>
              </w:rPr>
              <w:t>Total</w:t>
            </w:r>
          </w:p>
        </w:tc>
      </w:tr>
      <w:tr w:rsidR="006C6828" w:rsidRPr="005C1CDB" w:rsidTr="006C6828">
        <w:trPr>
          <w:trHeight w:val="525"/>
          <w:jc w:val="center"/>
        </w:trPr>
        <w:tc>
          <w:tcPr>
            <w:tcW w:w="1346" w:type="dxa"/>
            <w:tcBorders>
              <w:top w:val="single" w:sz="4" w:space="0" w:color="000000"/>
              <w:left w:val="single" w:sz="4" w:space="0" w:color="000000"/>
              <w:bottom w:val="single" w:sz="4" w:space="0" w:color="000000"/>
              <w:right w:val="single" w:sz="4" w:space="0" w:color="000000"/>
            </w:tcBorders>
            <w:vAlign w:val="center"/>
            <w:hideMark/>
          </w:tcPr>
          <w:p w:rsidR="006C6828" w:rsidRPr="005C1CDB" w:rsidRDefault="006C6828" w:rsidP="00DB39AE">
            <w:pPr>
              <w:jc w:val="left"/>
              <w:rPr>
                <w:rFonts w:eastAsia="Times New Roman"/>
                <w:i/>
                <w:sz w:val="20"/>
              </w:rPr>
            </w:pPr>
            <w:r w:rsidRPr="005C1CDB">
              <w:rPr>
                <w:i/>
                <w:sz w:val="20"/>
              </w:rPr>
              <w:t>Fondul European de Dezvoltare</w:t>
            </w:r>
          </w:p>
        </w:tc>
        <w:tc>
          <w:tcPr>
            <w:tcW w:w="1206" w:type="dxa"/>
            <w:tcBorders>
              <w:top w:val="single" w:sz="4" w:space="0" w:color="000000"/>
              <w:left w:val="single" w:sz="4" w:space="0" w:color="000000"/>
              <w:bottom w:val="single" w:sz="4" w:space="0" w:color="000000"/>
              <w:right w:val="single" w:sz="4" w:space="0" w:color="000000"/>
            </w:tcBorders>
            <w:vAlign w:val="bottom"/>
            <w:hideMark/>
          </w:tcPr>
          <w:p w:rsidR="006C6828" w:rsidRPr="005C1CDB" w:rsidRDefault="006C6828" w:rsidP="00DB39AE">
            <w:pPr>
              <w:rPr>
                <w:rFonts w:eastAsia="Times New Roman"/>
                <w:sz w:val="20"/>
              </w:rPr>
            </w:pPr>
            <w:r w:rsidRPr="004B3D3D">
              <w:rPr>
                <w:b/>
                <w:bCs/>
                <w:color w:val="000000"/>
                <w:sz w:val="22"/>
                <w:szCs w:val="22"/>
              </w:rPr>
              <w:t>10,701,145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6C6828" w:rsidRPr="004B3D3D" w:rsidRDefault="006C6828" w:rsidP="00A158A9">
            <w:pPr>
              <w:jc w:val="right"/>
              <w:rPr>
                <w:b/>
                <w:bCs/>
                <w:color w:val="000000"/>
                <w:sz w:val="22"/>
                <w:szCs w:val="22"/>
              </w:rPr>
            </w:pPr>
            <w:r w:rsidRPr="004B3D3D">
              <w:rPr>
                <w:b/>
                <w:bCs/>
                <w:color w:val="000000"/>
                <w:sz w:val="22"/>
                <w:szCs w:val="22"/>
              </w:rPr>
              <w:t>15,625,119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6C6828" w:rsidRPr="004B3D3D" w:rsidRDefault="006C6828" w:rsidP="00A158A9">
            <w:pPr>
              <w:jc w:val="right"/>
              <w:rPr>
                <w:b/>
                <w:bCs/>
                <w:color w:val="000000"/>
                <w:sz w:val="22"/>
                <w:szCs w:val="22"/>
              </w:rPr>
            </w:pPr>
            <w:r w:rsidRPr="004B3D3D">
              <w:rPr>
                <w:b/>
                <w:bCs/>
                <w:color w:val="000000"/>
                <w:sz w:val="22"/>
                <w:szCs w:val="22"/>
              </w:rPr>
              <w:t>22,313,659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6C6828" w:rsidRPr="004B3D3D" w:rsidRDefault="006C6828" w:rsidP="00A158A9">
            <w:pPr>
              <w:jc w:val="right"/>
              <w:rPr>
                <w:b/>
                <w:bCs/>
                <w:color w:val="000000"/>
                <w:sz w:val="22"/>
                <w:szCs w:val="22"/>
              </w:rPr>
            </w:pPr>
            <w:r w:rsidRPr="004B3D3D">
              <w:rPr>
                <w:b/>
                <w:bCs/>
                <w:color w:val="000000"/>
                <w:sz w:val="22"/>
                <w:szCs w:val="22"/>
              </w:rPr>
              <w:t>40,543,785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6C6828" w:rsidRPr="004B3D3D" w:rsidRDefault="006C6828" w:rsidP="00A158A9">
            <w:pPr>
              <w:jc w:val="right"/>
              <w:rPr>
                <w:b/>
                <w:bCs/>
                <w:color w:val="000000"/>
                <w:sz w:val="22"/>
                <w:szCs w:val="22"/>
              </w:rPr>
            </w:pPr>
            <w:r w:rsidRPr="004B3D3D">
              <w:rPr>
                <w:b/>
                <w:bCs/>
                <w:color w:val="000000"/>
                <w:sz w:val="22"/>
                <w:szCs w:val="22"/>
              </w:rPr>
              <w:t>41,354,660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6C6828" w:rsidRPr="004B3D3D" w:rsidRDefault="006C6828" w:rsidP="00A158A9">
            <w:pPr>
              <w:jc w:val="right"/>
              <w:rPr>
                <w:b/>
                <w:bCs/>
                <w:color w:val="000000"/>
                <w:sz w:val="22"/>
                <w:szCs w:val="22"/>
              </w:rPr>
            </w:pPr>
            <w:r w:rsidRPr="004B3D3D">
              <w:rPr>
                <w:b/>
                <w:bCs/>
                <w:color w:val="000000"/>
                <w:sz w:val="22"/>
                <w:szCs w:val="22"/>
              </w:rPr>
              <w:t>42,181,755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6C6828" w:rsidRPr="004B3D3D" w:rsidRDefault="006C6828" w:rsidP="00A158A9">
            <w:pPr>
              <w:jc w:val="right"/>
              <w:rPr>
                <w:b/>
                <w:bCs/>
                <w:color w:val="000000"/>
                <w:sz w:val="22"/>
                <w:szCs w:val="22"/>
              </w:rPr>
            </w:pPr>
            <w:r w:rsidRPr="004B3D3D">
              <w:rPr>
                <w:b/>
                <w:bCs/>
                <w:color w:val="000000"/>
                <w:sz w:val="22"/>
                <w:szCs w:val="22"/>
              </w:rPr>
              <w:t>43,025,390</w:t>
            </w:r>
          </w:p>
        </w:tc>
        <w:tc>
          <w:tcPr>
            <w:tcW w:w="0" w:type="auto"/>
            <w:tcBorders>
              <w:top w:val="single" w:sz="4" w:space="0" w:color="000000"/>
              <w:left w:val="single" w:sz="4" w:space="0" w:color="000000"/>
              <w:bottom w:val="single" w:sz="4" w:space="0" w:color="000000"/>
              <w:right w:val="single" w:sz="4" w:space="0" w:color="000000"/>
            </w:tcBorders>
            <w:vAlign w:val="center"/>
          </w:tcPr>
          <w:p w:rsidR="006C6828" w:rsidRPr="004B3D3D" w:rsidRDefault="006C6828" w:rsidP="00A158A9">
            <w:pPr>
              <w:jc w:val="left"/>
              <w:rPr>
                <w:b/>
                <w:bCs/>
                <w:color w:val="000000"/>
                <w:sz w:val="22"/>
                <w:szCs w:val="22"/>
                <w:lang w:val="en-US"/>
              </w:rPr>
            </w:pPr>
            <w:r w:rsidRPr="004B3D3D">
              <w:rPr>
                <w:b/>
                <w:bCs/>
                <w:color w:val="000000"/>
                <w:sz w:val="22"/>
                <w:szCs w:val="22"/>
                <w:lang w:val="en-US"/>
              </w:rPr>
              <w:t>215,745,513</w:t>
            </w:r>
          </w:p>
          <w:p w:rsidR="006C6828" w:rsidRPr="004B3D3D" w:rsidDel="00F57C97" w:rsidRDefault="006C6828" w:rsidP="00A158A9">
            <w:pPr>
              <w:spacing w:after="240" w:line="276" w:lineRule="auto"/>
              <w:jc w:val="left"/>
              <w:rPr>
                <w:rFonts w:eastAsia="Times New Roman"/>
                <w:lang w:val="en-US"/>
              </w:rPr>
            </w:pPr>
          </w:p>
        </w:tc>
      </w:tr>
      <w:tr w:rsidR="00DB39AE" w:rsidRPr="005C1CDB" w:rsidTr="006C6828">
        <w:trPr>
          <w:trHeight w:val="525"/>
          <w:jc w:val="center"/>
        </w:trPr>
        <w:tc>
          <w:tcPr>
            <w:tcW w:w="1346" w:type="dxa"/>
            <w:tcBorders>
              <w:top w:val="single" w:sz="4" w:space="0" w:color="000000"/>
              <w:left w:val="single" w:sz="4" w:space="0" w:color="000000"/>
              <w:bottom w:val="single" w:sz="4" w:space="0" w:color="000000"/>
              <w:right w:val="single" w:sz="4" w:space="0" w:color="000000"/>
            </w:tcBorders>
            <w:vAlign w:val="center"/>
            <w:hideMark/>
          </w:tcPr>
          <w:p w:rsidR="00DB39AE" w:rsidRPr="005C1CDB" w:rsidRDefault="00DB39AE" w:rsidP="00DB39AE">
            <w:pPr>
              <w:jc w:val="left"/>
              <w:rPr>
                <w:rFonts w:eastAsia="Times New Roman"/>
                <w:i/>
                <w:sz w:val="20"/>
              </w:rPr>
            </w:pPr>
            <w:r w:rsidRPr="005C1CDB">
              <w:rPr>
                <w:i/>
                <w:sz w:val="20"/>
              </w:rPr>
              <w:t>Sumele IPA (dupã caz)</w:t>
            </w:r>
          </w:p>
        </w:tc>
        <w:tc>
          <w:tcPr>
            <w:tcW w:w="1206" w:type="dxa"/>
            <w:tcBorders>
              <w:top w:val="single" w:sz="4" w:space="0" w:color="000000"/>
              <w:left w:val="single" w:sz="4" w:space="0" w:color="000000"/>
              <w:bottom w:val="single" w:sz="4" w:space="0" w:color="000000"/>
              <w:right w:val="single" w:sz="4" w:space="0" w:color="000000"/>
            </w:tcBorders>
            <w:vAlign w:val="center"/>
          </w:tcPr>
          <w:p w:rsidR="00DB39AE" w:rsidRPr="005C1CDB" w:rsidRDefault="00DB39AE" w:rsidP="00DB39AE">
            <w:pPr>
              <w:rPr>
                <w:rFonts w:eastAsia="Times New Roman"/>
                <w:sz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B39AE" w:rsidRPr="005C1CDB" w:rsidRDefault="00DB39AE" w:rsidP="00DB39AE">
            <w:pPr>
              <w:rPr>
                <w:rFonts w:eastAsia="Times New Roman"/>
                <w:sz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B39AE" w:rsidRPr="005C1CDB" w:rsidRDefault="00DB39AE" w:rsidP="00DB39AE">
            <w:pPr>
              <w:rPr>
                <w:rFonts w:eastAsia="Times New Roman"/>
                <w:sz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B39AE" w:rsidRPr="005C1CDB" w:rsidRDefault="00DB39AE" w:rsidP="00DB39AE">
            <w:pPr>
              <w:rPr>
                <w:rFonts w:eastAsia="Times New Roman"/>
                <w:sz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B39AE" w:rsidRPr="005C1CDB" w:rsidRDefault="00DB39AE" w:rsidP="00DB39AE">
            <w:pPr>
              <w:rPr>
                <w:rFonts w:eastAsia="Times New Roman"/>
                <w:sz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B39AE" w:rsidRPr="005C1CDB" w:rsidRDefault="00DB39AE" w:rsidP="00DB39AE">
            <w:pPr>
              <w:rPr>
                <w:rFonts w:eastAsia="Times New Roman"/>
                <w:sz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B39AE" w:rsidRPr="005C1CDB" w:rsidRDefault="00DB39AE" w:rsidP="00DB39AE">
            <w:pPr>
              <w:rPr>
                <w:rFonts w:eastAsia="Times New Roman"/>
                <w:sz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B39AE" w:rsidRPr="005C1CDB" w:rsidRDefault="00DB39AE" w:rsidP="00DB39AE">
            <w:pPr>
              <w:rPr>
                <w:rFonts w:eastAsia="Times New Roman"/>
                <w:sz w:val="20"/>
              </w:rPr>
            </w:pPr>
          </w:p>
        </w:tc>
      </w:tr>
      <w:tr w:rsidR="00DB39AE" w:rsidRPr="005C1CDB" w:rsidTr="006C6828">
        <w:trPr>
          <w:trHeight w:val="525"/>
          <w:jc w:val="center"/>
        </w:trPr>
        <w:tc>
          <w:tcPr>
            <w:tcW w:w="1346" w:type="dxa"/>
            <w:tcBorders>
              <w:top w:val="single" w:sz="4" w:space="0" w:color="000000"/>
              <w:left w:val="single" w:sz="4" w:space="0" w:color="000000"/>
              <w:bottom w:val="single" w:sz="4" w:space="0" w:color="000000"/>
              <w:right w:val="single" w:sz="4" w:space="0" w:color="000000"/>
            </w:tcBorders>
            <w:vAlign w:val="center"/>
            <w:hideMark/>
          </w:tcPr>
          <w:p w:rsidR="00DB39AE" w:rsidRPr="005C1CDB" w:rsidRDefault="00DB39AE" w:rsidP="00DB39AE">
            <w:pPr>
              <w:jc w:val="left"/>
              <w:rPr>
                <w:rFonts w:eastAsia="Times New Roman"/>
                <w:i/>
                <w:sz w:val="20"/>
              </w:rPr>
            </w:pPr>
            <w:r w:rsidRPr="005C1CDB">
              <w:rPr>
                <w:i/>
                <w:sz w:val="20"/>
              </w:rPr>
              <w:t>Sumele ENI (dupã caz)</w:t>
            </w:r>
          </w:p>
        </w:tc>
        <w:tc>
          <w:tcPr>
            <w:tcW w:w="1206" w:type="dxa"/>
            <w:tcBorders>
              <w:top w:val="single" w:sz="4" w:space="0" w:color="000000"/>
              <w:left w:val="single" w:sz="4" w:space="0" w:color="000000"/>
              <w:bottom w:val="single" w:sz="4" w:space="0" w:color="000000"/>
              <w:right w:val="single" w:sz="4" w:space="0" w:color="000000"/>
            </w:tcBorders>
            <w:vAlign w:val="center"/>
          </w:tcPr>
          <w:p w:rsidR="00DB39AE" w:rsidRPr="005C1CDB" w:rsidRDefault="00DB39AE" w:rsidP="00DB39AE">
            <w:pPr>
              <w:rPr>
                <w:rFonts w:eastAsia="Times New Roman"/>
                <w:sz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B39AE" w:rsidRPr="005C1CDB" w:rsidRDefault="00DB39AE" w:rsidP="00DB39AE">
            <w:pPr>
              <w:rPr>
                <w:rFonts w:eastAsia="Times New Roman"/>
                <w:sz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B39AE" w:rsidRPr="005C1CDB" w:rsidRDefault="00DB39AE" w:rsidP="00DB39AE">
            <w:pPr>
              <w:rPr>
                <w:rFonts w:eastAsia="Times New Roman"/>
                <w:sz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B39AE" w:rsidRPr="005C1CDB" w:rsidRDefault="00DB39AE" w:rsidP="00DB39AE">
            <w:pPr>
              <w:rPr>
                <w:rFonts w:eastAsia="Times New Roman"/>
                <w:sz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B39AE" w:rsidRPr="005C1CDB" w:rsidRDefault="00DB39AE" w:rsidP="00DB39AE">
            <w:pPr>
              <w:rPr>
                <w:rFonts w:eastAsia="Times New Roman"/>
                <w:sz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B39AE" w:rsidRPr="005C1CDB" w:rsidRDefault="00DB39AE" w:rsidP="00DB39AE">
            <w:pPr>
              <w:rPr>
                <w:rFonts w:eastAsia="Times New Roman"/>
                <w:sz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B39AE" w:rsidRPr="005C1CDB" w:rsidRDefault="00DB39AE" w:rsidP="00DB39AE">
            <w:pPr>
              <w:rPr>
                <w:rFonts w:eastAsia="Times New Roman"/>
                <w:sz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B39AE" w:rsidRPr="005C1CDB" w:rsidRDefault="00DB39AE" w:rsidP="00DB39AE">
            <w:pPr>
              <w:rPr>
                <w:rFonts w:eastAsia="Times New Roman"/>
                <w:sz w:val="20"/>
              </w:rPr>
            </w:pPr>
          </w:p>
        </w:tc>
      </w:tr>
      <w:tr w:rsidR="006C6828" w:rsidRPr="005C1CDB" w:rsidTr="006C6828">
        <w:trPr>
          <w:trHeight w:val="525"/>
          <w:jc w:val="center"/>
        </w:trPr>
        <w:tc>
          <w:tcPr>
            <w:tcW w:w="1346" w:type="dxa"/>
            <w:tcBorders>
              <w:top w:val="single" w:sz="4" w:space="0" w:color="000000"/>
              <w:left w:val="single" w:sz="4" w:space="0" w:color="000000"/>
              <w:bottom w:val="single" w:sz="4" w:space="0" w:color="000000"/>
              <w:right w:val="single" w:sz="4" w:space="0" w:color="000000"/>
            </w:tcBorders>
            <w:vAlign w:val="center"/>
            <w:hideMark/>
          </w:tcPr>
          <w:p w:rsidR="006C6828" w:rsidRPr="005C1CDB" w:rsidRDefault="006C6828" w:rsidP="00DB39AE">
            <w:pPr>
              <w:jc w:val="left"/>
              <w:rPr>
                <w:rFonts w:eastAsia="Times New Roman"/>
                <w:i/>
                <w:sz w:val="20"/>
              </w:rPr>
            </w:pPr>
            <w:r w:rsidRPr="005C1CDB">
              <w:rPr>
                <w:i/>
                <w:sz w:val="20"/>
              </w:rPr>
              <w:t>Total</w:t>
            </w:r>
          </w:p>
        </w:tc>
        <w:tc>
          <w:tcPr>
            <w:tcW w:w="1206" w:type="dxa"/>
            <w:tcBorders>
              <w:top w:val="single" w:sz="4" w:space="0" w:color="000000"/>
              <w:left w:val="single" w:sz="4" w:space="0" w:color="000000"/>
              <w:bottom w:val="single" w:sz="4" w:space="0" w:color="000000"/>
              <w:right w:val="single" w:sz="4" w:space="0" w:color="000000"/>
            </w:tcBorders>
            <w:vAlign w:val="bottom"/>
            <w:hideMark/>
          </w:tcPr>
          <w:p w:rsidR="006C6828" w:rsidRPr="005C1CDB" w:rsidRDefault="006C6828" w:rsidP="00A158A9">
            <w:pPr>
              <w:rPr>
                <w:rFonts w:eastAsia="Times New Roman"/>
                <w:sz w:val="20"/>
              </w:rPr>
            </w:pPr>
            <w:r w:rsidRPr="004B3D3D">
              <w:rPr>
                <w:b/>
                <w:bCs/>
                <w:color w:val="000000"/>
                <w:sz w:val="22"/>
                <w:szCs w:val="22"/>
              </w:rPr>
              <w:t>10,701,145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6C6828" w:rsidRPr="004B3D3D" w:rsidRDefault="006C6828" w:rsidP="00A158A9">
            <w:pPr>
              <w:jc w:val="right"/>
              <w:rPr>
                <w:b/>
                <w:bCs/>
                <w:color w:val="000000"/>
                <w:sz w:val="22"/>
                <w:szCs w:val="22"/>
              </w:rPr>
            </w:pPr>
            <w:r w:rsidRPr="004B3D3D">
              <w:rPr>
                <w:b/>
                <w:bCs/>
                <w:color w:val="000000"/>
                <w:sz w:val="22"/>
                <w:szCs w:val="22"/>
              </w:rPr>
              <w:t>15,625,119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6C6828" w:rsidRPr="004B3D3D" w:rsidRDefault="006C6828" w:rsidP="00A158A9">
            <w:pPr>
              <w:jc w:val="right"/>
              <w:rPr>
                <w:b/>
                <w:bCs/>
                <w:color w:val="000000"/>
                <w:sz w:val="22"/>
                <w:szCs w:val="22"/>
              </w:rPr>
            </w:pPr>
            <w:r w:rsidRPr="004B3D3D">
              <w:rPr>
                <w:b/>
                <w:bCs/>
                <w:color w:val="000000"/>
                <w:sz w:val="22"/>
                <w:szCs w:val="22"/>
              </w:rPr>
              <w:t>22,313,659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6C6828" w:rsidRPr="004B3D3D" w:rsidRDefault="006C6828" w:rsidP="00A158A9">
            <w:pPr>
              <w:jc w:val="right"/>
              <w:rPr>
                <w:b/>
                <w:bCs/>
                <w:color w:val="000000"/>
                <w:sz w:val="22"/>
                <w:szCs w:val="22"/>
              </w:rPr>
            </w:pPr>
            <w:r w:rsidRPr="004B3D3D">
              <w:rPr>
                <w:b/>
                <w:bCs/>
                <w:color w:val="000000"/>
                <w:sz w:val="22"/>
                <w:szCs w:val="22"/>
              </w:rPr>
              <w:t>40,543,785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6C6828" w:rsidRPr="004B3D3D" w:rsidRDefault="006C6828" w:rsidP="00A158A9">
            <w:pPr>
              <w:jc w:val="right"/>
              <w:rPr>
                <w:b/>
                <w:bCs/>
                <w:color w:val="000000"/>
                <w:sz w:val="22"/>
                <w:szCs w:val="22"/>
              </w:rPr>
            </w:pPr>
            <w:r w:rsidRPr="004B3D3D">
              <w:rPr>
                <w:b/>
                <w:bCs/>
                <w:color w:val="000000"/>
                <w:sz w:val="22"/>
                <w:szCs w:val="22"/>
              </w:rPr>
              <w:t>41,354,660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6C6828" w:rsidRPr="004B3D3D" w:rsidRDefault="006C6828" w:rsidP="00A158A9">
            <w:pPr>
              <w:jc w:val="right"/>
              <w:rPr>
                <w:b/>
                <w:bCs/>
                <w:color w:val="000000"/>
                <w:sz w:val="22"/>
                <w:szCs w:val="22"/>
              </w:rPr>
            </w:pPr>
            <w:r w:rsidRPr="004B3D3D">
              <w:rPr>
                <w:b/>
                <w:bCs/>
                <w:color w:val="000000"/>
                <w:sz w:val="22"/>
                <w:szCs w:val="22"/>
              </w:rPr>
              <w:t>42,181,755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6C6828" w:rsidRPr="004B3D3D" w:rsidRDefault="006C6828" w:rsidP="00A158A9">
            <w:pPr>
              <w:jc w:val="right"/>
              <w:rPr>
                <w:b/>
                <w:bCs/>
                <w:color w:val="000000"/>
                <w:sz w:val="22"/>
                <w:szCs w:val="22"/>
              </w:rPr>
            </w:pPr>
            <w:r w:rsidRPr="004B3D3D">
              <w:rPr>
                <w:b/>
                <w:bCs/>
                <w:color w:val="000000"/>
                <w:sz w:val="22"/>
                <w:szCs w:val="22"/>
              </w:rPr>
              <w:t>43,025,390</w:t>
            </w:r>
          </w:p>
        </w:tc>
        <w:tc>
          <w:tcPr>
            <w:tcW w:w="0" w:type="auto"/>
            <w:tcBorders>
              <w:top w:val="single" w:sz="4" w:space="0" w:color="000000"/>
              <w:left w:val="single" w:sz="4" w:space="0" w:color="000000"/>
              <w:bottom w:val="single" w:sz="4" w:space="0" w:color="000000"/>
              <w:right w:val="single" w:sz="4" w:space="0" w:color="000000"/>
            </w:tcBorders>
            <w:vAlign w:val="center"/>
          </w:tcPr>
          <w:p w:rsidR="006C6828" w:rsidRPr="005C1CDB" w:rsidRDefault="006C6828" w:rsidP="00DB39AE">
            <w:pPr>
              <w:rPr>
                <w:rFonts w:eastAsia="Times New Roman"/>
                <w:b/>
                <w:bCs/>
                <w:sz w:val="20"/>
              </w:rPr>
            </w:pPr>
            <w:r w:rsidRPr="005C1CDB">
              <w:rPr>
                <w:b/>
                <w:bCs/>
                <w:sz w:val="20"/>
              </w:rPr>
              <w:t>215,745,513</w:t>
            </w:r>
          </w:p>
          <w:p w:rsidR="006C6828" w:rsidRPr="005C1CDB" w:rsidRDefault="006C6828" w:rsidP="00DB39AE">
            <w:pPr>
              <w:rPr>
                <w:rFonts w:eastAsia="Times New Roman"/>
                <w:sz w:val="20"/>
              </w:rPr>
            </w:pPr>
          </w:p>
        </w:tc>
      </w:tr>
    </w:tbl>
    <w:p w:rsidR="00DB39AE" w:rsidRPr="005C1CDB" w:rsidRDefault="00DB39AE" w:rsidP="00DB39AE">
      <w:pPr>
        <w:rPr>
          <w:rFonts w:eastAsia="Times New Roman"/>
          <w:sz w:val="20"/>
        </w:rPr>
      </w:pPr>
    </w:p>
    <w:p w:rsidR="00DB39AE" w:rsidRPr="000F28CA" w:rsidRDefault="00DB39AE" w:rsidP="00DB39AE">
      <w:pPr>
        <w:pStyle w:val="Heading2"/>
        <w:rPr>
          <w:lang w:val="fr-FR"/>
        </w:rPr>
      </w:pPr>
      <w:bookmarkStart w:id="162" w:name="_Toc394837882"/>
      <w:r w:rsidRPr="000F28CA">
        <w:rPr>
          <w:lang w:val="fr-FR"/>
        </w:rPr>
        <w:t>3.2</w:t>
      </w:r>
      <w:proofErr w:type="gramStart"/>
      <w:r w:rsidRPr="000F28CA">
        <w:rPr>
          <w:lang w:val="fr-FR"/>
        </w:rPr>
        <w:t>.A</w:t>
      </w:r>
      <w:proofErr w:type="gramEnd"/>
      <w:r w:rsidRPr="000F28CA">
        <w:rPr>
          <w:lang w:val="fr-FR"/>
        </w:rPr>
        <w:t xml:space="preserve">. </w:t>
      </w:r>
      <w:r w:rsidR="008D5931" w:rsidRPr="008D5931">
        <w:rPr>
          <w:lang w:val="fr-FR"/>
        </w:rPr>
        <w:t>Alocare financiară totală din FEDR și cofinanțare națională (în EUR)</w:t>
      </w:r>
      <w:bookmarkEnd w:id="162"/>
    </w:p>
    <w:tbl>
      <w:tblPr>
        <w:tblStyle w:val="TableGrid"/>
        <w:tblW w:w="0" w:type="auto"/>
        <w:jc w:val="center"/>
        <w:tblLook w:val="04A0" w:firstRow="1" w:lastRow="0" w:firstColumn="1" w:lastColumn="0" w:noHBand="0" w:noVBand="1"/>
      </w:tblPr>
      <w:tblGrid>
        <w:gridCol w:w="10188"/>
      </w:tblGrid>
      <w:tr w:rsidR="00DB39AE" w:rsidRPr="00A158A9" w:rsidTr="00DB39AE">
        <w:trPr>
          <w:jc w:val="center"/>
        </w:trPr>
        <w:tc>
          <w:tcPr>
            <w:tcW w:w="10188" w:type="dxa"/>
          </w:tcPr>
          <w:p w:rsidR="008D5931" w:rsidRPr="008D5931" w:rsidRDefault="008D5931" w:rsidP="00EC1DA9">
            <w:pPr>
              <w:pStyle w:val="ListParagraph"/>
              <w:numPr>
                <w:ilvl w:val="0"/>
                <w:numId w:val="36"/>
              </w:numPr>
              <w:spacing w:before="120" w:after="120"/>
              <w:rPr>
                <w:i/>
                <w:szCs w:val="24"/>
                <w:lang w:val="fr-FR"/>
              </w:rPr>
            </w:pPr>
            <w:r w:rsidRPr="008D5931">
              <w:rPr>
                <w:i/>
                <w:szCs w:val="24"/>
                <w:lang w:val="fr-FR"/>
              </w:rPr>
              <w:t>Tabelul cu date financiare stabilește planul financiar al programului de cooperare per axă prioritară. Dacă programele pentru regiunile cele mai îndepărtate combină alocări transfrontaliere și transnaționale, pentru fiecare dintre acestea vor fi stabilite axe prioritare separate.</w:t>
            </w:r>
          </w:p>
          <w:p w:rsidR="008D5931" w:rsidRPr="008D5931" w:rsidRDefault="008D5931" w:rsidP="00EC1DA9">
            <w:pPr>
              <w:pStyle w:val="ListParagraph"/>
              <w:numPr>
                <w:ilvl w:val="0"/>
                <w:numId w:val="36"/>
              </w:numPr>
              <w:spacing w:before="120" w:after="120"/>
              <w:rPr>
                <w:i/>
                <w:szCs w:val="24"/>
                <w:lang w:val="fr-FR"/>
              </w:rPr>
            </w:pPr>
            <w:r w:rsidRPr="008D5931">
              <w:rPr>
                <w:i/>
                <w:szCs w:val="24"/>
                <w:lang w:val="fr-FR"/>
              </w:rPr>
              <w:t>În scop informativ, tabelul cu date financiare va prezenta orice contribuție din partea țărilor terțe care participă la programul de cooperare (altele decât contribuțiile de la IPA și ENI)</w:t>
            </w:r>
          </w:p>
          <w:p w:rsidR="008D5931" w:rsidRPr="008D5931" w:rsidRDefault="008D5931" w:rsidP="00EC1DA9">
            <w:pPr>
              <w:pStyle w:val="ListParagraph"/>
              <w:numPr>
                <w:ilvl w:val="0"/>
                <w:numId w:val="36"/>
              </w:numPr>
              <w:spacing w:before="120" w:after="120"/>
              <w:rPr>
                <w:i/>
                <w:szCs w:val="24"/>
                <w:lang w:val="fr-FR"/>
              </w:rPr>
            </w:pPr>
            <w:r w:rsidRPr="008D5931">
              <w:rPr>
                <w:i/>
                <w:szCs w:val="24"/>
                <w:lang w:val="fr-FR"/>
              </w:rPr>
              <w:t xml:space="preserve">Contribuția BEI </w:t>
            </w:r>
            <w:r>
              <w:rPr>
                <w:rStyle w:val="FootnoteReference"/>
                <w:i/>
                <w:szCs w:val="24"/>
                <w:lang w:val="fr-FR"/>
              </w:rPr>
              <w:footnoteReference w:id="16"/>
            </w:r>
            <w:r w:rsidRPr="008D5931">
              <w:rPr>
                <w:i/>
                <w:szCs w:val="24"/>
                <w:lang w:val="fr-FR"/>
              </w:rPr>
              <w:t xml:space="preserve">  ar trebui prezentată la nivelul axei prioritare.</w:t>
            </w:r>
          </w:p>
          <w:p w:rsidR="00DB39AE" w:rsidRPr="008D5931" w:rsidRDefault="00DB39AE" w:rsidP="008D5931">
            <w:pPr>
              <w:ind w:left="360"/>
              <w:rPr>
                <w:lang w:val="fr-FR"/>
              </w:rPr>
            </w:pPr>
          </w:p>
        </w:tc>
      </w:tr>
    </w:tbl>
    <w:p w:rsidR="00DB39AE" w:rsidRDefault="00DB39AE" w:rsidP="00DB39AE">
      <w:pPr>
        <w:rPr>
          <w:lang w:val="fr-FR"/>
        </w:rPr>
      </w:pPr>
    </w:p>
    <w:p w:rsidR="00DB39AE" w:rsidRDefault="00DB39AE" w:rsidP="00DB39AE">
      <w:pPr>
        <w:rPr>
          <w:lang w:val="fr-FR"/>
        </w:rPr>
        <w:sectPr w:rsidR="00DB39AE">
          <w:pgSz w:w="12240" w:h="15840"/>
          <w:pgMar w:top="1134" w:right="1134" w:bottom="1134" w:left="1134" w:header="720" w:footer="720" w:gutter="0"/>
          <w:cols w:space="720"/>
        </w:sectPr>
      </w:pPr>
      <w:r>
        <w:rPr>
          <w:lang w:val="fr-FR"/>
        </w:rPr>
        <w:tab/>
      </w:r>
    </w:p>
    <w:p w:rsidR="00DB39AE" w:rsidRPr="005C1CDB" w:rsidRDefault="008D5931" w:rsidP="00DB39AE">
      <w:pPr>
        <w:pStyle w:val="Heading2"/>
        <w:rPr>
          <w:lang w:val="ro-RO"/>
        </w:rPr>
      </w:pPr>
      <w:bookmarkStart w:id="163" w:name="_Toc394837883"/>
      <w:r>
        <w:rPr>
          <w:lang w:val="fr-FR"/>
        </w:rPr>
        <w:lastRenderedPageBreak/>
        <w:t>Tabelul</w:t>
      </w:r>
      <w:r w:rsidR="00DB39AE" w:rsidRPr="005C1CDB">
        <w:rPr>
          <w:lang w:val="fr-FR"/>
        </w:rPr>
        <w:t xml:space="preserve"> 16 : Plan de finan</w:t>
      </w:r>
      <w:r w:rsidR="00DB39AE" w:rsidRPr="005C1CDB">
        <w:rPr>
          <w:lang w:val="ro-RO"/>
        </w:rPr>
        <w:t>ţare</w:t>
      </w:r>
      <w:bookmarkEnd w:id="163"/>
    </w:p>
    <w:tbl>
      <w:tblPr>
        <w:tblW w:w="15266" w:type="dxa"/>
        <w:jc w:val="center"/>
        <w:tblCellMar>
          <w:left w:w="0" w:type="dxa"/>
          <w:right w:w="0" w:type="dxa"/>
        </w:tblCellMar>
        <w:tblLook w:val="04A0" w:firstRow="1" w:lastRow="0" w:firstColumn="1" w:lastColumn="0" w:noHBand="0" w:noVBand="1"/>
      </w:tblPr>
      <w:tblGrid>
        <w:gridCol w:w="1207"/>
        <w:gridCol w:w="1620"/>
        <w:gridCol w:w="1752"/>
        <w:gridCol w:w="1257"/>
        <w:gridCol w:w="1403"/>
        <w:gridCol w:w="1161"/>
        <w:gridCol w:w="1405"/>
        <w:gridCol w:w="1333"/>
        <w:gridCol w:w="1499"/>
        <w:gridCol w:w="1350"/>
        <w:gridCol w:w="1279"/>
      </w:tblGrid>
      <w:tr w:rsidR="00DB39AE" w:rsidTr="00DB39AE">
        <w:trPr>
          <w:jc w:val="center"/>
        </w:trPr>
        <w:tc>
          <w:tcPr>
            <w:tcW w:w="120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39AE" w:rsidRDefault="008D5931" w:rsidP="00DB39AE">
            <w:pPr>
              <w:spacing w:before="0" w:after="0" w:line="276" w:lineRule="auto"/>
              <w:rPr>
                <w:sz w:val="20"/>
              </w:rPr>
            </w:pPr>
            <w:r w:rsidRPr="008D5931">
              <w:rPr>
                <w:sz w:val="20"/>
              </w:rPr>
              <w:t>Axa prioritară</w:t>
            </w:r>
          </w:p>
        </w:tc>
        <w:tc>
          <w:tcPr>
            <w:tcW w:w="16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B39AE" w:rsidRDefault="008D5931" w:rsidP="00DB39AE">
            <w:pPr>
              <w:spacing w:before="0" w:after="0" w:line="276" w:lineRule="auto"/>
              <w:jc w:val="left"/>
              <w:rPr>
                <w:sz w:val="20"/>
              </w:rPr>
            </w:pPr>
            <w:r>
              <w:rPr>
                <w:sz w:val="20"/>
              </w:rPr>
              <w:t>Fond</w:t>
            </w:r>
          </w:p>
        </w:tc>
        <w:tc>
          <w:tcPr>
            <w:tcW w:w="17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B39AE" w:rsidRPr="006C6828" w:rsidRDefault="008D5931" w:rsidP="00DB39AE">
            <w:pPr>
              <w:spacing w:before="0" w:after="0" w:line="276" w:lineRule="auto"/>
              <w:jc w:val="left"/>
              <w:rPr>
                <w:sz w:val="20"/>
                <w:lang w:val="it-IT"/>
              </w:rPr>
            </w:pPr>
            <w:r w:rsidRPr="006C6828">
              <w:rPr>
                <w:sz w:val="20"/>
                <w:lang w:val="it-IT"/>
              </w:rPr>
              <w:t>Baza de calcul pentru sprijinul din partea Uniunii (Costul total eligibil sau costul public eligibil)</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B39AE" w:rsidRPr="006C6828" w:rsidRDefault="008D5931" w:rsidP="00DB39AE">
            <w:pPr>
              <w:spacing w:before="0" w:after="0" w:line="276" w:lineRule="auto"/>
              <w:jc w:val="left"/>
              <w:rPr>
                <w:sz w:val="20"/>
                <w:lang w:val="it-IT"/>
              </w:rPr>
            </w:pPr>
            <w:r w:rsidRPr="006C6828">
              <w:rPr>
                <w:sz w:val="20"/>
                <w:lang w:val="it-IT"/>
              </w:rPr>
              <w:t>Sprijinul din partea Uniunii (a)</w:t>
            </w:r>
          </w:p>
        </w:tc>
        <w:tc>
          <w:tcPr>
            <w:tcW w:w="140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left"/>
              <w:rPr>
                <w:sz w:val="20"/>
                <w:lang w:val="fr-FR"/>
              </w:rPr>
            </w:pPr>
            <w:r>
              <w:rPr>
                <w:sz w:val="20"/>
                <w:lang w:val="fr-FR"/>
              </w:rPr>
              <w:t>Contrapartida naţionalã (b) = (c) + (d))</w:t>
            </w:r>
          </w:p>
        </w:tc>
        <w:tc>
          <w:tcPr>
            <w:tcW w:w="2552"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B39AE" w:rsidRPr="006C6828" w:rsidRDefault="00DB39AE" w:rsidP="008D5931">
            <w:pPr>
              <w:spacing w:before="0" w:after="0" w:line="276" w:lineRule="auto"/>
              <w:jc w:val="left"/>
              <w:rPr>
                <w:sz w:val="20"/>
                <w:lang w:val="it-IT"/>
              </w:rPr>
            </w:pPr>
            <w:r w:rsidRPr="006C6828">
              <w:rPr>
                <w:sz w:val="20"/>
                <w:lang w:val="it-IT"/>
              </w:rPr>
              <w:t xml:space="preserve">Defalcarea </w:t>
            </w:r>
            <w:r w:rsidR="008D5931" w:rsidRPr="006C6828">
              <w:rPr>
                <w:sz w:val="20"/>
                <w:lang w:val="it-IT"/>
              </w:rPr>
              <w:t>indic</w:t>
            </w:r>
            <w:r w:rsidRPr="006C6828">
              <w:rPr>
                <w:sz w:val="20"/>
                <w:lang w:val="it-IT"/>
              </w:rPr>
              <w:t>ativă a contrapartidei  naţionale</w:t>
            </w:r>
          </w:p>
        </w:tc>
        <w:tc>
          <w:tcPr>
            <w:tcW w:w="13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D5931" w:rsidRPr="006C6828" w:rsidRDefault="008D5931" w:rsidP="00DB39AE">
            <w:pPr>
              <w:spacing w:before="0" w:after="0" w:line="276" w:lineRule="auto"/>
              <w:jc w:val="left"/>
              <w:rPr>
                <w:sz w:val="20"/>
                <w:lang w:val="it-IT"/>
              </w:rPr>
            </w:pPr>
            <w:r w:rsidRPr="006C6828">
              <w:rPr>
                <w:sz w:val="20"/>
                <w:lang w:val="it-IT"/>
              </w:rPr>
              <w:t>Finanțare totală</w:t>
            </w:r>
          </w:p>
          <w:p w:rsidR="00DB39AE" w:rsidRPr="006C6828" w:rsidRDefault="00DB39AE" w:rsidP="00DB39AE">
            <w:pPr>
              <w:spacing w:before="0" w:after="0" w:line="276" w:lineRule="auto"/>
              <w:jc w:val="left"/>
              <w:rPr>
                <w:sz w:val="20"/>
                <w:lang w:val="it-IT"/>
              </w:rPr>
            </w:pPr>
            <w:r w:rsidRPr="006C6828">
              <w:rPr>
                <w:sz w:val="20"/>
                <w:lang w:val="it-IT"/>
              </w:rPr>
              <w:t xml:space="preserve">(e) = (a) + (b) </w:t>
            </w:r>
          </w:p>
        </w:tc>
        <w:tc>
          <w:tcPr>
            <w:tcW w:w="14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B39AE" w:rsidRPr="00786C3C" w:rsidRDefault="00B3687B" w:rsidP="00DB39AE">
            <w:pPr>
              <w:spacing w:before="0" w:after="0" w:line="276" w:lineRule="auto"/>
              <w:jc w:val="left"/>
              <w:rPr>
                <w:rFonts w:ascii="Calibri" w:hAnsi="Calibri"/>
                <w:sz w:val="20"/>
                <w:lang w:val="fr-FR" w:eastAsia="en-US"/>
              </w:rPr>
            </w:pPr>
            <w:r w:rsidRPr="00B3687B">
              <w:rPr>
                <w:sz w:val="20"/>
                <w:lang w:val="fr-FR"/>
              </w:rPr>
              <w:t xml:space="preserve">Rata de cofinanțare </w:t>
            </w:r>
            <w:r w:rsidR="00DB39AE" w:rsidRPr="00B3687B">
              <w:rPr>
                <w:sz w:val="20"/>
                <w:lang w:val="fr-FR"/>
              </w:rPr>
              <w:t>(f) = (a)/(e)</w:t>
            </w:r>
            <w:r w:rsidR="00786C3C">
              <w:rPr>
                <w:rStyle w:val="FootnoteReference"/>
                <w:sz w:val="20"/>
                <w:lang w:val="fr-FR"/>
              </w:rPr>
              <w:footnoteReference w:id="17"/>
            </w:r>
          </w:p>
        </w:tc>
        <w:tc>
          <w:tcPr>
            <w:tcW w:w="262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B39AE" w:rsidRDefault="00B3687B" w:rsidP="00DB39AE">
            <w:pPr>
              <w:spacing w:before="0" w:after="0" w:line="276" w:lineRule="auto"/>
              <w:jc w:val="left"/>
              <w:rPr>
                <w:sz w:val="20"/>
              </w:rPr>
            </w:pPr>
            <w:r w:rsidRPr="00B3687B">
              <w:rPr>
                <w:sz w:val="20"/>
              </w:rPr>
              <w:t>Pentru informații</w:t>
            </w:r>
          </w:p>
        </w:tc>
      </w:tr>
      <w:tr w:rsidR="00DB39AE" w:rsidRPr="00A158A9" w:rsidTr="00DB39AE">
        <w:trPr>
          <w:trHeight w:val="634"/>
          <w:jc w:val="center"/>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DB39AE" w:rsidRDefault="00DB39AE" w:rsidP="00DB39AE">
            <w:pPr>
              <w:spacing w:before="0" w:after="0"/>
              <w:rPr>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rPr>
                <w:sz w:val="20"/>
              </w:rPr>
            </w:pPr>
          </w:p>
        </w:tc>
        <w:tc>
          <w:tcPr>
            <w:tcW w:w="1752"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rPr>
                <w:sz w:val="20"/>
              </w:rPr>
            </w:pPr>
          </w:p>
        </w:tc>
        <w:tc>
          <w:tcPr>
            <w:tcW w:w="140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left"/>
              <w:rPr>
                <w:sz w:val="20"/>
              </w:rPr>
            </w:pPr>
            <w:r>
              <w:rPr>
                <w:sz w:val="20"/>
              </w:rPr>
              <w:t>Finanţarea publicã naţionalã (c)</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786C3C">
            <w:pPr>
              <w:spacing w:before="0" w:after="0" w:line="276" w:lineRule="auto"/>
              <w:jc w:val="left"/>
              <w:rPr>
                <w:sz w:val="20"/>
              </w:rPr>
            </w:pPr>
            <w:r>
              <w:rPr>
                <w:sz w:val="20"/>
              </w:rPr>
              <w:t xml:space="preserve">Finanţarea </w:t>
            </w:r>
            <w:r w:rsidR="00952AC8">
              <w:rPr>
                <w:sz w:val="20"/>
              </w:rPr>
              <w:t>privată</w:t>
            </w:r>
            <w:r w:rsidR="00B3687B">
              <w:rPr>
                <w:sz w:val="20"/>
              </w:rPr>
              <w:t xml:space="preserve"> naţionalã</w:t>
            </w:r>
            <w:r>
              <w:rPr>
                <w:sz w:val="20"/>
              </w:rPr>
              <w:t xml:space="preserve"> (d)</w:t>
            </w:r>
            <w:r w:rsidR="00786C3C">
              <w:rPr>
                <w:rStyle w:val="FootnoteReference"/>
                <w:sz w:val="20"/>
              </w:rPr>
              <w:footnoteReference w:id="18"/>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left"/>
              <w:rPr>
                <w:sz w:val="20"/>
              </w:rPr>
            </w:pPr>
          </w:p>
        </w:tc>
        <w:tc>
          <w:tcPr>
            <w:tcW w:w="1499"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left"/>
              <w:rPr>
                <w:sz w:val="20"/>
              </w:rPr>
            </w:pP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Pr="006C6828" w:rsidRDefault="00DB39AE" w:rsidP="00DB39AE">
            <w:pPr>
              <w:spacing w:before="0" w:after="0" w:line="276" w:lineRule="auto"/>
              <w:jc w:val="left"/>
              <w:rPr>
                <w:sz w:val="20"/>
                <w:lang w:val="it-IT"/>
              </w:rPr>
            </w:pPr>
            <w:r w:rsidRPr="006C6828">
              <w:rPr>
                <w:sz w:val="20"/>
                <w:lang w:val="it-IT"/>
              </w:rPr>
              <w:t>Contribuţii din partea statelor terţe</w:t>
            </w:r>
          </w:p>
        </w:tc>
        <w:tc>
          <w:tcPr>
            <w:tcW w:w="12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Pr="00B3687B" w:rsidRDefault="00B3687B" w:rsidP="00B3687B">
            <w:pPr>
              <w:spacing w:before="0" w:after="0" w:line="276" w:lineRule="auto"/>
              <w:jc w:val="left"/>
              <w:rPr>
                <w:sz w:val="20"/>
                <w:lang w:val="fr-FR"/>
              </w:rPr>
            </w:pPr>
            <w:r w:rsidRPr="00B3687B">
              <w:rPr>
                <w:sz w:val="20"/>
                <w:lang w:val="fr-FR"/>
              </w:rPr>
              <w:t xml:space="preserve">Contribuţiile </w:t>
            </w:r>
            <w:r w:rsidR="00DB39AE" w:rsidRPr="00B3687B">
              <w:rPr>
                <w:sz w:val="20"/>
                <w:lang w:val="fr-FR"/>
              </w:rPr>
              <w:t>Bãncii Europene de Investiţii</w:t>
            </w:r>
          </w:p>
        </w:tc>
      </w:tr>
      <w:tr w:rsidR="00DB39AE" w:rsidRPr="00A158A9" w:rsidTr="00DB39AE">
        <w:trPr>
          <w:trHeight w:val="170"/>
          <w:jc w:val="center"/>
        </w:trPr>
        <w:tc>
          <w:tcPr>
            <w:tcW w:w="12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39AE" w:rsidRPr="00B3687B" w:rsidRDefault="00DB39AE" w:rsidP="00DB39AE">
            <w:pPr>
              <w:spacing w:before="0" w:after="0" w:line="276" w:lineRule="auto"/>
              <w:rPr>
                <w:sz w:val="20"/>
                <w:lang w:val="fr-FR"/>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Pr="00B3687B" w:rsidRDefault="00DB39AE" w:rsidP="00DB39AE">
            <w:pPr>
              <w:spacing w:before="0" w:after="0" w:line="276" w:lineRule="auto"/>
              <w:rPr>
                <w:sz w:val="20"/>
                <w:lang w:val="fr-FR"/>
              </w:rPr>
            </w:pPr>
          </w:p>
        </w:tc>
        <w:tc>
          <w:tcPr>
            <w:tcW w:w="1752"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Pr="00B3687B" w:rsidRDefault="00DB39AE" w:rsidP="00DB39AE">
            <w:pPr>
              <w:spacing w:before="0" w:after="0" w:line="276" w:lineRule="auto"/>
              <w:rPr>
                <w:sz w:val="20"/>
                <w:lang w:val="fr-FR"/>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Pr="00B3687B" w:rsidRDefault="00DB39AE" w:rsidP="00DB39AE">
            <w:pPr>
              <w:spacing w:before="0" w:after="0" w:line="276" w:lineRule="auto"/>
              <w:jc w:val="center"/>
              <w:rPr>
                <w:sz w:val="20"/>
                <w:lang w:val="fr-FR"/>
              </w:rPr>
            </w:pPr>
          </w:p>
        </w:tc>
        <w:tc>
          <w:tcPr>
            <w:tcW w:w="140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Pr="00B3687B" w:rsidRDefault="00DB39AE" w:rsidP="00DB39AE">
            <w:pPr>
              <w:spacing w:before="0" w:after="0" w:line="276" w:lineRule="auto"/>
              <w:jc w:val="center"/>
              <w:rPr>
                <w:sz w:val="20"/>
                <w:lang w:val="fr-FR"/>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Pr="00B3687B" w:rsidRDefault="00DB39AE" w:rsidP="00DB39AE">
            <w:pPr>
              <w:spacing w:before="0" w:after="0" w:line="276" w:lineRule="auto"/>
              <w:jc w:val="center"/>
              <w:rPr>
                <w:sz w:val="20"/>
                <w:lang w:val="fr-FR"/>
              </w:rPr>
            </w:pP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Pr="00B3687B" w:rsidRDefault="00DB39AE" w:rsidP="00DB39AE">
            <w:pPr>
              <w:spacing w:before="0" w:after="0" w:line="276" w:lineRule="auto"/>
              <w:jc w:val="center"/>
              <w:rPr>
                <w:sz w:val="20"/>
                <w:lang w:val="fr-FR"/>
              </w:rPr>
            </w:pP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Pr="00B3687B" w:rsidRDefault="00DB39AE" w:rsidP="00DB39AE">
            <w:pPr>
              <w:spacing w:before="0" w:after="0" w:line="276" w:lineRule="auto"/>
              <w:jc w:val="center"/>
              <w:rPr>
                <w:sz w:val="20"/>
                <w:lang w:val="fr-FR"/>
              </w:rPr>
            </w:pPr>
          </w:p>
        </w:tc>
        <w:tc>
          <w:tcPr>
            <w:tcW w:w="1499"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Pr="00B3687B" w:rsidRDefault="00DB39AE" w:rsidP="00DB39AE">
            <w:pPr>
              <w:spacing w:before="0" w:after="0" w:line="276" w:lineRule="auto"/>
              <w:jc w:val="center"/>
              <w:rPr>
                <w:sz w:val="20"/>
                <w:lang w:val="fr-FR"/>
              </w:rPr>
            </w:pP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Pr="00B3687B" w:rsidRDefault="00DB39AE" w:rsidP="00DB39AE">
            <w:pPr>
              <w:spacing w:before="0" w:after="0" w:line="276" w:lineRule="auto"/>
              <w:jc w:val="center"/>
              <w:rPr>
                <w:i/>
                <w:iCs/>
                <w:color w:val="8DB3E2"/>
                <w:sz w:val="20"/>
                <w:lang w:val="fr-FR"/>
              </w:rPr>
            </w:pPr>
          </w:p>
        </w:tc>
        <w:tc>
          <w:tcPr>
            <w:tcW w:w="1279"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Pr="00B3687B" w:rsidRDefault="00DB39AE" w:rsidP="00DB39AE">
            <w:pPr>
              <w:spacing w:before="0" w:after="0" w:line="276" w:lineRule="auto"/>
              <w:jc w:val="center"/>
              <w:rPr>
                <w:i/>
                <w:iCs/>
                <w:color w:val="8DB3E2"/>
                <w:sz w:val="20"/>
                <w:lang w:val="fr-FR"/>
              </w:rPr>
            </w:pPr>
          </w:p>
        </w:tc>
      </w:tr>
      <w:tr w:rsidR="00DB39AE" w:rsidTr="00DB39AE">
        <w:trPr>
          <w:trHeight w:val="70"/>
          <w:jc w:val="center"/>
        </w:trPr>
        <w:tc>
          <w:tcPr>
            <w:tcW w:w="120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39AE" w:rsidRDefault="00DB39AE" w:rsidP="00DB39AE">
            <w:pPr>
              <w:spacing w:before="0" w:after="0" w:line="276" w:lineRule="auto"/>
              <w:rPr>
                <w:sz w:val="20"/>
              </w:rPr>
            </w:pPr>
            <w:r>
              <w:rPr>
                <w:i/>
                <w:iCs/>
                <w:sz w:val="20"/>
              </w:rPr>
              <w:t>Axa prioritarã 1</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DB39AE" w:rsidRPr="00BC094C" w:rsidRDefault="00DB39AE" w:rsidP="00786C3C">
            <w:pPr>
              <w:spacing w:before="0" w:after="0" w:line="276" w:lineRule="auto"/>
              <w:jc w:val="left"/>
              <w:rPr>
                <w:sz w:val="20"/>
                <w:lang w:val="fr-FR"/>
              </w:rPr>
            </w:pPr>
            <w:r w:rsidRPr="00BC094C">
              <w:rPr>
                <w:sz w:val="20"/>
                <w:lang w:val="fr-FR"/>
              </w:rPr>
              <w:t>FERD  (</w:t>
            </w:r>
            <w:r w:rsidR="00BC094C" w:rsidRPr="00BC094C">
              <w:rPr>
                <w:sz w:val="20"/>
                <w:lang w:val="fr-FR"/>
              </w:rPr>
              <w:t xml:space="preserve">posibil </w:t>
            </w:r>
            <w:r w:rsidRPr="00BC094C">
              <w:rPr>
                <w:sz w:val="20"/>
                <w:lang w:val="fr-FR"/>
              </w:rPr>
              <w:t>inclu</w:t>
            </w:r>
            <w:r w:rsidR="00BC094C" w:rsidRPr="00BC094C">
              <w:rPr>
                <w:sz w:val="20"/>
                <w:lang w:val="fr-FR"/>
              </w:rPr>
              <w:t>siv</w:t>
            </w:r>
            <w:r w:rsidRPr="00BC094C">
              <w:rPr>
                <w:sz w:val="20"/>
                <w:lang w:val="fr-FR"/>
              </w:rPr>
              <w:t xml:space="preserve"> sumele transferate </w:t>
            </w:r>
            <w:r w:rsidR="00BC094C" w:rsidRPr="00BC094C">
              <w:rPr>
                <w:sz w:val="20"/>
                <w:lang w:val="fr-FR"/>
              </w:rPr>
              <w:t xml:space="preserve">de </w:t>
            </w:r>
            <w:proofErr w:type="gramStart"/>
            <w:r w:rsidR="00BC094C" w:rsidRPr="00BC094C">
              <w:rPr>
                <w:sz w:val="20"/>
                <w:lang w:val="fr-FR"/>
              </w:rPr>
              <w:t>la</w:t>
            </w:r>
            <w:r w:rsidRPr="00BC094C">
              <w:rPr>
                <w:sz w:val="20"/>
                <w:lang w:val="fr-FR"/>
              </w:rPr>
              <w:t xml:space="preserve"> IPA</w:t>
            </w:r>
            <w:proofErr w:type="gramEnd"/>
            <w:r w:rsidRPr="00BC094C">
              <w:rPr>
                <w:sz w:val="20"/>
                <w:lang w:val="fr-FR"/>
              </w:rPr>
              <w:t xml:space="preserve"> şi ENI)</w:t>
            </w:r>
            <w:r w:rsidR="00786C3C">
              <w:rPr>
                <w:rStyle w:val="FootnoteReference"/>
                <w:sz w:val="20"/>
                <w:lang w:val="fr-FR"/>
              </w:rPr>
              <w:footnoteReference w:id="19"/>
            </w:r>
          </w:p>
        </w:tc>
        <w:tc>
          <w:tcPr>
            <w:tcW w:w="1752"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Pr="00BC094C" w:rsidRDefault="00DB39AE" w:rsidP="00DB39AE">
            <w:pPr>
              <w:spacing w:before="0" w:after="0" w:line="276" w:lineRule="auto"/>
              <w:jc w:val="center"/>
              <w:rPr>
                <w:sz w:val="20"/>
                <w:lang w:val="fr-FR"/>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Pr="00BC094C" w:rsidRDefault="00DB39AE" w:rsidP="00DB39AE">
            <w:pPr>
              <w:spacing w:before="0" w:after="0" w:line="276" w:lineRule="auto"/>
              <w:jc w:val="center"/>
              <w:rPr>
                <w:sz w:val="20"/>
                <w:lang w:val="fr-FR"/>
              </w:rPr>
            </w:pPr>
          </w:p>
          <w:p w:rsidR="00DB39AE" w:rsidRDefault="00DB39AE" w:rsidP="00DB39AE">
            <w:pPr>
              <w:spacing w:before="0" w:after="0"/>
              <w:jc w:val="center"/>
              <w:rPr>
                <w:sz w:val="20"/>
                <w:lang w:eastAsia="en-US"/>
              </w:rPr>
            </w:pPr>
            <w:r>
              <w:rPr>
                <w:sz w:val="20"/>
              </w:rPr>
              <w:t>81,983,295</w:t>
            </w:r>
          </w:p>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p w:rsidR="00DB39AE" w:rsidRDefault="00DB39AE" w:rsidP="00DB39AE">
            <w:pPr>
              <w:spacing w:before="0" w:after="0"/>
              <w:jc w:val="center"/>
              <w:rPr>
                <w:sz w:val="20"/>
                <w:lang w:eastAsia="en-US"/>
              </w:rPr>
            </w:pPr>
            <w:r>
              <w:rPr>
                <w:sz w:val="20"/>
              </w:rPr>
              <w:t>14,467,640</w:t>
            </w:r>
          </w:p>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10,127,348</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4,340,292</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96,450,935</w:t>
            </w:r>
          </w:p>
        </w:tc>
        <w:tc>
          <w:tcPr>
            <w:tcW w:w="14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85.00%</w:t>
            </w:r>
          </w:p>
        </w:tc>
        <w:tc>
          <w:tcPr>
            <w:tcW w:w="135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0559DC" w:rsidP="00DB39AE">
            <w:pPr>
              <w:spacing w:before="0" w:after="0" w:line="276" w:lineRule="auto"/>
              <w:jc w:val="center"/>
              <w:rPr>
                <w:sz w:val="20"/>
              </w:rPr>
            </w:pPr>
            <w:r>
              <w:rPr>
                <w:sz w:val="20"/>
              </w:rPr>
              <w:t>0</w:t>
            </w:r>
          </w:p>
          <w:p w:rsidR="00DB39AE" w:rsidRDefault="00DB39AE" w:rsidP="00DB39AE">
            <w:pPr>
              <w:spacing w:before="0" w:after="0" w:line="276" w:lineRule="auto"/>
              <w:jc w:val="center"/>
              <w:rPr>
                <w:sz w:val="20"/>
              </w:rPr>
            </w:pPr>
          </w:p>
        </w:tc>
        <w:tc>
          <w:tcPr>
            <w:tcW w:w="127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0559DC" w:rsidP="00DB39AE">
            <w:pPr>
              <w:spacing w:before="0" w:after="0" w:line="276" w:lineRule="auto"/>
              <w:jc w:val="center"/>
              <w:rPr>
                <w:sz w:val="20"/>
              </w:rPr>
            </w:pPr>
            <w:r>
              <w:rPr>
                <w:sz w:val="20"/>
              </w:rPr>
              <w:t>0</w:t>
            </w:r>
          </w:p>
        </w:tc>
      </w:tr>
      <w:tr w:rsidR="00DB39AE" w:rsidTr="00DB39AE">
        <w:trPr>
          <w:trHeight w:val="70"/>
          <w:jc w:val="center"/>
        </w:trPr>
        <w:tc>
          <w:tcPr>
            <w:tcW w:w="1207" w:type="dxa"/>
            <w:vMerge/>
            <w:tcBorders>
              <w:top w:val="nil"/>
              <w:left w:val="single" w:sz="8" w:space="0" w:color="auto"/>
              <w:bottom w:val="single" w:sz="8" w:space="0" w:color="auto"/>
              <w:right w:val="single" w:sz="8" w:space="0" w:color="auto"/>
            </w:tcBorders>
            <w:vAlign w:val="center"/>
            <w:hideMark/>
          </w:tcPr>
          <w:p w:rsidR="00DB39AE" w:rsidRDefault="00DB39AE" w:rsidP="00DB39AE">
            <w:pPr>
              <w:spacing w:before="0" w:after="0"/>
              <w:rPr>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left"/>
              <w:rPr>
                <w:sz w:val="20"/>
              </w:rPr>
            </w:pPr>
            <w:r>
              <w:rPr>
                <w:sz w:val="20"/>
              </w:rPr>
              <w:t>IPA</w:t>
            </w:r>
          </w:p>
        </w:tc>
        <w:tc>
          <w:tcPr>
            <w:tcW w:w="1752"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99"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50" w:type="dxa"/>
            <w:vMerge/>
            <w:tcBorders>
              <w:top w:val="nil"/>
              <w:left w:val="nil"/>
              <w:bottom w:val="single" w:sz="8" w:space="0" w:color="auto"/>
              <w:right w:val="single" w:sz="8" w:space="0" w:color="auto"/>
            </w:tcBorders>
            <w:vAlign w:val="center"/>
            <w:hideMark/>
          </w:tcPr>
          <w:p w:rsidR="00DB39AE" w:rsidRDefault="00DB39AE" w:rsidP="00DB39AE">
            <w:pPr>
              <w:spacing w:before="0" w:after="0"/>
              <w:rPr>
                <w:sz w:val="20"/>
              </w:rPr>
            </w:pPr>
          </w:p>
        </w:tc>
        <w:tc>
          <w:tcPr>
            <w:tcW w:w="1279" w:type="dxa"/>
            <w:vMerge/>
            <w:tcBorders>
              <w:top w:val="nil"/>
              <w:left w:val="nil"/>
              <w:bottom w:val="single" w:sz="8" w:space="0" w:color="auto"/>
              <w:right w:val="single" w:sz="8" w:space="0" w:color="auto"/>
            </w:tcBorders>
            <w:vAlign w:val="center"/>
            <w:hideMark/>
          </w:tcPr>
          <w:p w:rsidR="00DB39AE" w:rsidRDefault="00DB39AE" w:rsidP="00DB39AE">
            <w:pPr>
              <w:spacing w:before="0" w:after="0"/>
              <w:rPr>
                <w:sz w:val="20"/>
              </w:rPr>
            </w:pPr>
          </w:p>
        </w:tc>
      </w:tr>
      <w:tr w:rsidR="00DB39AE" w:rsidTr="00DB39AE">
        <w:trPr>
          <w:trHeight w:val="369"/>
          <w:jc w:val="center"/>
        </w:trPr>
        <w:tc>
          <w:tcPr>
            <w:tcW w:w="1207" w:type="dxa"/>
            <w:vMerge/>
            <w:tcBorders>
              <w:top w:val="nil"/>
              <w:left w:val="single" w:sz="8" w:space="0" w:color="auto"/>
              <w:bottom w:val="single" w:sz="8" w:space="0" w:color="auto"/>
              <w:right w:val="single" w:sz="8" w:space="0" w:color="auto"/>
            </w:tcBorders>
            <w:vAlign w:val="center"/>
            <w:hideMark/>
          </w:tcPr>
          <w:p w:rsidR="00DB39AE" w:rsidRDefault="00DB39AE" w:rsidP="00DB39AE">
            <w:pPr>
              <w:spacing w:before="0" w:after="0"/>
              <w:rPr>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DB39AE" w:rsidRDefault="00DB39AE" w:rsidP="00DB39AE">
            <w:pPr>
              <w:spacing w:before="0" w:after="0" w:line="276" w:lineRule="auto"/>
              <w:jc w:val="left"/>
              <w:rPr>
                <w:sz w:val="20"/>
              </w:rPr>
            </w:pPr>
            <w:r>
              <w:rPr>
                <w:sz w:val="20"/>
              </w:rPr>
              <w:t>ENI</w:t>
            </w:r>
          </w:p>
        </w:tc>
        <w:tc>
          <w:tcPr>
            <w:tcW w:w="1752"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99"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50" w:type="dxa"/>
            <w:vMerge/>
            <w:tcBorders>
              <w:top w:val="nil"/>
              <w:left w:val="nil"/>
              <w:bottom w:val="single" w:sz="8" w:space="0" w:color="auto"/>
              <w:right w:val="single" w:sz="8" w:space="0" w:color="auto"/>
            </w:tcBorders>
            <w:vAlign w:val="center"/>
            <w:hideMark/>
          </w:tcPr>
          <w:p w:rsidR="00DB39AE" w:rsidRDefault="00DB39AE" w:rsidP="00DB39AE">
            <w:pPr>
              <w:spacing w:before="0" w:after="0"/>
              <w:rPr>
                <w:sz w:val="20"/>
              </w:rPr>
            </w:pPr>
          </w:p>
        </w:tc>
        <w:tc>
          <w:tcPr>
            <w:tcW w:w="1279" w:type="dxa"/>
            <w:vMerge/>
            <w:tcBorders>
              <w:top w:val="nil"/>
              <w:left w:val="nil"/>
              <w:bottom w:val="single" w:sz="8" w:space="0" w:color="auto"/>
              <w:right w:val="single" w:sz="8" w:space="0" w:color="auto"/>
            </w:tcBorders>
            <w:vAlign w:val="center"/>
            <w:hideMark/>
          </w:tcPr>
          <w:p w:rsidR="00DB39AE" w:rsidRDefault="00DB39AE" w:rsidP="00DB39AE">
            <w:pPr>
              <w:spacing w:before="0" w:after="0"/>
              <w:rPr>
                <w:sz w:val="20"/>
              </w:rPr>
            </w:pPr>
          </w:p>
        </w:tc>
      </w:tr>
      <w:tr w:rsidR="00DB39AE" w:rsidTr="00DB39AE">
        <w:trPr>
          <w:trHeight w:val="183"/>
          <w:jc w:val="center"/>
        </w:trPr>
        <w:tc>
          <w:tcPr>
            <w:tcW w:w="1207"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rPr>
                <w:i/>
                <w:iCs/>
                <w:sz w:val="20"/>
              </w:rPr>
            </w:pPr>
            <w:r>
              <w:rPr>
                <w:i/>
                <w:iCs/>
                <w:sz w:val="20"/>
              </w:rPr>
              <w:t>Axa prioritarã 2</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Pr="00BC094C" w:rsidRDefault="00DB39AE" w:rsidP="00786C3C">
            <w:pPr>
              <w:spacing w:before="0" w:after="0" w:line="276" w:lineRule="auto"/>
              <w:jc w:val="left"/>
              <w:rPr>
                <w:sz w:val="20"/>
                <w:lang w:val="fr-FR"/>
              </w:rPr>
            </w:pPr>
            <w:r w:rsidRPr="00BC094C">
              <w:rPr>
                <w:sz w:val="20"/>
                <w:lang w:val="fr-FR"/>
              </w:rPr>
              <w:t>FERD (</w:t>
            </w:r>
            <w:r w:rsidR="00BC094C" w:rsidRPr="00BC094C">
              <w:rPr>
                <w:sz w:val="20"/>
                <w:lang w:val="fr-FR"/>
              </w:rPr>
              <w:t xml:space="preserve">posibil inclusiv sumele transferate de </w:t>
            </w:r>
            <w:proofErr w:type="gramStart"/>
            <w:r w:rsidR="00BC094C" w:rsidRPr="00BC094C">
              <w:rPr>
                <w:sz w:val="20"/>
                <w:lang w:val="fr-FR"/>
              </w:rPr>
              <w:t xml:space="preserve">la </w:t>
            </w:r>
            <w:r w:rsidRPr="00BC094C">
              <w:rPr>
                <w:sz w:val="20"/>
                <w:lang w:val="fr-FR"/>
              </w:rPr>
              <w:t>IPA</w:t>
            </w:r>
            <w:proofErr w:type="gramEnd"/>
            <w:r w:rsidRPr="00BC094C">
              <w:rPr>
                <w:sz w:val="20"/>
                <w:lang w:val="fr-FR"/>
              </w:rPr>
              <w:t xml:space="preserve"> şi ENI)</w:t>
            </w:r>
          </w:p>
        </w:tc>
        <w:tc>
          <w:tcPr>
            <w:tcW w:w="17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Pr="00BC094C" w:rsidRDefault="00DB39AE" w:rsidP="00DB39AE">
            <w:pPr>
              <w:spacing w:before="0" w:after="0" w:line="276" w:lineRule="auto"/>
              <w:jc w:val="center"/>
              <w:rPr>
                <w:sz w:val="20"/>
                <w:lang w:val="fr-FR"/>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jc w:val="center"/>
              <w:rPr>
                <w:sz w:val="20"/>
              </w:rPr>
            </w:pPr>
            <w:r>
              <w:rPr>
                <w:sz w:val="20"/>
              </w:rPr>
              <w:t>53,936,378</w:t>
            </w:r>
          </w:p>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9,518,184</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6,662,729</w:t>
            </w:r>
          </w:p>
        </w:tc>
        <w:tc>
          <w:tcPr>
            <w:tcW w:w="1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2,855,455</w:t>
            </w:r>
          </w:p>
        </w:tc>
        <w:tc>
          <w:tcPr>
            <w:tcW w:w="13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63,454,562</w:t>
            </w:r>
          </w:p>
        </w:tc>
        <w:tc>
          <w:tcPr>
            <w:tcW w:w="14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85.00%</w:t>
            </w:r>
          </w:p>
        </w:tc>
        <w:tc>
          <w:tcPr>
            <w:tcW w:w="13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0559DC" w:rsidP="00DB39AE">
            <w:pPr>
              <w:spacing w:before="0" w:after="0" w:line="276" w:lineRule="auto"/>
              <w:jc w:val="center"/>
              <w:rPr>
                <w:sz w:val="20"/>
              </w:rPr>
            </w:pPr>
            <w:r>
              <w:rPr>
                <w:sz w:val="20"/>
              </w:rPr>
              <w:t>0</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0559DC" w:rsidP="00DB39AE">
            <w:pPr>
              <w:spacing w:before="0" w:after="0" w:line="276" w:lineRule="auto"/>
              <w:jc w:val="center"/>
              <w:rPr>
                <w:sz w:val="20"/>
              </w:rPr>
            </w:pPr>
            <w:r>
              <w:rPr>
                <w:sz w:val="20"/>
              </w:rPr>
              <w:t>0</w:t>
            </w:r>
          </w:p>
        </w:tc>
      </w:tr>
      <w:tr w:rsidR="00DB39AE" w:rsidTr="00DB39AE">
        <w:trPr>
          <w:trHeight w:val="183"/>
          <w:jc w:val="center"/>
        </w:trPr>
        <w:tc>
          <w:tcPr>
            <w:tcW w:w="1207" w:type="dxa"/>
            <w:vMerge/>
            <w:tcBorders>
              <w:top w:val="nil"/>
              <w:left w:val="single" w:sz="8" w:space="0" w:color="auto"/>
              <w:bottom w:val="single" w:sz="8" w:space="0" w:color="auto"/>
              <w:right w:val="single" w:sz="8" w:space="0" w:color="auto"/>
            </w:tcBorders>
            <w:vAlign w:val="center"/>
            <w:hideMark/>
          </w:tcPr>
          <w:p w:rsidR="00DB39AE" w:rsidRDefault="00DB39AE" w:rsidP="00DB39AE">
            <w:pPr>
              <w:spacing w:before="0" w:after="0"/>
              <w:rPr>
                <w:i/>
                <w:iCs/>
                <w:sz w:val="20"/>
              </w:rPr>
            </w:pP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left"/>
              <w:rPr>
                <w:sz w:val="20"/>
              </w:rPr>
            </w:pPr>
            <w:r>
              <w:rPr>
                <w:sz w:val="20"/>
              </w:rPr>
              <w:t>IPA</w:t>
            </w:r>
          </w:p>
        </w:tc>
        <w:tc>
          <w:tcPr>
            <w:tcW w:w="17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r>
      <w:tr w:rsidR="00DB39AE" w:rsidTr="00DB39AE">
        <w:trPr>
          <w:trHeight w:val="183"/>
          <w:jc w:val="center"/>
        </w:trPr>
        <w:tc>
          <w:tcPr>
            <w:tcW w:w="1207" w:type="dxa"/>
            <w:vMerge/>
            <w:tcBorders>
              <w:top w:val="nil"/>
              <w:left w:val="single" w:sz="8" w:space="0" w:color="auto"/>
              <w:bottom w:val="single" w:sz="8" w:space="0" w:color="auto"/>
              <w:right w:val="single" w:sz="8" w:space="0" w:color="auto"/>
            </w:tcBorders>
            <w:vAlign w:val="center"/>
            <w:hideMark/>
          </w:tcPr>
          <w:p w:rsidR="00DB39AE" w:rsidRDefault="00DB39AE" w:rsidP="00DB39AE">
            <w:pPr>
              <w:spacing w:before="0" w:after="0"/>
              <w:rPr>
                <w:i/>
                <w:iCs/>
                <w:sz w:val="20"/>
              </w:rPr>
            </w:pP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left"/>
              <w:rPr>
                <w:sz w:val="20"/>
              </w:rPr>
            </w:pPr>
            <w:r>
              <w:rPr>
                <w:sz w:val="20"/>
              </w:rPr>
              <w:t>ENI</w:t>
            </w:r>
          </w:p>
        </w:tc>
        <w:tc>
          <w:tcPr>
            <w:tcW w:w="17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r>
      <w:tr w:rsidR="00DB39AE" w:rsidTr="00DB39AE">
        <w:trPr>
          <w:trHeight w:val="183"/>
          <w:jc w:val="center"/>
        </w:trPr>
        <w:tc>
          <w:tcPr>
            <w:tcW w:w="1207"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rPr>
                <w:i/>
                <w:iCs/>
                <w:sz w:val="20"/>
              </w:rPr>
            </w:pPr>
            <w:r>
              <w:rPr>
                <w:i/>
                <w:iCs/>
                <w:sz w:val="20"/>
              </w:rPr>
              <w:t>Axa prioritarã 3</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Pr="00BC094C" w:rsidRDefault="00DB39AE" w:rsidP="00786C3C">
            <w:pPr>
              <w:spacing w:before="0" w:after="0" w:line="276" w:lineRule="auto"/>
              <w:jc w:val="left"/>
              <w:rPr>
                <w:sz w:val="20"/>
                <w:lang w:val="fr-FR"/>
              </w:rPr>
            </w:pPr>
            <w:r w:rsidRPr="00BC094C">
              <w:rPr>
                <w:sz w:val="20"/>
                <w:lang w:val="fr-FR"/>
              </w:rPr>
              <w:t>FERD  (</w:t>
            </w:r>
            <w:r w:rsidR="00BC094C" w:rsidRPr="00BC094C">
              <w:rPr>
                <w:sz w:val="20"/>
                <w:lang w:val="fr-FR"/>
              </w:rPr>
              <w:t xml:space="preserve">posibil inclusiv sumele transferate de </w:t>
            </w:r>
            <w:proofErr w:type="gramStart"/>
            <w:r w:rsidR="00BC094C" w:rsidRPr="00BC094C">
              <w:rPr>
                <w:sz w:val="20"/>
                <w:lang w:val="fr-FR"/>
              </w:rPr>
              <w:t xml:space="preserve">la </w:t>
            </w:r>
            <w:r w:rsidRPr="00BC094C">
              <w:rPr>
                <w:sz w:val="20"/>
                <w:lang w:val="fr-FR"/>
              </w:rPr>
              <w:lastRenderedPageBreak/>
              <w:t>IPA</w:t>
            </w:r>
            <w:proofErr w:type="gramEnd"/>
            <w:r w:rsidRPr="00BC094C">
              <w:rPr>
                <w:sz w:val="20"/>
                <w:lang w:val="fr-FR"/>
              </w:rPr>
              <w:t xml:space="preserve"> şi ENI)</w:t>
            </w:r>
          </w:p>
        </w:tc>
        <w:tc>
          <w:tcPr>
            <w:tcW w:w="17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Pr="00BC094C" w:rsidRDefault="00DB39AE" w:rsidP="00DB39AE">
            <w:pPr>
              <w:spacing w:before="0" w:after="0" w:line="276" w:lineRule="auto"/>
              <w:jc w:val="center"/>
              <w:rPr>
                <w:sz w:val="20"/>
                <w:lang w:val="fr-FR"/>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jc w:val="center"/>
              <w:rPr>
                <w:sz w:val="20"/>
              </w:rPr>
            </w:pPr>
            <w:r>
              <w:rPr>
                <w:sz w:val="20"/>
              </w:rPr>
              <w:t>40,991,647</w:t>
            </w:r>
          </w:p>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7,233,820</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5,063,674</w:t>
            </w:r>
          </w:p>
        </w:tc>
        <w:tc>
          <w:tcPr>
            <w:tcW w:w="1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2,170,146</w:t>
            </w:r>
          </w:p>
        </w:tc>
        <w:tc>
          <w:tcPr>
            <w:tcW w:w="13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48,225,467</w:t>
            </w:r>
          </w:p>
        </w:tc>
        <w:tc>
          <w:tcPr>
            <w:tcW w:w="14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85.00%</w:t>
            </w:r>
          </w:p>
        </w:tc>
        <w:tc>
          <w:tcPr>
            <w:tcW w:w="13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0559DC" w:rsidP="00DB39AE">
            <w:pPr>
              <w:spacing w:before="0" w:after="0" w:line="276" w:lineRule="auto"/>
              <w:jc w:val="center"/>
              <w:rPr>
                <w:sz w:val="20"/>
              </w:rPr>
            </w:pPr>
            <w:r>
              <w:rPr>
                <w:sz w:val="20"/>
              </w:rPr>
              <w:t>0</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0559DC" w:rsidP="00DB39AE">
            <w:pPr>
              <w:spacing w:before="0" w:after="0" w:line="276" w:lineRule="auto"/>
              <w:jc w:val="center"/>
              <w:rPr>
                <w:sz w:val="20"/>
              </w:rPr>
            </w:pPr>
            <w:r>
              <w:rPr>
                <w:sz w:val="20"/>
              </w:rPr>
              <w:t>0</w:t>
            </w:r>
          </w:p>
        </w:tc>
      </w:tr>
      <w:tr w:rsidR="00DB39AE" w:rsidTr="00DB39AE">
        <w:trPr>
          <w:trHeight w:val="183"/>
          <w:jc w:val="center"/>
        </w:trPr>
        <w:tc>
          <w:tcPr>
            <w:tcW w:w="1207" w:type="dxa"/>
            <w:vMerge/>
            <w:tcBorders>
              <w:top w:val="nil"/>
              <w:left w:val="single" w:sz="8" w:space="0" w:color="auto"/>
              <w:bottom w:val="single" w:sz="8" w:space="0" w:color="auto"/>
              <w:right w:val="single" w:sz="8" w:space="0" w:color="auto"/>
            </w:tcBorders>
            <w:vAlign w:val="center"/>
            <w:hideMark/>
          </w:tcPr>
          <w:p w:rsidR="00DB39AE" w:rsidRDefault="00DB39AE" w:rsidP="00DB39AE">
            <w:pPr>
              <w:spacing w:before="0" w:after="0"/>
              <w:rPr>
                <w:i/>
                <w:iCs/>
                <w:sz w:val="20"/>
              </w:rPr>
            </w:pP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left"/>
              <w:rPr>
                <w:sz w:val="20"/>
              </w:rPr>
            </w:pPr>
            <w:r>
              <w:rPr>
                <w:sz w:val="20"/>
              </w:rPr>
              <w:t>IPA</w:t>
            </w:r>
          </w:p>
        </w:tc>
        <w:tc>
          <w:tcPr>
            <w:tcW w:w="17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r>
      <w:tr w:rsidR="00DB39AE" w:rsidTr="00DB39AE">
        <w:trPr>
          <w:trHeight w:val="183"/>
          <w:jc w:val="center"/>
        </w:trPr>
        <w:tc>
          <w:tcPr>
            <w:tcW w:w="1207" w:type="dxa"/>
            <w:vMerge/>
            <w:tcBorders>
              <w:top w:val="nil"/>
              <w:left w:val="single" w:sz="8" w:space="0" w:color="auto"/>
              <w:bottom w:val="single" w:sz="8" w:space="0" w:color="auto"/>
              <w:right w:val="single" w:sz="8" w:space="0" w:color="auto"/>
            </w:tcBorders>
            <w:vAlign w:val="center"/>
            <w:hideMark/>
          </w:tcPr>
          <w:p w:rsidR="00DB39AE" w:rsidRDefault="00DB39AE" w:rsidP="00DB39AE">
            <w:pPr>
              <w:spacing w:before="0" w:after="0"/>
              <w:rPr>
                <w:i/>
                <w:iCs/>
                <w:sz w:val="20"/>
              </w:rPr>
            </w:pP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left"/>
              <w:rPr>
                <w:sz w:val="20"/>
              </w:rPr>
            </w:pPr>
            <w:r>
              <w:rPr>
                <w:sz w:val="20"/>
              </w:rPr>
              <w:t>ENI</w:t>
            </w:r>
          </w:p>
        </w:tc>
        <w:tc>
          <w:tcPr>
            <w:tcW w:w="17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r>
      <w:tr w:rsidR="00DB39AE" w:rsidTr="00DB39AE">
        <w:trPr>
          <w:trHeight w:val="183"/>
          <w:jc w:val="center"/>
        </w:trPr>
        <w:tc>
          <w:tcPr>
            <w:tcW w:w="1207"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rPr>
                <w:i/>
                <w:iCs/>
                <w:sz w:val="20"/>
              </w:rPr>
            </w:pPr>
            <w:r>
              <w:rPr>
                <w:i/>
                <w:iCs/>
                <w:sz w:val="20"/>
              </w:rPr>
              <w:t>Axa prioritarã 4</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Pr="00BC094C" w:rsidRDefault="00DB39AE" w:rsidP="00786C3C">
            <w:pPr>
              <w:spacing w:before="0" w:after="0" w:line="276" w:lineRule="auto"/>
              <w:jc w:val="left"/>
              <w:rPr>
                <w:sz w:val="20"/>
                <w:lang w:val="fr-FR"/>
              </w:rPr>
            </w:pPr>
            <w:r w:rsidRPr="00BC094C">
              <w:rPr>
                <w:sz w:val="20"/>
                <w:lang w:val="fr-FR"/>
              </w:rPr>
              <w:t>FERD  (</w:t>
            </w:r>
            <w:r w:rsidR="00BC094C" w:rsidRPr="00BC094C">
              <w:rPr>
                <w:sz w:val="20"/>
                <w:lang w:val="fr-FR"/>
              </w:rPr>
              <w:t xml:space="preserve">posibil inclusiv sumele transferate de </w:t>
            </w:r>
            <w:proofErr w:type="gramStart"/>
            <w:r w:rsidR="00BC094C" w:rsidRPr="00BC094C">
              <w:rPr>
                <w:sz w:val="20"/>
                <w:lang w:val="fr-FR"/>
              </w:rPr>
              <w:t xml:space="preserve">la </w:t>
            </w:r>
            <w:r w:rsidRPr="00BC094C">
              <w:rPr>
                <w:sz w:val="20"/>
                <w:lang w:val="fr-FR"/>
              </w:rPr>
              <w:t>IPA</w:t>
            </w:r>
            <w:proofErr w:type="gramEnd"/>
            <w:r w:rsidRPr="00BC094C">
              <w:rPr>
                <w:sz w:val="20"/>
                <w:lang w:val="fr-FR"/>
              </w:rPr>
              <w:t xml:space="preserve"> şi ENI)</w:t>
            </w:r>
          </w:p>
        </w:tc>
        <w:tc>
          <w:tcPr>
            <w:tcW w:w="17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Pr="00BC094C" w:rsidRDefault="00DB39AE" w:rsidP="00DB39AE">
            <w:pPr>
              <w:spacing w:before="0" w:after="0" w:line="276" w:lineRule="auto"/>
              <w:jc w:val="center"/>
              <w:rPr>
                <w:sz w:val="20"/>
                <w:lang w:val="fr-FR"/>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jc w:val="center"/>
              <w:rPr>
                <w:sz w:val="20"/>
              </w:rPr>
            </w:pPr>
            <w:r>
              <w:rPr>
                <w:sz w:val="20"/>
              </w:rPr>
              <w:t>15,102,186</w:t>
            </w:r>
          </w:p>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2,665,092</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1,865,564</w:t>
            </w:r>
          </w:p>
        </w:tc>
        <w:tc>
          <w:tcPr>
            <w:tcW w:w="1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799,528</w:t>
            </w:r>
          </w:p>
        </w:tc>
        <w:tc>
          <w:tcPr>
            <w:tcW w:w="13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17,767,278</w:t>
            </w:r>
          </w:p>
        </w:tc>
        <w:tc>
          <w:tcPr>
            <w:tcW w:w="14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85.00%</w:t>
            </w:r>
          </w:p>
        </w:tc>
        <w:tc>
          <w:tcPr>
            <w:tcW w:w="13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0559DC" w:rsidP="00DB39AE">
            <w:pPr>
              <w:spacing w:before="0" w:after="0" w:line="276" w:lineRule="auto"/>
              <w:jc w:val="center"/>
              <w:rPr>
                <w:sz w:val="20"/>
              </w:rPr>
            </w:pPr>
            <w:r>
              <w:rPr>
                <w:sz w:val="20"/>
              </w:rPr>
              <w:t>0</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0559DC" w:rsidP="00DB39AE">
            <w:pPr>
              <w:spacing w:before="0" w:after="0" w:line="276" w:lineRule="auto"/>
              <w:jc w:val="center"/>
              <w:rPr>
                <w:sz w:val="20"/>
              </w:rPr>
            </w:pPr>
            <w:r>
              <w:rPr>
                <w:sz w:val="20"/>
              </w:rPr>
              <w:t>0</w:t>
            </w:r>
          </w:p>
        </w:tc>
      </w:tr>
      <w:tr w:rsidR="00DB39AE" w:rsidTr="00DB39AE">
        <w:trPr>
          <w:trHeight w:val="183"/>
          <w:jc w:val="center"/>
        </w:trPr>
        <w:tc>
          <w:tcPr>
            <w:tcW w:w="1207" w:type="dxa"/>
            <w:vMerge/>
            <w:tcBorders>
              <w:top w:val="nil"/>
              <w:left w:val="single" w:sz="8" w:space="0" w:color="auto"/>
              <w:bottom w:val="single" w:sz="8" w:space="0" w:color="auto"/>
              <w:right w:val="single" w:sz="8" w:space="0" w:color="auto"/>
            </w:tcBorders>
            <w:vAlign w:val="center"/>
            <w:hideMark/>
          </w:tcPr>
          <w:p w:rsidR="00DB39AE" w:rsidRDefault="00DB39AE" w:rsidP="00DB39AE">
            <w:pPr>
              <w:spacing w:before="0" w:after="0"/>
              <w:rPr>
                <w:i/>
                <w:iCs/>
                <w:sz w:val="20"/>
              </w:rPr>
            </w:pP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left"/>
              <w:rPr>
                <w:sz w:val="20"/>
              </w:rPr>
            </w:pPr>
            <w:r>
              <w:rPr>
                <w:sz w:val="20"/>
              </w:rPr>
              <w:t>IPA</w:t>
            </w:r>
          </w:p>
        </w:tc>
        <w:tc>
          <w:tcPr>
            <w:tcW w:w="17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r>
      <w:tr w:rsidR="00DB39AE" w:rsidTr="00DB39AE">
        <w:trPr>
          <w:trHeight w:val="183"/>
          <w:jc w:val="center"/>
        </w:trPr>
        <w:tc>
          <w:tcPr>
            <w:tcW w:w="1207" w:type="dxa"/>
            <w:vMerge/>
            <w:tcBorders>
              <w:top w:val="nil"/>
              <w:left w:val="single" w:sz="8" w:space="0" w:color="auto"/>
              <w:bottom w:val="single" w:sz="8" w:space="0" w:color="auto"/>
              <w:right w:val="single" w:sz="8" w:space="0" w:color="auto"/>
            </w:tcBorders>
            <w:vAlign w:val="center"/>
            <w:hideMark/>
          </w:tcPr>
          <w:p w:rsidR="00DB39AE" w:rsidRDefault="00DB39AE" w:rsidP="00DB39AE">
            <w:pPr>
              <w:spacing w:before="0" w:after="0"/>
              <w:rPr>
                <w:i/>
                <w:iCs/>
                <w:sz w:val="20"/>
              </w:rPr>
            </w:pP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left"/>
              <w:rPr>
                <w:sz w:val="20"/>
              </w:rPr>
            </w:pPr>
            <w:r>
              <w:rPr>
                <w:sz w:val="20"/>
              </w:rPr>
              <w:t>ENI</w:t>
            </w:r>
          </w:p>
        </w:tc>
        <w:tc>
          <w:tcPr>
            <w:tcW w:w="17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r>
      <w:tr w:rsidR="00DB39AE" w:rsidTr="00DB39AE">
        <w:trPr>
          <w:trHeight w:val="183"/>
          <w:jc w:val="center"/>
        </w:trPr>
        <w:tc>
          <w:tcPr>
            <w:tcW w:w="1207"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rPr>
                <w:i/>
                <w:iCs/>
                <w:sz w:val="20"/>
              </w:rPr>
            </w:pPr>
            <w:r>
              <w:rPr>
                <w:i/>
                <w:iCs/>
                <w:sz w:val="20"/>
              </w:rPr>
              <w:t>Axa prioritarã 5</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Pr="00BC094C" w:rsidRDefault="00DB39AE" w:rsidP="00786C3C">
            <w:pPr>
              <w:spacing w:before="0" w:after="0" w:line="276" w:lineRule="auto"/>
              <w:jc w:val="left"/>
              <w:rPr>
                <w:sz w:val="20"/>
                <w:lang w:val="fr-FR"/>
              </w:rPr>
            </w:pPr>
            <w:r w:rsidRPr="00BC094C">
              <w:rPr>
                <w:sz w:val="20"/>
                <w:lang w:val="fr-FR"/>
              </w:rPr>
              <w:t xml:space="preserve">FERD  </w:t>
            </w:r>
            <w:r w:rsidR="00BC094C" w:rsidRPr="00BC094C">
              <w:rPr>
                <w:sz w:val="20"/>
                <w:lang w:val="fr-FR"/>
              </w:rPr>
              <w:t xml:space="preserve">(posibil inclusiv sumele transferate de </w:t>
            </w:r>
            <w:proofErr w:type="gramStart"/>
            <w:r w:rsidR="00BC094C" w:rsidRPr="00BC094C">
              <w:rPr>
                <w:sz w:val="20"/>
                <w:lang w:val="fr-FR"/>
              </w:rPr>
              <w:t xml:space="preserve">la </w:t>
            </w:r>
            <w:r w:rsidRPr="00BC094C">
              <w:rPr>
                <w:sz w:val="20"/>
                <w:lang w:val="fr-FR"/>
              </w:rPr>
              <w:t>IPA</w:t>
            </w:r>
            <w:proofErr w:type="gramEnd"/>
            <w:r w:rsidRPr="00BC094C">
              <w:rPr>
                <w:sz w:val="20"/>
                <w:lang w:val="fr-FR"/>
              </w:rPr>
              <w:t xml:space="preserve"> şi ENI)</w:t>
            </w:r>
          </w:p>
        </w:tc>
        <w:tc>
          <w:tcPr>
            <w:tcW w:w="17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Pr="00BC094C" w:rsidRDefault="00DB39AE" w:rsidP="00DB39AE">
            <w:pPr>
              <w:spacing w:before="0" w:after="0" w:line="276" w:lineRule="auto"/>
              <w:jc w:val="center"/>
              <w:rPr>
                <w:sz w:val="20"/>
                <w:lang w:val="fr-FR"/>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jc w:val="center"/>
              <w:rPr>
                <w:sz w:val="20"/>
              </w:rPr>
            </w:pPr>
            <w:r>
              <w:rPr>
                <w:sz w:val="20"/>
              </w:rPr>
              <w:t>10,787,276</w:t>
            </w:r>
          </w:p>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1,903,637</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1,332,546</w:t>
            </w:r>
          </w:p>
        </w:tc>
        <w:tc>
          <w:tcPr>
            <w:tcW w:w="1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571,091</w:t>
            </w:r>
          </w:p>
        </w:tc>
        <w:tc>
          <w:tcPr>
            <w:tcW w:w="13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12,690,913</w:t>
            </w:r>
          </w:p>
        </w:tc>
        <w:tc>
          <w:tcPr>
            <w:tcW w:w="14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85.00%</w:t>
            </w:r>
          </w:p>
        </w:tc>
        <w:tc>
          <w:tcPr>
            <w:tcW w:w="13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0559DC" w:rsidP="00DB39AE">
            <w:pPr>
              <w:spacing w:before="0" w:after="0" w:line="276" w:lineRule="auto"/>
              <w:jc w:val="center"/>
              <w:rPr>
                <w:sz w:val="20"/>
              </w:rPr>
            </w:pPr>
            <w:r>
              <w:rPr>
                <w:sz w:val="20"/>
              </w:rPr>
              <w:t>0</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0559DC" w:rsidP="00DB39AE">
            <w:pPr>
              <w:spacing w:before="0" w:after="0" w:line="276" w:lineRule="auto"/>
              <w:jc w:val="center"/>
              <w:rPr>
                <w:sz w:val="20"/>
              </w:rPr>
            </w:pPr>
            <w:r>
              <w:rPr>
                <w:sz w:val="20"/>
              </w:rPr>
              <w:t>0</w:t>
            </w:r>
          </w:p>
        </w:tc>
      </w:tr>
      <w:tr w:rsidR="00DB39AE" w:rsidTr="00DB39AE">
        <w:trPr>
          <w:trHeight w:val="183"/>
          <w:jc w:val="center"/>
        </w:trPr>
        <w:tc>
          <w:tcPr>
            <w:tcW w:w="1207" w:type="dxa"/>
            <w:vMerge/>
            <w:tcBorders>
              <w:top w:val="nil"/>
              <w:left w:val="single" w:sz="8" w:space="0" w:color="auto"/>
              <w:bottom w:val="single" w:sz="8" w:space="0" w:color="auto"/>
              <w:right w:val="single" w:sz="8" w:space="0" w:color="auto"/>
            </w:tcBorders>
            <w:vAlign w:val="center"/>
            <w:hideMark/>
          </w:tcPr>
          <w:p w:rsidR="00DB39AE" w:rsidRDefault="00DB39AE" w:rsidP="00DB39AE">
            <w:pPr>
              <w:spacing w:before="0" w:after="0"/>
              <w:rPr>
                <w:i/>
                <w:iCs/>
                <w:sz w:val="20"/>
              </w:rPr>
            </w:pP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left"/>
              <w:rPr>
                <w:sz w:val="20"/>
              </w:rPr>
            </w:pPr>
            <w:r>
              <w:rPr>
                <w:sz w:val="20"/>
              </w:rPr>
              <w:t>IPA</w:t>
            </w:r>
          </w:p>
        </w:tc>
        <w:tc>
          <w:tcPr>
            <w:tcW w:w="17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r>
      <w:tr w:rsidR="00DB39AE" w:rsidTr="00DB39AE">
        <w:trPr>
          <w:trHeight w:val="183"/>
          <w:jc w:val="center"/>
        </w:trPr>
        <w:tc>
          <w:tcPr>
            <w:tcW w:w="1207" w:type="dxa"/>
            <w:vMerge/>
            <w:tcBorders>
              <w:top w:val="nil"/>
              <w:left w:val="single" w:sz="8" w:space="0" w:color="auto"/>
              <w:bottom w:val="single" w:sz="8" w:space="0" w:color="auto"/>
              <w:right w:val="single" w:sz="8" w:space="0" w:color="auto"/>
            </w:tcBorders>
            <w:vAlign w:val="center"/>
            <w:hideMark/>
          </w:tcPr>
          <w:p w:rsidR="00DB39AE" w:rsidRDefault="00DB39AE" w:rsidP="00DB39AE">
            <w:pPr>
              <w:spacing w:before="0" w:after="0"/>
              <w:rPr>
                <w:i/>
                <w:iCs/>
                <w:sz w:val="20"/>
              </w:rPr>
            </w:pP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9AE" w:rsidRDefault="00DB39AE" w:rsidP="00DB39AE">
            <w:pPr>
              <w:spacing w:before="0" w:after="0" w:line="276" w:lineRule="auto"/>
              <w:jc w:val="left"/>
              <w:rPr>
                <w:sz w:val="20"/>
              </w:rPr>
            </w:pPr>
            <w:r>
              <w:rPr>
                <w:sz w:val="20"/>
              </w:rPr>
              <w:t>ENI</w:t>
            </w:r>
          </w:p>
        </w:tc>
        <w:tc>
          <w:tcPr>
            <w:tcW w:w="17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r>
      <w:tr w:rsidR="00DB39AE" w:rsidTr="00DB39AE">
        <w:trPr>
          <w:trHeight w:val="561"/>
          <w:jc w:val="center"/>
        </w:trPr>
        <w:tc>
          <w:tcPr>
            <w:tcW w:w="120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39AE" w:rsidRDefault="00D00161" w:rsidP="00DB39AE">
            <w:pPr>
              <w:spacing w:before="0" w:after="0" w:line="276" w:lineRule="auto"/>
              <w:rPr>
                <w:i/>
                <w:iCs/>
                <w:sz w:val="20"/>
              </w:rPr>
            </w:pPr>
            <w:r>
              <w:rPr>
                <w:i/>
                <w:iCs/>
                <w:sz w:val="20"/>
              </w:rPr>
              <w:t>Axa prioritarã 6-</w:t>
            </w:r>
            <w:r w:rsidR="00DB39AE">
              <w:rPr>
                <w:i/>
                <w:iCs/>
                <w:sz w:val="20"/>
              </w:rPr>
              <w:t>A</w:t>
            </w:r>
            <w:r>
              <w:rPr>
                <w:i/>
                <w:iCs/>
                <w:sz w:val="20"/>
              </w:rPr>
              <w:t>T</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DB39AE" w:rsidRPr="00BC094C" w:rsidRDefault="00DB39AE" w:rsidP="00786C3C">
            <w:pPr>
              <w:spacing w:before="0" w:after="0" w:line="276" w:lineRule="auto"/>
              <w:jc w:val="left"/>
              <w:rPr>
                <w:sz w:val="20"/>
                <w:lang w:val="fr-FR"/>
              </w:rPr>
            </w:pPr>
            <w:r w:rsidRPr="00BC094C">
              <w:rPr>
                <w:sz w:val="20"/>
                <w:lang w:val="fr-FR"/>
              </w:rPr>
              <w:t>FERD  (</w:t>
            </w:r>
            <w:r w:rsidR="00BC094C" w:rsidRPr="00BC094C">
              <w:rPr>
                <w:sz w:val="20"/>
                <w:lang w:val="fr-FR"/>
              </w:rPr>
              <w:t xml:space="preserve">posibil inclusiv sumele transferate de </w:t>
            </w:r>
            <w:proofErr w:type="gramStart"/>
            <w:r w:rsidR="00BC094C" w:rsidRPr="00BC094C">
              <w:rPr>
                <w:sz w:val="20"/>
                <w:lang w:val="fr-FR"/>
              </w:rPr>
              <w:t xml:space="preserve">la </w:t>
            </w:r>
            <w:r w:rsidRPr="00BC094C">
              <w:rPr>
                <w:sz w:val="20"/>
                <w:lang w:val="fr-FR"/>
              </w:rPr>
              <w:t>IPA</w:t>
            </w:r>
            <w:proofErr w:type="gramEnd"/>
            <w:r w:rsidRPr="00BC094C">
              <w:rPr>
                <w:sz w:val="20"/>
                <w:lang w:val="fr-FR"/>
              </w:rPr>
              <w:t xml:space="preserve"> şi ENI)</w:t>
            </w:r>
          </w:p>
        </w:tc>
        <w:tc>
          <w:tcPr>
            <w:tcW w:w="1752"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Pr="00BC094C" w:rsidRDefault="00DB39AE" w:rsidP="00DB39AE">
            <w:pPr>
              <w:spacing w:before="0" w:after="0" w:line="276" w:lineRule="auto"/>
              <w:jc w:val="center"/>
              <w:rPr>
                <w:sz w:val="20"/>
                <w:lang w:val="fr-FR"/>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jc w:val="center"/>
              <w:rPr>
                <w:sz w:val="20"/>
              </w:rPr>
            </w:pPr>
            <w:r>
              <w:rPr>
                <w:sz w:val="20"/>
              </w:rPr>
              <w:t>12,944,731</w:t>
            </w:r>
          </w:p>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6,970,239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2,322,483</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4,647,756</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19,914,970</w:t>
            </w:r>
          </w:p>
        </w:tc>
        <w:tc>
          <w:tcPr>
            <w:tcW w:w="14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65.00%</w:t>
            </w:r>
          </w:p>
        </w:tc>
        <w:tc>
          <w:tcPr>
            <w:tcW w:w="135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0559DC" w:rsidP="00DB39AE">
            <w:pPr>
              <w:spacing w:before="0" w:after="0" w:line="276" w:lineRule="auto"/>
              <w:jc w:val="center"/>
              <w:rPr>
                <w:sz w:val="20"/>
              </w:rPr>
            </w:pPr>
            <w:r>
              <w:rPr>
                <w:sz w:val="20"/>
              </w:rPr>
              <w:t>0</w:t>
            </w:r>
          </w:p>
        </w:tc>
        <w:tc>
          <w:tcPr>
            <w:tcW w:w="127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0559DC" w:rsidP="00DB39AE">
            <w:pPr>
              <w:spacing w:before="0" w:after="0" w:line="276" w:lineRule="auto"/>
              <w:jc w:val="center"/>
              <w:rPr>
                <w:sz w:val="20"/>
              </w:rPr>
            </w:pPr>
            <w:r>
              <w:rPr>
                <w:sz w:val="20"/>
              </w:rPr>
              <w:t>0</w:t>
            </w:r>
          </w:p>
        </w:tc>
      </w:tr>
      <w:tr w:rsidR="00DB39AE" w:rsidTr="00DB39AE">
        <w:trPr>
          <w:trHeight w:val="289"/>
          <w:jc w:val="center"/>
        </w:trPr>
        <w:tc>
          <w:tcPr>
            <w:tcW w:w="1207" w:type="dxa"/>
            <w:vMerge/>
            <w:tcBorders>
              <w:top w:val="nil"/>
              <w:left w:val="single" w:sz="8" w:space="0" w:color="auto"/>
              <w:bottom w:val="single" w:sz="8" w:space="0" w:color="auto"/>
              <w:right w:val="single" w:sz="8" w:space="0" w:color="auto"/>
            </w:tcBorders>
            <w:vAlign w:val="center"/>
            <w:hideMark/>
          </w:tcPr>
          <w:p w:rsidR="00DB39AE" w:rsidRDefault="00DB39AE" w:rsidP="00DB39AE">
            <w:pPr>
              <w:spacing w:before="0" w:after="0"/>
              <w:rPr>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left"/>
              <w:rPr>
                <w:sz w:val="20"/>
              </w:rPr>
            </w:pPr>
            <w:r>
              <w:rPr>
                <w:sz w:val="20"/>
              </w:rPr>
              <w:t>IPA</w:t>
            </w:r>
          </w:p>
        </w:tc>
        <w:tc>
          <w:tcPr>
            <w:tcW w:w="1752"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99"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50" w:type="dxa"/>
            <w:vMerge/>
            <w:tcBorders>
              <w:top w:val="nil"/>
              <w:left w:val="nil"/>
              <w:bottom w:val="single" w:sz="8" w:space="0" w:color="auto"/>
              <w:right w:val="single" w:sz="8" w:space="0" w:color="auto"/>
            </w:tcBorders>
            <w:vAlign w:val="center"/>
            <w:hideMark/>
          </w:tcPr>
          <w:p w:rsidR="00DB39AE" w:rsidRDefault="00DB39AE" w:rsidP="00DB39AE">
            <w:pPr>
              <w:spacing w:before="0" w:after="0"/>
              <w:rPr>
                <w:sz w:val="20"/>
              </w:rPr>
            </w:pPr>
          </w:p>
        </w:tc>
        <w:tc>
          <w:tcPr>
            <w:tcW w:w="1279" w:type="dxa"/>
            <w:vMerge/>
            <w:tcBorders>
              <w:top w:val="nil"/>
              <w:left w:val="nil"/>
              <w:bottom w:val="single" w:sz="8" w:space="0" w:color="auto"/>
              <w:right w:val="single" w:sz="8" w:space="0" w:color="auto"/>
            </w:tcBorders>
            <w:vAlign w:val="center"/>
            <w:hideMark/>
          </w:tcPr>
          <w:p w:rsidR="00DB39AE" w:rsidRDefault="00DB39AE" w:rsidP="00DB39AE">
            <w:pPr>
              <w:spacing w:before="0" w:after="0"/>
              <w:rPr>
                <w:sz w:val="20"/>
              </w:rPr>
            </w:pPr>
          </w:p>
        </w:tc>
      </w:tr>
      <w:tr w:rsidR="00DB39AE" w:rsidTr="00DB39AE">
        <w:trPr>
          <w:trHeight w:val="267"/>
          <w:jc w:val="center"/>
        </w:trPr>
        <w:tc>
          <w:tcPr>
            <w:tcW w:w="1207" w:type="dxa"/>
            <w:vMerge/>
            <w:tcBorders>
              <w:top w:val="nil"/>
              <w:left w:val="single" w:sz="8" w:space="0" w:color="auto"/>
              <w:bottom w:val="single" w:sz="8" w:space="0" w:color="auto"/>
              <w:right w:val="single" w:sz="8" w:space="0" w:color="auto"/>
            </w:tcBorders>
            <w:vAlign w:val="center"/>
            <w:hideMark/>
          </w:tcPr>
          <w:p w:rsidR="00DB39AE" w:rsidRDefault="00DB39AE" w:rsidP="00DB39AE">
            <w:pPr>
              <w:spacing w:before="0" w:after="0"/>
              <w:rPr>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left"/>
              <w:rPr>
                <w:sz w:val="20"/>
              </w:rPr>
            </w:pPr>
            <w:r>
              <w:rPr>
                <w:sz w:val="20"/>
              </w:rPr>
              <w:t>ENI</w:t>
            </w:r>
          </w:p>
        </w:tc>
        <w:tc>
          <w:tcPr>
            <w:tcW w:w="1752"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99"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50" w:type="dxa"/>
            <w:vMerge/>
            <w:tcBorders>
              <w:top w:val="nil"/>
              <w:left w:val="nil"/>
              <w:bottom w:val="single" w:sz="8" w:space="0" w:color="auto"/>
              <w:right w:val="single" w:sz="8" w:space="0" w:color="auto"/>
            </w:tcBorders>
            <w:vAlign w:val="center"/>
            <w:hideMark/>
          </w:tcPr>
          <w:p w:rsidR="00DB39AE" w:rsidRDefault="00DB39AE" w:rsidP="00DB39AE">
            <w:pPr>
              <w:spacing w:before="0" w:after="0"/>
              <w:rPr>
                <w:sz w:val="20"/>
              </w:rPr>
            </w:pPr>
          </w:p>
        </w:tc>
        <w:tc>
          <w:tcPr>
            <w:tcW w:w="1279" w:type="dxa"/>
            <w:vMerge/>
            <w:tcBorders>
              <w:top w:val="nil"/>
              <w:left w:val="nil"/>
              <w:bottom w:val="single" w:sz="8" w:space="0" w:color="auto"/>
              <w:right w:val="single" w:sz="8" w:space="0" w:color="auto"/>
            </w:tcBorders>
            <w:vAlign w:val="center"/>
            <w:hideMark/>
          </w:tcPr>
          <w:p w:rsidR="00DB39AE" w:rsidRDefault="00DB39AE" w:rsidP="00DB39AE">
            <w:pPr>
              <w:spacing w:before="0" w:after="0"/>
              <w:rPr>
                <w:sz w:val="20"/>
              </w:rPr>
            </w:pPr>
          </w:p>
        </w:tc>
      </w:tr>
      <w:tr w:rsidR="00DB39AE" w:rsidTr="00DB39AE">
        <w:trPr>
          <w:jc w:val="center"/>
        </w:trPr>
        <w:tc>
          <w:tcPr>
            <w:tcW w:w="120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39AE" w:rsidRDefault="00DB39AE" w:rsidP="00DB39AE">
            <w:pPr>
              <w:spacing w:before="0" w:after="0" w:line="276" w:lineRule="auto"/>
              <w:rPr>
                <w:sz w:val="20"/>
              </w:rPr>
            </w:pPr>
            <w:r>
              <w:rPr>
                <w:sz w:val="20"/>
              </w:rPr>
              <w:t>Total</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DB39AE" w:rsidRDefault="00DB39AE" w:rsidP="00DB39AE">
            <w:pPr>
              <w:spacing w:before="0" w:after="0" w:line="276" w:lineRule="auto"/>
              <w:jc w:val="left"/>
              <w:rPr>
                <w:sz w:val="20"/>
              </w:rPr>
            </w:pPr>
            <w:r>
              <w:rPr>
                <w:sz w:val="20"/>
              </w:rPr>
              <w:t>ERDF</w:t>
            </w:r>
          </w:p>
        </w:tc>
        <w:tc>
          <w:tcPr>
            <w:tcW w:w="1752"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jc w:val="center"/>
              <w:rPr>
                <w:sz w:val="20"/>
              </w:rPr>
            </w:pPr>
            <w:r>
              <w:rPr>
                <w:sz w:val="20"/>
              </w:rPr>
              <w:t>215,745,513</w:t>
            </w:r>
          </w:p>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42,758,612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27,374,344</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15,384,268</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258,504,125</w:t>
            </w:r>
          </w:p>
        </w:tc>
        <w:tc>
          <w:tcPr>
            <w:tcW w:w="14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83.46%</w:t>
            </w:r>
          </w:p>
        </w:tc>
        <w:tc>
          <w:tcPr>
            <w:tcW w:w="135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0559DC" w:rsidP="00DB39AE">
            <w:pPr>
              <w:spacing w:before="0" w:after="0" w:line="276" w:lineRule="auto"/>
              <w:jc w:val="center"/>
              <w:rPr>
                <w:sz w:val="20"/>
              </w:rPr>
            </w:pPr>
            <w:r>
              <w:rPr>
                <w:sz w:val="20"/>
              </w:rPr>
              <w:t>0</w:t>
            </w:r>
          </w:p>
        </w:tc>
        <w:tc>
          <w:tcPr>
            <w:tcW w:w="127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0559DC" w:rsidP="00DB39AE">
            <w:pPr>
              <w:spacing w:before="0" w:after="0" w:line="276" w:lineRule="auto"/>
              <w:jc w:val="center"/>
              <w:rPr>
                <w:sz w:val="20"/>
              </w:rPr>
            </w:pPr>
            <w:r>
              <w:rPr>
                <w:sz w:val="20"/>
              </w:rPr>
              <w:t>0</w:t>
            </w:r>
          </w:p>
        </w:tc>
      </w:tr>
      <w:tr w:rsidR="00DB39AE" w:rsidTr="00DB39AE">
        <w:trPr>
          <w:jc w:val="center"/>
        </w:trPr>
        <w:tc>
          <w:tcPr>
            <w:tcW w:w="1207" w:type="dxa"/>
            <w:vMerge/>
            <w:tcBorders>
              <w:top w:val="nil"/>
              <w:left w:val="single" w:sz="8" w:space="0" w:color="auto"/>
              <w:bottom w:val="single" w:sz="8" w:space="0" w:color="auto"/>
              <w:right w:val="single" w:sz="8" w:space="0" w:color="auto"/>
            </w:tcBorders>
            <w:vAlign w:val="center"/>
            <w:hideMark/>
          </w:tcPr>
          <w:p w:rsidR="00DB39AE" w:rsidRDefault="00DB39AE" w:rsidP="00DB39AE">
            <w:pPr>
              <w:spacing w:before="0" w:after="0"/>
              <w:rPr>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left"/>
              <w:rPr>
                <w:sz w:val="20"/>
              </w:rPr>
            </w:pPr>
            <w:r>
              <w:rPr>
                <w:sz w:val="20"/>
              </w:rPr>
              <w:t>IPA</w:t>
            </w:r>
          </w:p>
        </w:tc>
        <w:tc>
          <w:tcPr>
            <w:tcW w:w="1752"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99"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50" w:type="dxa"/>
            <w:vMerge/>
            <w:tcBorders>
              <w:top w:val="nil"/>
              <w:left w:val="nil"/>
              <w:bottom w:val="single" w:sz="8" w:space="0" w:color="auto"/>
              <w:right w:val="single" w:sz="8" w:space="0" w:color="auto"/>
            </w:tcBorders>
            <w:vAlign w:val="center"/>
            <w:hideMark/>
          </w:tcPr>
          <w:p w:rsidR="00DB39AE" w:rsidRDefault="00DB39AE" w:rsidP="00DB39AE">
            <w:pPr>
              <w:spacing w:before="0" w:after="0"/>
              <w:rPr>
                <w:sz w:val="20"/>
              </w:rPr>
            </w:pPr>
          </w:p>
        </w:tc>
        <w:tc>
          <w:tcPr>
            <w:tcW w:w="1279" w:type="dxa"/>
            <w:vMerge/>
            <w:tcBorders>
              <w:top w:val="nil"/>
              <w:left w:val="nil"/>
              <w:bottom w:val="single" w:sz="8" w:space="0" w:color="auto"/>
              <w:right w:val="single" w:sz="8" w:space="0" w:color="auto"/>
            </w:tcBorders>
            <w:vAlign w:val="center"/>
            <w:hideMark/>
          </w:tcPr>
          <w:p w:rsidR="00DB39AE" w:rsidRDefault="00DB39AE" w:rsidP="00DB39AE">
            <w:pPr>
              <w:spacing w:before="0" w:after="0"/>
              <w:rPr>
                <w:sz w:val="20"/>
              </w:rPr>
            </w:pPr>
          </w:p>
        </w:tc>
      </w:tr>
      <w:tr w:rsidR="00DB39AE" w:rsidTr="00DB39AE">
        <w:trPr>
          <w:jc w:val="center"/>
        </w:trPr>
        <w:tc>
          <w:tcPr>
            <w:tcW w:w="1207" w:type="dxa"/>
            <w:vMerge/>
            <w:tcBorders>
              <w:top w:val="nil"/>
              <w:left w:val="single" w:sz="8" w:space="0" w:color="auto"/>
              <w:bottom w:val="single" w:sz="8" w:space="0" w:color="auto"/>
              <w:right w:val="single" w:sz="8" w:space="0" w:color="auto"/>
            </w:tcBorders>
            <w:vAlign w:val="center"/>
            <w:hideMark/>
          </w:tcPr>
          <w:p w:rsidR="00DB39AE" w:rsidRDefault="00DB39AE" w:rsidP="00DB39AE">
            <w:pPr>
              <w:spacing w:before="0" w:after="0"/>
              <w:rPr>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left"/>
              <w:rPr>
                <w:sz w:val="20"/>
              </w:rPr>
            </w:pPr>
            <w:r>
              <w:rPr>
                <w:sz w:val="20"/>
              </w:rPr>
              <w:t>ENI</w:t>
            </w:r>
          </w:p>
        </w:tc>
        <w:tc>
          <w:tcPr>
            <w:tcW w:w="1752"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499"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1350" w:type="dxa"/>
            <w:vMerge/>
            <w:tcBorders>
              <w:top w:val="nil"/>
              <w:left w:val="nil"/>
              <w:bottom w:val="single" w:sz="8" w:space="0" w:color="auto"/>
              <w:right w:val="single" w:sz="8" w:space="0" w:color="auto"/>
            </w:tcBorders>
            <w:vAlign w:val="center"/>
            <w:hideMark/>
          </w:tcPr>
          <w:p w:rsidR="00DB39AE" w:rsidRDefault="00DB39AE" w:rsidP="00DB39AE">
            <w:pPr>
              <w:spacing w:before="0" w:after="0"/>
              <w:rPr>
                <w:sz w:val="20"/>
              </w:rPr>
            </w:pPr>
          </w:p>
        </w:tc>
        <w:tc>
          <w:tcPr>
            <w:tcW w:w="1279" w:type="dxa"/>
            <w:vMerge/>
            <w:tcBorders>
              <w:top w:val="nil"/>
              <w:left w:val="nil"/>
              <w:bottom w:val="single" w:sz="8" w:space="0" w:color="auto"/>
              <w:right w:val="single" w:sz="8" w:space="0" w:color="auto"/>
            </w:tcBorders>
            <w:vAlign w:val="center"/>
            <w:hideMark/>
          </w:tcPr>
          <w:p w:rsidR="00DB39AE" w:rsidRDefault="00DB39AE" w:rsidP="00DB39AE">
            <w:pPr>
              <w:spacing w:before="0" w:after="0"/>
              <w:rPr>
                <w:sz w:val="20"/>
              </w:rPr>
            </w:pPr>
          </w:p>
        </w:tc>
      </w:tr>
      <w:tr w:rsidR="00DB39AE" w:rsidTr="00DB39AE">
        <w:trPr>
          <w:jc w:val="center"/>
        </w:trPr>
        <w:tc>
          <w:tcPr>
            <w:tcW w:w="12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rPr>
                <w:sz w:val="20"/>
              </w:rPr>
            </w:pPr>
            <w:r>
              <w:rPr>
                <w:sz w:val="20"/>
              </w:rPr>
              <w:t>Total</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left"/>
              <w:rPr>
                <w:sz w:val="20"/>
              </w:rPr>
            </w:pPr>
            <w:r>
              <w:rPr>
                <w:sz w:val="20"/>
              </w:rPr>
              <w:t>Total finanţare</w:t>
            </w:r>
          </w:p>
        </w:tc>
        <w:tc>
          <w:tcPr>
            <w:tcW w:w="1752"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line="276" w:lineRule="auto"/>
              <w:jc w:val="center"/>
              <w:rPr>
                <w:sz w:val="20"/>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DB39AE" w:rsidP="00DB39AE">
            <w:pPr>
              <w:spacing w:before="0" w:after="0"/>
              <w:jc w:val="center"/>
              <w:rPr>
                <w:sz w:val="20"/>
              </w:rPr>
            </w:pPr>
            <w:r>
              <w:rPr>
                <w:sz w:val="20"/>
              </w:rPr>
              <w:t>215,745,513</w:t>
            </w:r>
          </w:p>
          <w:p w:rsidR="00DB39AE" w:rsidRDefault="00DB39AE" w:rsidP="00DB39AE">
            <w:pPr>
              <w:spacing w:before="0" w:after="0" w:line="276" w:lineRule="auto"/>
              <w:jc w:val="center"/>
              <w:rPr>
                <w:sz w:val="20"/>
              </w:rPr>
            </w:pPr>
          </w:p>
        </w:tc>
        <w:tc>
          <w:tcPr>
            <w:tcW w:w="14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42,758,612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27,374,344</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15,384,268</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258,504,125</w:t>
            </w:r>
          </w:p>
        </w:tc>
        <w:tc>
          <w:tcPr>
            <w:tcW w:w="14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9AE" w:rsidRDefault="00DB39AE" w:rsidP="00DB39AE">
            <w:pPr>
              <w:spacing w:before="0" w:after="0" w:line="276" w:lineRule="auto"/>
              <w:jc w:val="center"/>
              <w:rPr>
                <w:sz w:val="20"/>
              </w:rPr>
            </w:pPr>
            <w:r>
              <w:rPr>
                <w:sz w:val="20"/>
              </w:rPr>
              <w:t>83.46%</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0559DC" w:rsidP="00DB39AE">
            <w:pPr>
              <w:spacing w:before="0" w:after="0" w:line="276" w:lineRule="auto"/>
              <w:jc w:val="center"/>
              <w:rPr>
                <w:sz w:val="20"/>
              </w:rPr>
            </w:pPr>
            <w:r>
              <w:rPr>
                <w:sz w:val="20"/>
              </w:rPr>
              <w:t>0</w:t>
            </w:r>
          </w:p>
        </w:tc>
        <w:tc>
          <w:tcPr>
            <w:tcW w:w="1279" w:type="dxa"/>
            <w:tcBorders>
              <w:top w:val="nil"/>
              <w:left w:val="nil"/>
              <w:bottom w:val="single" w:sz="8" w:space="0" w:color="auto"/>
              <w:right w:val="single" w:sz="8" w:space="0" w:color="auto"/>
            </w:tcBorders>
            <w:tcMar>
              <w:top w:w="0" w:type="dxa"/>
              <w:left w:w="108" w:type="dxa"/>
              <w:bottom w:w="0" w:type="dxa"/>
              <w:right w:w="108" w:type="dxa"/>
            </w:tcMar>
            <w:vAlign w:val="center"/>
          </w:tcPr>
          <w:p w:rsidR="00DB39AE" w:rsidRDefault="000559DC" w:rsidP="00DB39AE">
            <w:pPr>
              <w:spacing w:before="0" w:after="0" w:line="276" w:lineRule="auto"/>
              <w:jc w:val="center"/>
              <w:rPr>
                <w:sz w:val="20"/>
              </w:rPr>
            </w:pPr>
            <w:r>
              <w:rPr>
                <w:sz w:val="20"/>
              </w:rPr>
              <w:t>0</w:t>
            </w:r>
          </w:p>
        </w:tc>
      </w:tr>
    </w:tbl>
    <w:p w:rsidR="00952AC8" w:rsidRDefault="00952AC8" w:rsidP="00DB39AE">
      <w:pPr>
        <w:pStyle w:val="Heading2"/>
        <w:rPr>
          <w:lang w:val="fr-FR"/>
        </w:rPr>
        <w:sectPr w:rsidR="00952AC8" w:rsidSect="00DB39AE">
          <w:pgSz w:w="16840" w:h="11900" w:orient="landscape"/>
          <w:pgMar w:top="990" w:right="1440" w:bottom="1797" w:left="1440" w:header="340" w:footer="340" w:gutter="0"/>
          <w:cols w:space="720"/>
          <w:docGrid w:linePitch="326"/>
        </w:sectPr>
      </w:pPr>
    </w:p>
    <w:p w:rsidR="00DB39AE" w:rsidRPr="006C6828" w:rsidRDefault="00AC6219" w:rsidP="00DB39AE">
      <w:pPr>
        <w:pStyle w:val="Heading2"/>
        <w:rPr>
          <w:lang w:val="it-IT"/>
        </w:rPr>
      </w:pPr>
      <w:bookmarkStart w:id="164" w:name="_Toc394837884"/>
      <w:r w:rsidRPr="006C6828">
        <w:rPr>
          <w:lang w:val="it-IT"/>
        </w:rPr>
        <w:lastRenderedPageBreak/>
        <w:t>3.2.B.</w:t>
      </w:r>
      <w:r w:rsidRPr="006C6828">
        <w:rPr>
          <w:lang w:val="it-IT"/>
        </w:rPr>
        <w:tab/>
        <w:t>Defalcarea pe</w:t>
      </w:r>
      <w:r w:rsidR="00DB39AE" w:rsidRPr="006C6828">
        <w:rPr>
          <w:lang w:val="it-IT"/>
        </w:rPr>
        <w:t xml:space="preserve"> axã prioritarã şi obiectiv tematic</w:t>
      </w:r>
      <w:bookmarkEnd w:id="164"/>
    </w:p>
    <w:p w:rsidR="00DB39AE" w:rsidRDefault="00DB39AE" w:rsidP="00DB39AE">
      <w:pPr>
        <w:pStyle w:val="Heading2"/>
        <w:rPr>
          <w:lang w:val="en-US"/>
        </w:rPr>
      </w:pPr>
      <w:bookmarkStart w:id="165" w:name="_Toc394837885"/>
      <w:r>
        <w:t>Tabel</w:t>
      </w:r>
      <w:r w:rsidR="00AC6219">
        <w:t>ul</w:t>
      </w:r>
      <w:r>
        <w:t xml:space="preserve"> 17</w:t>
      </w:r>
      <w:bookmarkEnd w:id="165"/>
      <w:r>
        <w:tab/>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7232"/>
        <w:gridCol w:w="1519"/>
        <w:gridCol w:w="1710"/>
        <w:gridCol w:w="1485"/>
      </w:tblGrid>
      <w:tr w:rsidR="00DB39AE" w:rsidRPr="00360FAC" w:rsidTr="00DB39AE">
        <w:trPr>
          <w:jc w:val="center"/>
        </w:trPr>
        <w:tc>
          <w:tcPr>
            <w:tcW w:w="841" w:type="pct"/>
            <w:shd w:val="clear" w:color="auto" w:fill="auto"/>
            <w:vAlign w:val="center"/>
          </w:tcPr>
          <w:p w:rsidR="00DB39AE" w:rsidRPr="00360FAC" w:rsidRDefault="00DB39AE" w:rsidP="00DB39AE">
            <w:pPr>
              <w:spacing w:before="0" w:after="0" w:line="276" w:lineRule="auto"/>
              <w:jc w:val="left"/>
              <w:rPr>
                <w:rFonts w:eastAsia="Times New Roman"/>
                <w:b/>
                <w:lang w:val="en-US"/>
              </w:rPr>
            </w:pPr>
            <w:r w:rsidRPr="00360FAC">
              <w:rPr>
                <w:b/>
              </w:rPr>
              <w:t>Axã prioritarã</w:t>
            </w:r>
          </w:p>
        </w:tc>
        <w:tc>
          <w:tcPr>
            <w:tcW w:w="2518" w:type="pct"/>
            <w:shd w:val="clear" w:color="auto" w:fill="auto"/>
            <w:vAlign w:val="center"/>
          </w:tcPr>
          <w:p w:rsidR="00DB39AE" w:rsidRPr="00360FAC" w:rsidRDefault="00DB39AE" w:rsidP="00DB39AE">
            <w:pPr>
              <w:spacing w:before="0" w:after="0" w:line="276" w:lineRule="auto"/>
              <w:jc w:val="left"/>
              <w:rPr>
                <w:rFonts w:eastAsia="Times New Roman"/>
                <w:b/>
                <w:lang w:val="en-US"/>
              </w:rPr>
            </w:pPr>
            <w:r w:rsidRPr="00360FAC">
              <w:rPr>
                <w:b/>
              </w:rPr>
              <w:t>Obiectiv tematic</w:t>
            </w:r>
          </w:p>
        </w:tc>
        <w:tc>
          <w:tcPr>
            <w:tcW w:w="529" w:type="pct"/>
            <w:shd w:val="clear" w:color="auto" w:fill="auto"/>
            <w:vAlign w:val="center"/>
          </w:tcPr>
          <w:p w:rsidR="00DB39AE" w:rsidRPr="00360FAC" w:rsidRDefault="00AC6219" w:rsidP="00DB39AE">
            <w:pPr>
              <w:spacing w:before="0" w:after="0" w:line="276" w:lineRule="auto"/>
              <w:jc w:val="left"/>
              <w:rPr>
                <w:rFonts w:eastAsia="Times New Roman"/>
                <w:b/>
                <w:smallCaps/>
                <w:lang w:val="en-US"/>
              </w:rPr>
            </w:pPr>
            <w:r>
              <w:rPr>
                <w:b/>
                <w:bCs/>
              </w:rPr>
              <w:t>Sprijinul din partea Uniunii</w:t>
            </w:r>
          </w:p>
        </w:tc>
        <w:tc>
          <w:tcPr>
            <w:tcW w:w="595" w:type="pct"/>
            <w:shd w:val="clear" w:color="auto" w:fill="auto"/>
            <w:vAlign w:val="center"/>
          </w:tcPr>
          <w:p w:rsidR="00DB39AE" w:rsidRPr="00360FAC" w:rsidRDefault="00DB39AE" w:rsidP="00DB39AE">
            <w:pPr>
              <w:spacing w:before="0" w:after="0" w:line="276" w:lineRule="auto"/>
              <w:jc w:val="left"/>
              <w:rPr>
                <w:rFonts w:eastAsia="Times New Roman"/>
                <w:b/>
                <w:smallCaps/>
                <w:lang w:val="en-US"/>
              </w:rPr>
            </w:pPr>
            <w:r w:rsidRPr="00360FAC">
              <w:rPr>
                <w:b/>
                <w:bCs/>
              </w:rPr>
              <w:t>Contrapartida naţionalã</w:t>
            </w:r>
          </w:p>
        </w:tc>
        <w:tc>
          <w:tcPr>
            <w:tcW w:w="517" w:type="pct"/>
            <w:shd w:val="clear" w:color="auto" w:fill="auto"/>
            <w:vAlign w:val="center"/>
          </w:tcPr>
          <w:p w:rsidR="00DB39AE" w:rsidRPr="00360FAC" w:rsidRDefault="00DB39AE" w:rsidP="00DB39AE">
            <w:pPr>
              <w:spacing w:before="0" w:after="0" w:line="276" w:lineRule="auto"/>
              <w:jc w:val="left"/>
              <w:rPr>
                <w:rFonts w:eastAsia="Times New Roman"/>
                <w:b/>
                <w:smallCaps/>
                <w:lang w:val="en-US"/>
              </w:rPr>
            </w:pPr>
            <w:r w:rsidRPr="00360FAC">
              <w:rPr>
                <w:b/>
                <w:bCs/>
              </w:rPr>
              <w:t>Total finanţare</w:t>
            </w:r>
          </w:p>
        </w:tc>
      </w:tr>
      <w:tr w:rsidR="00DB39AE" w:rsidRPr="00360FAC" w:rsidTr="00DB39AE">
        <w:trPr>
          <w:jc w:val="center"/>
        </w:trPr>
        <w:tc>
          <w:tcPr>
            <w:tcW w:w="841" w:type="pct"/>
            <w:shd w:val="clear" w:color="auto" w:fill="auto"/>
            <w:vAlign w:val="center"/>
          </w:tcPr>
          <w:p w:rsidR="00DB39AE" w:rsidRPr="006C6828" w:rsidRDefault="00DB39AE" w:rsidP="00DB39AE">
            <w:pPr>
              <w:spacing w:before="0" w:after="0" w:line="276" w:lineRule="auto"/>
              <w:jc w:val="left"/>
              <w:rPr>
                <w:rFonts w:eastAsia="Times New Roman"/>
                <w:b/>
                <w:lang w:val="it-IT"/>
              </w:rPr>
            </w:pPr>
            <w:r w:rsidRPr="006C6828">
              <w:rPr>
                <w:b/>
                <w:lang w:val="it-IT"/>
              </w:rPr>
              <w:t>Axa prioritarã 1 – O regiune bine conectatã</w:t>
            </w:r>
          </w:p>
        </w:tc>
        <w:tc>
          <w:tcPr>
            <w:tcW w:w="2518" w:type="pct"/>
            <w:shd w:val="clear" w:color="auto" w:fill="auto"/>
            <w:vAlign w:val="center"/>
          </w:tcPr>
          <w:p w:rsidR="00DB39AE" w:rsidRPr="00360FAC" w:rsidRDefault="00DB39AE" w:rsidP="00AC6219">
            <w:pPr>
              <w:spacing w:before="0" w:after="0" w:line="276" w:lineRule="auto"/>
              <w:jc w:val="left"/>
              <w:rPr>
                <w:rFonts w:eastAsia="Times New Roman"/>
                <w:b/>
                <w:lang w:val="en-US"/>
              </w:rPr>
            </w:pPr>
            <w:r w:rsidRPr="00360FAC">
              <w:rPr>
                <w:b/>
              </w:rPr>
              <w:t xml:space="preserve">TO 7- </w:t>
            </w:r>
            <w:r w:rsidR="00AC6219" w:rsidRPr="00AC6219">
              <w:rPr>
                <w:b/>
              </w:rPr>
              <w:t>Promovarea sistemelor de transport durabile și eliminarea blocajelor din cadrul infrastructurilor rețelelor majore</w:t>
            </w:r>
          </w:p>
        </w:tc>
        <w:tc>
          <w:tcPr>
            <w:tcW w:w="529" w:type="pct"/>
            <w:shd w:val="clear" w:color="auto" w:fill="auto"/>
            <w:vAlign w:val="center"/>
          </w:tcPr>
          <w:p w:rsidR="00DB39AE" w:rsidRPr="00360FAC" w:rsidRDefault="00DB39AE" w:rsidP="00DB39AE">
            <w:pPr>
              <w:spacing w:before="0" w:after="0"/>
              <w:jc w:val="center"/>
              <w:rPr>
                <w:lang w:val="en-US"/>
              </w:rPr>
            </w:pPr>
            <w:r w:rsidRPr="00360FAC">
              <w:rPr>
                <w:lang w:val="en-US"/>
              </w:rPr>
              <w:t>81983295</w:t>
            </w:r>
          </w:p>
        </w:tc>
        <w:tc>
          <w:tcPr>
            <w:tcW w:w="595" w:type="pct"/>
            <w:shd w:val="clear" w:color="auto" w:fill="auto"/>
            <w:vAlign w:val="center"/>
          </w:tcPr>
          <w:p w:rsidR="00DB39AE" w:rsidRPr="00360FAC" w:rsidRDefault="00DB39AE" w:rsidP="00DB39AE">
            <w:pPr>
              <w:spacing w:before="0" w:after="0"/>
              <w:jc w:val="center"/>
              <w:rPr>
                <w:lang w:val="en-US"/>
              </w:rPr>
            </w:pPr>
            <w:r w:rsidRPr="00360FAC">
              <w:rPr>
                <w:lang w:val="en-US"/>
              </w:rPr>
              <w:t>14467640</w:t>
            </w:r>
          </w:p>
        </w:tc>
        <w:tc>
          <w:tcPr>
            <w:tcW w:w="517" w:type="pct"/>
            <w:shd w:val="clear" w:color="auto" w:fill="auto"/>
            <w:vAlign w:val="center"/>
          </w:tcPr>
          <w:p w:rsidR="00DB39AE" w:rsidRPr="00360FAC" w:rsidRDefault="00DB39AE" w:rsidP="00DB39AE">
            <w:pPr>
              <w:spacing w:before="0" w:after="0"/>
              <w:jc w:val="center"/>
              <w:rPr>
                <w:lang w:val="en-US"/>
              </w:rPr>
            </w:pPr>
            <w:r w:rsidRPr="00360FAC">
              <w:rPr>
                <w:lang w:val="en-US"/>
              </w:rPr>
              <w:t>96450935</w:t>
            </w:r>
          </w:p>
        </w:tc>
      </w:tr>
      <w:tr w:rsidR="00DB39AE" w:rsidRPr="00360FAC" w:rsidTr="00DB39AE">
        <w:trPr>
          <w:jc w:val="center"/>
        </w:trPr>
        <w:tc>
          <w:tcPr>
            <w:tcW w:w="841" w:type="pct"/>
            <w:shd w:val="clear" w:color="auto" w:fill="auto"/>
            <w:vAlign w:val="center"/>
          </w:tcPr>
          <w:p w:rsidR="00DB39AE" w:rsidRPr="006C6828" w:rsidRDefault="00DB39AE" w:rsidP="00DB39AE">
            <w:pPr>
              <w:spacing w:before="0" w:after="0" w:line="276" w:lineRule="auto"/>
              <w:jc w:val="left"/>
              <w:rPr>
                <w:rFonts w:eastAsia="Times New Roman"/>
                <w:b/>
                <w:lang w:val="it-IT"/>
              </w:rPr>
            </w:pPr>
            <w:r w:rsidRPr="006C6828">
              <w:rPr>
                <w:b/>
                <w:lang w:val="it-IT"/>
              </w:rPr>
              <w:t>Axa prioritarã 2– O regiune verde</w:t>
            </w:r>
          </w:p>
        </w:tc>
        <w:tc>
          <w:tcPr>
            <w:tcW w:w="2518" w:type="pct"/>
            <w:shd w:val="clear" w:color="auto" w:fill="auto"/>
            <w:vAlign w:val="center"/>
          </w:tcPr>
          <w:p w:rsidR="00DB39AE" w:rsidRPr="006C6828" w:rsidRDefault="00DB39AE" w:rsidP="00AC6219">
            <w:pPr>
              <w:spacing w:before="0" w:after="0" w:line="276" w:lineRule="auto"/>
              <w:jc w:val="left"/>
              <w:rPr>
                <w:rFonts w:eastAsia="Times New Roman"/>
                <w:b/>
                <w:lang w:val="it-IT"/>
              </w:rPr>
            </w:pPr>
            <w:r w:rsidRPr="006C6828">
              <w:rPr>
                <w:b/>
                <w:lang w:val="it-IT"/>
              </w:rPr>
              <w:t xml:space="preserve">TO6 – </w:t>
            </w:r>
            <w:r w:rsidR="00AC6219" w:rsidRPr="006C6828">
              <w:rPr>
                <w:b/>
                <w:lang w:val="it-IT"/>
              </w:rPr>
              <w:t>Conservarea și protecția mediului și promovarea utilizării eficiente a resurselor</w:t>
            </w:r>
          </w:p>
        </w:tc>
        <w:tc>
          <w:tcPr>
            <w:tcW w:w="529" w:type="pct"/>
            <w:shd w:val="clear" w:color="auto" w:fill="auto"/>
            <w:vAlign w:val="center"/>
          </w:tcPr>
          <w:p w:rsidR="00DB39AE" w:rsidRPr="00360FAC" w:rsidRDefault="00DB39AE" w:rsidP="00DB39AE">
            <w:pPr>
              <w:spacing w:before="0" w:after="0"/>
              <w:jc w:val="center"/>
              <w:rPr>
                <w:lang w:val="en-US"/>
              </w:rPr>
            </w:pPr>
            <w:r w:rsidRPr="00360FAC">
              <w:rPr>
                <w:lang w:val="en-US"/>
              </w:rPr>
              <w:t>53936378</w:t>
            </w:r>
          </w:p>
        </w:tc>
        <w:tc>
          <w:tcPr>
            <w:tcW w:w="595" w:type="pct"/>
            <w:shd w:val="clear" w:color="auto" w:fill="auto"/>
            <w:vAlign w:val="center"/>
          </w:tcPr>
          <w:p w:rsidR="00DB39AE" w:rsidRPr="00360FAC" w:rsidRDefault="00DB39AE" w:rsidP="00DB39AE">
            <w:pPr>
              <w:spacing w:before="0" w:after="0"/>
              <w:jc w:val="center"/>
              <w:rPr>
                <w:lang w:val="en-US"/>
              </w:rPr>
            </w:pPr>
            <w:r w:rsidRPr="00360FAC">
              <w:rPr>
                <w:lang w:val="en-US"/>
              </w:rPr>
              <w:t>9518184</w:t>
            </w:r>
          </w:p>
        </w:tc>
        <w:tc>
          <w:tcPr>
            <w:tcW w:w="517" w:type="pct"/>
            <w:shd w:val="clear" w:color="auto" w:fill="auto"/>
            <w:vAlign w:val="center"/>
          </w:tcPr>
          <w:p w:rsidR="00DB39AE" w:rsidRPr="00360FAC" w:rsidRDefault="00DB39AE" w:rsidP="00DB39AE">
            <w:pPr>
              <w:spacing w:before="0" w:after="0"/>
              <w:jc w:val="center"/>
              <w:rPr>
                <w:lang w:val="en-US"/>
              </w:rPr>
            </w:pPr>
            <w:r w:rsidRPr="00360FAC">
              <w:rPr>
                <w:lang w:val="en-US"/>
              </w:rPr>
              <w:t>63454563</w:t>
            </w:r>
          </w:p>
        </w:tc>
      </w:tr>
      <w:tr w:rsidR="00DB39AE" w:rsidRPr="00360FAC" w:rsidTr="00DB39AE">
        <w:trPr>
          <w:jc w:val="center"/>
        </w:trPr>
        <w:tc>
          <w:tcPr>
            <w:tcW w:w="841" w:type="pct"/>
            <w:shd w:val="clear" w:color="auto" w:fill="auto"/>
            <w:vAlign w:val="center"/>
          </w:tcPr>
          <w:p w:rsidR="00DB39AE" w:rsidRPr="006C6828" w:rsidRDefault="00DB39AE" w:rsidP="00DB39AE">
            <w:pPr>
              <w:spacing w:before="0" w:after="0" w:line="276" w:lineRule="auto"/>
              <w:jc w:val="left"/>
              <w:rPr>
                <w:rFonts w:eastAsia="Times New Roman"/>
                <w:b/>
                <w:lang w:val="it-IT"/>
              </w:rPr>
            </w:pPr>
            <w:r w:rsidRPr="006C6828">
              <w:rPr>
                <w:b/>
                <w:lang w:val="it-IT"/>
              </w:rPr>
              <w:t>Axa prioritarã 3 – O regiune sigurã</w:t>
            </w:r>
          </w:p>
        </w:tc>
        <w:tc>
          <w:tcPr>
            <w:tcW w:w="2518" w:type="pct"/>
            <w:shd w:val="clear" w:color="auto" w:fill="auto"/>
            <w:vAlign w:val="center"/>
          </w:tcPr>
          <w:p w:rsidR="00DB39AE" w:rsidRPr="006C6828" w:rsidRDefault="00DB39AE" w:rsidP="00AC6219">
            <w:pPr>
              <w:spacing w:before="0" w:after="0" w:line="276" w:lineRule="auto"/>
              <w:jc w:val="left"/>
              <w:rPr>
                <w:rFonts w:eastAsia="Times New Roman"/>
                <w:b/>
                <w:lang w:val="it-IT"/>
              </w:rPr>
            </w:pPr>
            <w:r w:rsidRPr="006C6828">
              <w:rPr>
                <w:b/>
                <w:lang w:val="it-IT"/>
              </w:rPr>
              <w:t xml:space="preserve">TO5 – </w:t>
            </w:r>
            <w:r w:rsidR="00AC6219" w:rsidRPr="006C6828">
              <w:rPr>
                <w:b/>
                <w:lang w:val="it-IT"/>
              </w:rPr>
              <w:t xml:space="preserve">Promovarea adaptării la schimbările climatice, a prevenirii și a gestionării riscurilor </w:t>
            </w:r>
          </w:p>
        </w:tc>
        <w:tc>
          <w:tcPr>
            <w:tcW w:w="529" w:type="pct"/>
            <w:shd w:val="clear" w:color="auto" w:fill="auto"/>
            <w:vAlign w:val="center"/>
          </w:tcPr>
          <w:p w:rsidR="00DB39AE" w:rsidRPr="00360FAC" w:rsidRDefault="00DB39AE" w:rsidP="00DB39AE">
            <w:pPr>
              <w:spacing w:before="0" w:after="0"/>
              <w:jc w:val="center"/>
              <w:rPr>
                <w:lang w:val="en-US"/>
              </w:rPr>
            </w:pPr>
            <w:r w:rsidRPr="00360FAC">
              <w:rPr>
                <w:lang w:val="en-US"/>
              </w:rPr>
              <w:t>40991647</w:t>
            </w:r>
          </w:p>
        </w:tc>
        <w:tc>
          <w:tcPr>
            <w:tcW w:w="595" w:type="pct"/>
            <w:shd w:val="clear" w:color="auto" w:fill="auto"/>
            <w:vAlign w:val="center"/>
          </w:tcPr>
          <w:p w:rsidR="00DB39AE" w:rsidRPr="00360FAC" w:rsidRDefault="00DB39AE" w:rsidP="00DB39AE">
            <w:pPr>
              <w:spacing w:before="0" w:after="0"/>
              <w:jc w:val="center"/>
              <w:rPr>
                <w:lang w:val="en-US"/>
              </w:rPr>
            </w:pPr>
            <w:r w:rsidRPr="00360FAC">
              <w:rPr>
                <w:lang w:val="en-US"/>
              </w:rPr>
              <w:t>7233820</w:t>
            </w:r>
          </w:p>
        </w:tc>
        <w:tc>
          <w:tcPr>
            <w:tcW w:w="517" w:type="pct"/>
            <w:shd w:val="clear" w:color="auto" w:fill="auto"/>
            <w:vAlign w:val="center"/>
          </w:tcPr>
          <w:p w:rsidR="00DB39AE" w:rsidRPr="00360FAC" w:rsidRDefault="00DB39AE" w:rsidP="00DB39AE">
            <w:pPr>
              <w:spacing w:before="0" w:after="0"/>
              <w:jc w:val="center"/>
              <w:rPr>
                <w:lang w:val="en-US"/>
              </w:rPr>
            </w:pPr>
            <w:r w:rsidRPr="00360FAC">
              <w:rPr>
                <w:lang w:val="en-US"/>
              </w:rPr>
              <w:t>48225468</w:t>
            </w:r>
          </w:p>
        </w:tc>
      </w:tr>
      <w:tr w:rsidR="00DB39AE" w:rsidRPr="00360FAC" w:rsidTr="00DB39AE">
        <w:trPr>
          <w:jc w:val="center"/>
        </w:trPr>
        <w:tc>
          <w:tcPr>
            <w:tcW w:w="841" w:type="pct"/>
            <w:shd w:val="clear" w:color="auto" w:fill="auto"/>
            <w:vAlign w:val="center"/>
          </w:tcPr>
          <w:p w:rsidR="00DB39AE" w:rsidRPr="006C6828" w:rsidRDefault="00DB39AE" w:rsidP="00AC6219">
            <w:pPr>
              <w:spacing w:before="0" w:after="0" w:line="276" w:lineRule="auto"/>
              <w:jc w:val="left"/>
              <w:rPr>
                <w:rFonts w:eastAsia="Times New Roman"/>
                <w:b/>
                <w:lang w:val="it-IT"/>
              </w:rPr>
            </w:pPr>
            <w:r w:rsidRPr="006C6828">
              <w:rPr>
                <w:b/>
                <w:lang w:val="it-IT"/>
              </w:rPr>
              <w:t xml:space="preserve">Axa prioritarã 4 – </w:t>
            </w:r>
            <w:r w:rsidR="00AC6219" w:rsidRPr="006C6828">
              <w:rPr>
                <w:b/>
                <w:lang w:val="it-IT"/>
              </w:rPr>
              <w:t>O regiune calificată și inclusivă</w:t>
            </w:r>
          </w:p>
        </w:tc>
        <w:tc>
          <w:tcPr>
            <w:tcW w:w="2518" w:type="pct"/>
            <w:shd w:val="clear" w:color="auto" w:fill="auto"/>
            <w:vAlign w:val="center"/>
          </w:tcPr>
          <w:p w:rsidR="00DB39AE" w:rsidRPr="006C6828" w:rsidRDefault="00DB39AE" w:rsidP="00AC6219">
            <w:pPr>
              <w:spacing w:before="0" w:after="0" w:line="276" w:lineRule="auto"/>
              <w:jc w:val="left"/>
              <w:rPr>
                <w:rFonts w:eastAsia="Times New Roman"/>
                <w:b/>
                <w:lang w:val="it-IT"/>
              </w:rPr>
            </w:pPr>
            <w:r w:rsidRPr="006C6828">
              <w:rPr>
                <w:b/>
                <w:lang w:val="it-IT"/>
              </w:rPr>
              <w:t xml:space="preserve">TO8 – </w:t>
            </w:r>
            <w:r w:rsidR="00AC6219" w:rsidRPr="006C6828">
              <w:rPr>
                <w:b/>
                <w:lang w:val="it-IT"/>
              </w:rPr>
              <w:t>Promovarea sustenabilității și calității locurilor de muncă și sprijinirea mobilității forței de muncă</w:t>
            </w:r>
          </w:p>
        </w:tc>
        <w:tc>
          <w:tcPr>
            <w:tcW w:w="529" w:type="pct"/>
            <w:shd w:val="clear" w:color="auto" w:fill="auto"/>
            <w:vAlign w:val="center"/>
          </w:tcPr>
          <w:p w:rsidR="00DB39AE" w:rsidRPr="00360FAC" w:rsidRDefault="00DB39AE" w:rsidP="00DB39AE">
            <w:pPr>
              <w:spacing w:before="0" w:after="0"/>
              <w:jc w:val="center"/>
              <w:rPr>
                <w:lang w:val="en-US"/>
              </w:rPr>
            </w:pPr>
            <w:r w:rsidRPr="00360FAC">
              <w:rPr>
                <w:lang w:val="en-US"/>
              </w:rPr>
              <w:t>15102186</w:t>
            </w:r>
          </w:p>
        </w:tc>
        <w:tc>
          <w:tcPr>
            <w:tcW w:w="595" w:type="pct"/>
            <w:shd w:val="clear" w:color="auto" w:fill="auto"/>
            <w:vAlign w:val="center"/>
          </w:tcPr>
          <w:p w:rsidR="00DB39AE" w:rsidRPr="00360FAC" w:rsidRDefault="00DB39AE" w:rsidP="00DB39AE">
            <w:pPr>
              <w:spacing w:before="0" w:after="0"/>
              <w:jc w:val="center"/>
              <w:rPr>
                <w:lang w:val="en-US"/>
              </w:rPr>
            </w:pPr>
            <w:r w:rsidRPr="00360FAC">
              <w:rPr>
                <w:lang w:val="en-US"/>
              </w:rPr>
              <w:t>2665092</w:t>
            </w:r>
          </w:p>
        </w:tc>
        <w:tc>
          <w:tcPr>
            <w:tcW w:w="517" w:type="pct"/>
            <w:shd w:val="clear" w:color="auto" w:fill="auto"/>
            <w:vAlign w:val="center"/>
          </w:tcPr>
          <w:p w:rsidR="00DB39AE" w:rsidRPr="00360FAC" w:rsidRDefault="00DB39AE" w:rsidP="00DB39AE">
            <w:pPr>
              <w:spacing w:before="0" w:after="0"/>
              <w:jc w:val="center"/>
              <w:rPr>
                <w:lang w:val="en-US"/>
              </w:rPr>
            </w:pPr>
            <w:r w:rsidRPr="00360FAC">
              <w:rPr>
                <w:lang w:val="en-US"/>
              </w:rPr>
              <w:t>17767278</w:t>
            </w:r>
          </w:p>
        </w:tc>
      </w:tr>
      <w:tr w:rsidR="00DB39AE" w:rsidRPr="00360FAC" w:rsidTr="00DB39AE">
        <w:trPr>
          <w:jc w:val="center"/>
        </w:trPr>
        <w:tc>
          <w:tcPr>
            <w:tcW w:w="841" w:type="pct"/>
            <w:shd w:val="clear" w:color="auto" w:fill="auto"/>
            <w:vAlign w:val="center"/>
          </w:tcPr>
          <w:p w:rsidR="00DB39AE" w:rsidRPr="006C6828" w:rsidRDefault="00DB39AE" w:rsidP="00DB39AE">
            <w:pPr>
              <w:spacing w:before="0" w:after="0" w:line="276" w:lineRule="auto"/>
              <w:jc w:val="left"/>
              <w:rPr>
                <w:rFonts w:eastAsia="Times New Roman"/>
                <w:b/>
                <w:lang w:val="it-IT"/>
              </w:rPr>
            </w:pPr>
            <w:r w:rsidRPr="006C6828">
              <w:rPr>
                <w:b/>
                <w:lang w:val="it-IT"/>
              </w:rPr>
              <w:t>Axa prioritarã 5 – O regiune eficientã</w:t>
            </w:r>
          </w:p>
        </w:tc>
        <w:tc>
          <w:tcPr>
            <w:tcW w:w="2518" w:type="pct"/>
            <w:shd w:val="clear" w:color="auto" w:fill="auto"/>
            <w:vAlign w:val="center"/>
          </w:tcPr>
          <w:p w:rsidR="00DB39AE" w:rsidRPr="006C6828" w:rsidRDefault="00DB39AE" w:rsidP="00AC6219">
            <w:pPr>
              <w:spacing w:before="0" w:after="0" w:line="276" w:lineRule="auto"/>
              <w:jc w:val="left"/>
              <w:rPr>
                <w:rFonts w:eastAsia="Times New Roman"/>
                <w:b/>
                <w:lang w:val="it-IT"/>
              </w:rPr>
            </w:pPr>
            <w:r w:rsidRPr="006C6828">
              <w:rPr>
                <w:b/>
                <w:lang w:val="it-IT"/>
              </w:rPr>
              <w:t>TO11 –</w:t>
            </w:r>
            <w:r w:rsidR="00AC6219" w:rsidRPr="006C6828">
              <w:rPr>
                <w:b/>
                <w:lang w:val="it-IT"/>
              </w:rPr>
              <w:t>Consolidarea capacității instituționale a autorităților publice și a persoanelor interesate și a unei administrații publice eficiente prin acțiuni menite să dezvolte capacitatea instituțională și eficiența administrațiilor și serviciilor publice vizate de implementarea FEDR, precum și prin sprijinirea acțiunilor din cadrul FSE de consolidare a capacității instituționale și a eficienței administrației publice</w:t>
            </w:r>
          </w:p>
        </w:tc>
        <w:tc>
          <w:tcPr>
            <w:tcW w:w="529" w:type="pct"/>
            <w:shd w:val="clear" w:color="auto" w:fill="auto"/>
            <w:vAlign w:val="center"/>
          </w:tcPr>
          <w:p w:rsidR="00DB39AE" w:rsidRPr="00360FAC" w:rsidRDefault="00DB39AE" w:rsidP="00DB39AE">
            <w:pPr>
              <w:spacing w:before="0" w:after="0"/>
              <w:jc w:val="center"/>
              <w:rPr>
                <w:lang w:val="en-US"/>
              </w:rPr>
            </w:pPr>
            <w:r w:rsidRPr="00360FAC">
              <w:rPr>
                <w:lang w:val="en-US"/>
              </w:rPr>
              <w:t>10787276</w:t>
            </w:r>
          </w:p>
        </w:tc>
        <w:tc>
          <w:tcPr>
            <w:tcW w:w="595" w:type="pct"/>
            <w:shd w:val="clear" w:color="auto" w:fill="auto"/>
            <w:vAlign w:val="center"/>
          </w:tcPr>
          <w:p w:rsidR="00DB39AE" w:rsidRPr="00360FAC" w:rsidRDefault="00DB39AE" w:rsidP="00DB39AE">
            <w:pPr>
              <w:spacing w:before="0" w:after="0"/>
              <w:jc w:val="center"/>
              <w:rPr>
                <w:lang w:val="en-US"/>
              </w:rPr>
            </w:pPr>
            <w:r w:rsidRPr="00360FAC">
              <w:rPr>
                <w:lang w:val="en-US"/>
              </w:rPr>
              <w:t>1903637</w:t>
            </w:r>
          </w:p>
        </w:tc>
        <w:tc>
          <w:tcPr>
            <w:tcW w:w="517" w:type="pct"/>
            <w:shd w:val="clear" w:color="auto" w:fill="auto"/>
            <w:vAlign w:val="center"/>
          </w:tcPr>
          <w:p w:rsidR="00DB39AE" w:rsidRPr="00360FAC" w:rsidRDefault="00DB39AE" w:rsidP="00DB39AE">
            <w:pPr>
              <w:spacing w:before="0" w:after="0"/>
              <w:jc w:val="center"/>
              <w:rPr>
                <w:lang w:val="en-US"/>
              </w:rPr>
            </w:pPr>
            <w:r w:rsidRPr="00360FAC">
              <w:rPr>
                <w:lang w:val="en-US"/>
              </w:rPr>
              <w:t>12690913</w:t>
            </w:r>
          </w:p>
        </w:tc>
      </w:tr>
      <w:tr w:rsidR="00DB39AE" w:rsidRPr="00360FAC" w:rsidTr="00DB39AE">
        <w:trPr>
          <w:jc w:val="center"/>
        </w:trPr>
        <w:tc>
          <w:tcPr>
            <w:tcW w:w="841" w:type="pct"/>
            <w:shd w:val="clear" w:color="auto" w:fill="auto"/>
            <w:vAlign w:val="center"/>
          </w:tcPr>
          <w:p w:rsidR="00DB39AE" w:rsidRPr="00360FAC" w:rsidRDefault="00DB39AE" w:rsidP="00DB39AE">
            <w:pPr>
              <w:spacing w:before="0" w:after="0" w:line="276" w:lineRule="auto"/>
              <w:jc w:val="left"/>
              <w:rPr>
                <w:rFonts w:eastAsia="Times New Roman"/>
                <w:b/>
                <w:lang w:val="en-US"/>
              </w:rPr>
            </w:pPr>
            <w:r w:rsidRPr="00360FAC">
              <w:rPr>
                <w:b/>
              </w:rPr>
              <w:t xml:space="preserve">Axa prioritarã </w:t>
            </w:r>
            <w:r w:rsidR="00AC6219">
              <w:rPr>
                <w:b/>
              </w:rPr>
              <w:t xml:space="preserve">6 </w:t>
            </w:r>
            <w:r w:rsidRPr="00360FAC">
              <w:rPr>
                <w:b/>
              </w:rPr>
              <w:t>– Asistenţã tehnicã</w:t>
            </w:r>
          </w:p>
        </w:tc>
        <w:tc>
          <w:tcPr>
            <w:tcW w:w="2518" w:type="pct"/>
            <w:shd w:val="clear" w:color="auto" w:fill="auto"/>
            <w:vAlign w:val="center"/>
          </w:tcPr>
          <w:p w:rsidR="00DB39AE" w:rsidRPr="00360FAC" w:rsidRDefault="00DB39AE" w:rsidP="00DB39AE">
            <w:pPr>
              <w:spacing w:before="0" w:after="0" w:line="276" w:lineRule="auto"/>
              <w:jc w:val="left"/>
              <w:rPr>
                <w:rFonts w:eastAsia="Times New Roman"/>
                <w:b/>
                <w:i/>
                <w:lang w:val="en-US"/>
              </w:rPr>
            </w:pPr>
            <w:r w:rsidRPr="00360FAC">
              <w:rPr>
                <w:b/>
                <w:i/>
              </w:rPr>
              <w:t>Nu se aplicã</w:t>
            </w:r>
          </w:p>
        </w:tc>
        <w:tc>
          <w:tcPr>
            <w:tcW w:w="529" w:type="pct"/>
            <w:shd w:val="clear" w:color="auto" w:fill="auto"/>
            <w:vAlign w:val="center"/>
          </w:tcPr>
          <w:p w:rsidR="00DB39AE" w:rsidRPr="00360FAC" w:rsidRDefault="00DB39AE" w:rsidP="00DB39AE">
            <w:pPr>
              <w:spacing w:before="0" w:after="0"/>
              <w:jc w:val="center"/>
              <w:rPr>
                <w:lang w:val="en-US"/>
              </w:rPr>
            </w:pPr>
            <w:r w:rsidRPr="00360FAC">
              <w:rPr>
                <w:lang w:val="en-US"/>
              </w:rPr>
              <w:t>12944731</w:t>
            </w:r>
          </w:p>
        </w:tc>
        <w:tc>
          <w:tcPr>
            <w:tcW w:w="595" w:type="pct"/>
            <w:shd w:val="clear" w:color="auto" w:fill="auto"/>
            <w:vAlign w:val="center"/>
          </w:tcPr>
          <w:p w:rsidR="00DB39AE" w:rsidRPr="00360FAC" w:rsidRDefault="00DB39AE" w:rsidP="00DB39AE">
            <w:pPr>
              <w:spacing w:before="0" w:after="0"/>
              <w:jc w:val="center"/>
              <w:rPr>
                <w:lang w:val="en-US"/>
              </w:rPr>
            </w:pPr>
            <w:r w:rsidRPr="00360FAC">
              <w:rPr>
                <w:lang w:val="en-US"/>
              </w:rPr>
              <w:t>6970240</w:t>
            </w:r>
          </w:p>
        </w:tc>
        <w:tc>
          <w:tcPr>
            <w:tcW w:w="517" w:type="pct"/>
            <w:shd w:val="clear" w:color="auto" w:fill="auto"/>
            <w:vAlign w:val="center"/>
          </w:tcPr>
          <w:p w:rsidR="00DB39AE" w:rsidRPr="00360FAC" w:rsidRDefault="00DB39AE" w:rsidP="00DB39AE">
            <w:pPr>
              <w:spacing w:before="0" w:after="0"/>
              <w:jc w:val="center"/>
              <w:rPr>
                <w:lang w:val="en-US"/>
              </w:rPr>
            </w:pPr>
            <w:r w:rsidRPr="00360FAC">
              <w:rPr>
                <w:lang w:val="en-US"/>
              </w:rPr>
              <w:t>19914970</w:t>
            </w:r>
          </w:p>
        </w:tc>
      </w:tr>
      <w:tr w:rsidR="00DB39AE" w:rsidRPr="009B04E0" w:rsidTr="00DB39AE">
        <w:trPr>
          <w:jc w:val="center"/>
        </w:trPr>
        <w:tc>
          <w:tcPr>
            <w:tcW w:w="841" w:type="pct"/>
            <w:shd w:val="clear" w:color="auto" w:fill="auto"/>
            <w:vAlign w:val="center"/>
          </w:tcPr>
          <w:p w:rsidR="00DB39AE" w:rsidRPr="009B04E0" w:rsidRDefault="00DB39AE" w:rsidP="00DB39AE">
            <w:pPr>
              <w:spacing w:before="0" w:after="0" w:line="276" w:lineRule="auto"/>
              <w:jc w:val="right"/>
              <w:rPr>
                <w:rFonts w:eastAsia="Times New Roman"/>
                <w:b/>
                <w:smallCaps/>
                <w:lang w:val="en-US"/>
              </w:rPr>
            </w:pPr>
            <w:r w:rsidRPr="009B04E0">
              <w:rPr>
                <w:rFonts w:eastAsia="Times New Roman"/>
                <w:b/>
                <w:smallCaps/>
                <w:lang w:val="en-US"/>
              </w:rPr>
              <w:t>Total</w:t>
            </w:r>
          </w:p>
        </w:tc>
        <w:tc>
          <w:tcPr>
            <w:tcW w:w="2518" w:type="pct"/>
            <w:shd w:val="clear" w:color="auto" w:fill="auto"/>
            <w:vAlign w:val="center"/>
          </w:tcPr>
          <w:p w:rsidR="00DB39AE" w:rsidRPr="009B04E0" w:rsidRDefault="00DB39AE" w:rsidP="00DB39AE">
            <w:pPr>
              <w:spacing w:before="0" w:after="0" w:line="276" w:lineRule="auto"/>
              <w:jc w:val="left"/>
              <w:rPr>
                <w:rFonts w:eastAsia="Times New Roman"/>
                <w:b/>
                <w:smallCaps/>
                <w:lang w:val="en-US"/>
              </w:rPr>
            </w:pPr>
          </w:p>
        </w:tc>
        <w:tc>
          <w:tcPr>
            <w:tcW w:w="529" w:type="pct"/>
            <w:shd w:val="clear" w:color="auto" w:fill="auto"/>
            <w:vAlign w:val="center"/>
          </w:tcPr>
          <w:p w:rsidR="00DB39AE" w:rsidRPr="009B04E0" w:rsidRDefault="00DB39AE" w:rsidP="00DB39AE">
            <w:pPr>
              <w:spacing w:before="0" w:after="0"/>
              <w:jc w:val="center"/>
              <w:rPr>
                <w:b/>
                <w:lang w:val="en-US"/>
              </w:rPr>
            </w:pPr>
            <w:r w:rsidRPr="009B04E0">
              <w:rPr>
                <w:b/>
                <w:lang w:val="en-US"/>
              </w:rPr>
              <w:t>215 745 513</w:t>
            </w:r>
          </w:p>
        </w:tc>
        <w:tc>
          <w:tcPr>
            <w:tcW w:w="595" w:type="pct"/>
            <w:shd w:val="clear" w:color="auto" w:fill="auto"/>
            <w:vAlign w:val="center"/>
          </w:tcPr>
          <w:p w:rsidR="00DB39AE" w:rsidRPr="009B04E0" w:rsidRDefault="00DB39AE" w:rsidP="00DB39AE">
            <w:pPr>
              <w:spacing w:before="0" w:after="0"/>
              <w:jc w:val="center"/>
              <w:rPr>
                <w:b/>
                <w:lang w:val="en-US"/>
              </w:rPr>
            </w:pPr>
            <w:r w:rsidRPr="009B04E0">
              <w:rPr>
                <w:b/>
                <w:lang w:val="en-US"/>
              </w:rPr>
              <w:t>42 758 613</w:t>
            </w:r>
          </w:p>
        </w:tc>
        <w:tc>
          <w:tcPr>
            <w:tcW w:w="517" w:type="pct"/>
            <w:shd w:val="clear" w:color="auto" w:fill="auto"/>
            <w:vAlign w:val="center"/>
          </w:tcPr>
          <w:p w:rsidR="00DB39AE" w:rsidRPr="009B04E0" w:rsidRDefault="00DB39AE" w:rsidP="00DB39AE">
            <w:pPr>
              <w:spacing w:before="0" w:after="0"/>
              <w:jc w:val="center"/>
              <w:rPr>
                <w:b/>
                <w:lang w:val="en-US"/>
              </w:rPr>
            </w:pPr>
            <w:r w:rsidRPr="009B04E0">
              <w:rPr>
                <w:b/>
                <w:lang w:val="en-US"/>
              </w:rPr>
              <w:t>258 504 126</w:t>
            </w:r>
          </w:p>
        </w:tc>
      </w:tr>
    </w:tbl>
    <w:p w:rsidR="00DB39AE" w:rsidRDefault="00DB39AE" w:rsidP="00DB39AE">
      <w:pPr>
        <w:spacing w:line="276" w:lineRule="auto"/>
        <w:rPr>
          <w:rFonts w:eastAsia="Times New Roman"/>
          <w:b/>
        </w:rPr>
      </w:pPr>
    </w:p>
    <w:p w:rsidR="00DB39AE" w:rsidRDefault="00DB39AE" w:rsidP="00DB39AE">
      <w:pPr>
        <w:rPr>
          <w:b/>
          <w:bCs/>
        </w:rPr>
        <w:sectPr w:rsidR="00DB39AE" w:rsidSect="00DB39AE">
          <w:pgSz w:w="16840" w:h="11900" w:orient="landscape"/>
          <w:pgMar w:top="990" w:right="1440" w:bottom="1797" w:left="1440" w:header="340" w:footer="340" w:gutter="0"/>
          <w:cols w:space="720"/>
          <w:docGrid w:linePitch="326"/>
        </w:sectPr>
      </w:pPr>
      <w:bookmarkStart w:id="166" w:name="_Toc394063565"/>
    </w:p>
    <w:p w:rsidR="00DB39AE" w:rsidRPr="006C6828" w:rsidRDefault="00DB39AE" w:rsidP="00DB39AE">
      <w:pPr>
        <w:pStyle w:val="Heading2"/>
        <w:rPr>
          <w:szCs w:val="24"/>
          <w:lang w:val="it-IT" w:eastAsia="en-US"/>
        </w:rPr>
      </w:pPr>
      <w:bookmarkStart w:id="167" w:name="_Toc394837886"/>
      <w:r w:rsidRPr="006C6828">
        <w:rPr>
          <w:lang w:val="it-IT"/>
        </w:rPr>
        <w:lastRenderedPageBreak/>
        <w:t>Tabel</w:t>
      </w:r>
      <w:r w:rsidR="00CC2AE2" w:rsidRPr="006C6828">
        <w:rPr>
          <w:lang w:val="it-IT"/>
        </w:rPr>
        <w:t>ul</w:t>
      </w:r>
      <w:r w:rsidRPr="006C6828">
        <w:rPr>
          <w:lang w:val="it-IT"/>
        </w:rPr>
        <w:t xml:space="preserve"> 18: </w:t>
      </w:r>
      <w:bookmarkEnd w:id="166"/>
      <w:r w:rsidR="00CC2AE2" w:rsidRPr="006C6828">
        <w:rPr>
          <w:lang w:val="it-IT"/>
        </w:rPr>
        <w:t>Valoarea indicativă a sprijinului care urmează să fie utilizat pentru obiectivele aferente schimbărilor climatice</w:t>
      </w:r>
      <w:bookmarkEnd w:id="16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2"/>
        <w:gridCol w:w="4727"/>
        <w:gridCol w:w="4737"/>
      </w:tblGrid>
      <w:tr w:rsidR="00DB39AE" w:rsidRPr="00A158A9" w:rsidTr="00DB39AE">
        <w:trPr>
          <w:jc w:val="center"/>
        </w:trPr>
        <w:tc>
          <w:tcPr>
            <w:tcW w:w="4712" w:type="dxa"/>
            <w:tcBorders>
              <w:top w:val="single" w:sz="4" w:space="0" w:color="auto"/>
              <w:left w:val="single" w:sz="4" w:space="0" w:color="auto"/>
              <w:bottom w:val="single" w:sz="4" w:space="0" w:color="auto"/>
              <w:right w:val="single" w:sz="4" w:space="0" w:color="auto"/>
            </w:tcBorders>
            <w:vAlign w:val="center"/>
            <w:hideMark/>
          </w:tcPr>
          <w:p w:rsidR="00DB39AE" w:rsidRDefault="00DB39AE" w:rsidP="00DB39AE">
            <w:pPr>
              <w:jc w:val="left"/>
              <w:rPr>
                <w:rFonts w:eastAsia="Times New Roman"/>
                <w:b/>
                <w:szCs w:val="24"/>
              </w:rPr>
            </w:pPr>
            <w:r>
              <w:rPr>
                <w:b/>
              </w:rPr>
              <w:t>Axa prioritarã</w:t>
            </w:r>
          </w:p>
        </w:tc>
        <w:tc>
          <w:tcPr>
            <w:tcW w:w="4727" w:type="dxa"/>
            <w:tcBorders>
              <w:top w:val="single" w:sz="4" w:space="0" w:color="auto"/>
              <w:left w:val="single" w:sz="4" w:space="0" w:color="auto"/>
              <w:bottom w:val="single" w:sz="4" w:space="0" w:color="auto"/>
              <w:right w:val="single" w:sz="4" w:space="0" w:color="auto"/>
            </w:tcBorders>
            <w:vAlign w:val="center"/>
            <w:hideMark/>
          </w:tcPr>
          <w:p w:rsidR="00DB39AE" w:rsidRDefault="00CC2AE2" w:rsidP="00DB39AE">
            <w:pPr>
              <w:jc w:val="left"/>
              <w:rPr>
                <w:rFonts w:eastAsia="Times New Roman"/>
                <w:b/>
                <w:bCs/>
                <w:szCs w:val="24"/>
              </w:rPr>
            </w:pPr>
            <w:r w:rsidRPr="00CC2AE2">
              <w:rPr>
                <w:rFonts w:eastAsia="Times New Roman"/>
                <w:b/>
                <w:bCs/>
                <w:szCs w:val="24"/>
              </w:rPr>
              <w:t>Valoarea indicativă a sprijinului care urmează să fie utilizat pentru obiectivele aferente schimbărilor climatice (EUR)</w:t>
            </w:r>
          </w:p>
        </w:tc>
        <w:tc>
          <w:tcPr>
            <w:tcW w:w="4737" w:type="dxa"/>
            <w:tcBorders>
              <w:top w:val="single" w:sz="4" w:space="0" w:color="auto"/>
              <w:left w:val="single" w:sz="4" w:space="0" w:color="auto"/>
              <w:bottom w:val="single" w:sz="4" w:space="0" w:color="auto"/>
              <w:right w:val="single" w:sz="4" w:space="0" w:color="auto"/>
            </w:tcBorders>
            <w:vAlign w:val="center"/>
            <w:hideMark/>
          </w:tcPr>
          <w:p w:rsidR="00DB39AE" w:rsidRDefault="00CC2AE2" w:rsidP="00DB39AE">
            <w:pPr>
              <w:jc w:val="left"/>
              <w:rPr>
                <w:rFonts w:eastAsia="Times New Roman"/>
                <w:b/>
                <w:szCs w:val="24"/>
                <w:lang w:val="fr-FR"/>
              </w:rPr>
            </w:pPr>
            <w:r w:rsidRPr="00CC2AE2">
              <w:rPr>
                <w:rFonts w:eastAsia="Times New Roman"/>
                <w:b/>
                <w:szCs w:val="24"/>
                <w:lang w:val="fr-FR"/>
              </w:rPr>
              <w:t>Procentul alocării totale pentru programul de cooperare (%)</w:t>
            </w:r>
          </w:p>
        </w:tc>
      </w:tr>
      <w:tr w:rsidR="000559DC" w:rsidRPr="00A158A9" w:rsidTr="00DB39AE">
        <w:trPr>
          <w:jc w:val="center"/>
        </w:trPr>
        <w:tc>
          <w:tcPr>
            <w:tcW w:w="4712" w:type="dxa"/>
            <w:tcBorders>
              <w:top w:val="single" w:sz="4" w:space="0" w:color="auto"/>
              <w:left w:val="single" w:sz="4" w:space="0" w:color="auto"/>
              <w:bottom w:val="single" w:sz="4" w:space="0" w:color="auto"/>
              <w:right w:val="single" w:sz="4" w:space="0" w:color="auto"/>
            </w:tcBorders>
            <w:vAlign w:val="center"/>
          </w:tcPr>
          <w:p w:rsidR="000559DC" w:rsidRDefault="000559DC" w:rsidP="00DB39AE">
            <w:pPr>
              <w:rPr>
                <w:rFonts w:eastAsia="Times New Roman"/>
                <w:b/>
                <w:szCs w:val="24"/>
                <w:lang w:val="fr-FR"/>
              </w:rPr>
            </w:pPr>
            <w:r>
              <w:rPr>
                <w:rFonts w:eastAsia="Times New Roman"/>
                <w:b/>
                <w:szCs w:val="24"/>
                <w:lang w:val="fr-FR"/>
              </w:rPr>
              <w:t>Axa prioritară 1</w:t>
            </w:r>
          </w:p>
        </w:tc>
        <w:tc>
          <w:tcPr>
            <w:tcW w:w="4727" w:type="dxa"/>
            <w:tcBorders>
              <w:top w:val="single" w:sz="4" w:space="0" w:color="auto"/>
              <w:left w:val="single" w:sz="4" w:space="0" w:color="auto"/>
              <w:bottom w:val="single" w:sz="4" w:space="0" w:color="auto"/>
              <w:right w:val="single" w:sz="4" w:space="0" w:color="auto"/>
            </w:tcBorders>
            <w:vAlign w:val="center"/>
          </w:tcPr>
          <w:p w:rsidR="000559DC" w:rsidRDefault="000559DC" w:rsidP="00DB39AE">
            <w:pPr>
              <w:rPr>
                <w:rFonts w:eastAsia="Times New Roman"/>
                <w:b/>
                <w:szCs w:val="24"/>
                <w:lang w:val="fr-FR"/>
              </w:rPr>
            </w:pPr>
            <w:r w:rsidRPr="007440B9">
              <w:rPr>
                <w:rFonts w:eastAsia="Times New Roman"/>
                <w:b/>
                <w:szCs w:val="24"/>
                <w:lang w:val="en-US"/>
              </w:rPr>
              <w:t xml:space="preserve">8,629,820.40 </w:t>
            </w:r>
          </w:p>
        </w:tc>
        <w:tc>
          <w:tcPr>
            <w:tcW w:w="4737" w:type="dxa"/>
            <w:tcBorders>
              <w:top w:val="single" w:sz="4" w:space="0" w:color="auto"/>
              <w:left w:val="single" w:sz="4" w:space="0" w:color="auto"/>
              <w:bottom w:val="single" w:sz="4" w:space="0" w:color="auto"/>
              <w:right w:val="single" w:sz="4" w:space="0" w:color="auto"/>
            </w:tcBorders>
            <w:vAlign w:val="center"/>
          </w:tcPr>
          <w:p w:rsidR="000559DC" w:rsidRDefault="000559DC" w:rsidP="00DB39AE">
            <w:pPr>
              <w:rPr>
                <w:rFonts w:eastAsia="Times New Roman"/>
                <w:b/>
                <w:szCs w:val="24"/>
                <w:lang w:val="fr-FR"/>
              </w:rPr>
            </w:pPr>
            <w:r w:rsidRPr="007440B9">
              <w:rPr>
                <w:rFonts w:eastAsia="Times New Roman"/>
                <w:b/>
                <w:szCs w:val="24"/>
                <w:lang w:val="en-US"/>
              </w:rPr>
              <w:t>4.00%</w:t>
            </w:r>
          </w:p>
        </w:tc>
      </w:tr>
      <w:tr w:rsidR="000559DC" w:rsidRPr="00A158A9" w:rsidTr="00DB39AE">
        <w:trPr>
          <w:jc w:val="center"/>
        </w:trPr>
        <w:tc>
          <w:tcPr>
            <w:tcW w:w="4712" w:type="dxa"/>
            <w:tcBorders>
              <w:top w:val="single" w:sz="4" w:space="0" w:color="auto"/>
              <w:left w:val="single" w:sz="4" w:space="0" w:color="auto"/>
              <w:bottom w:val="single" w:sz="4" w:space="0" w:color="auto"/>
              <w:right w:val="single" w:sz="4" w:space="0" w:color="auto"/>
            </w:tcBorders>
            <w:vAlign w:val="center"/>
          </w:tcPr>
          <w:p w:rsidR="000559DC" w:rsidRDefault="000559DC" w:rsidP="00DB39AE">
            <w:pPr>
              <w:rPr>
                <w:rFonts w:eastAsia="Times New Roman"/>
                <w:b/>
                <w:szCs w:val="24"/>
                <w:lang w:val="fr-FR"/>
              </w:rPr>
            </w:pPr>
            <w:r>
              <w:rPr>
                <w:rFonts w:eastAsia="Times New Roman"/>
                <w:b/>
                <w:szCs w:val="24"/>
                <w:lang w:val="fr-FR"/>
              </w:rPr>
              <w:t xml:space="preserve">Axa prioritară 2 </w:t>
            </w:r>
          </w:p>
        </w:tc>
        <w:tc>
          <w:tcPr>
            <w:tcW w:w="4727" w:type="dxa"/>
            <w:tcBorders>
              <w:top w:val="single" w:sz="4" w:space="0" w:color="auto"/>
              <w:left w:val="single" w:sz="4" w:space="0" w:color="auto"/>
              <w:bottom w:val="single" w:sz="4" w:space="0" w:color="auto"/>
              <w:right w:val="single" w:sz="4" w:space="0" w:color="auto"/>
            </w:tcBorders>
            <w:vAlign w:val="center"/>
          </w:tcPr>
          <w:p w:rsidR="000559DC" w:rsidRDefault="000559DC" w:rsidP="00DB39AE">
            <w:pPr>
              <w:rPr>
                <w:rFonts w:eastAsia="Times New Roman"/>
                <w:b/>
                <w:szCs w:val="24"/>
                <w:lang w:val="fr-FR"/>
              </w:rPr>
            </w:pPr>
            <w:r w:rsidRPr="007440B9">
              <w:rPr>
                <w:rFonts w:eastAsia="Times New Roman"/>
                <w:b/>
                <w:szCs w:val="24"/>
                <w:lang w:val="en-US"/>
              </w:rPr>
              <w:t xml:space="preserve">8,629,820.40 </w:t>
            </w:r>
          </w:p>
        </w:tc>
        <w:tc>
          <w:tcPr>
            <w:tcW w:w="4737" w:type="dxa"/>
            <w:tcBorders>
              <w:top w:val="single" w:sz="4" w:space="0" w:color="auto"/>
              <w:left w:val="single" w:sz="4" w:space="0" w:color="auto"/>
              <w:bottom w:val="single" w:sz="4" w:space="0" w:color="auto"/>
              <w:right w:val="single" w:sz="4" w:space="0" w:color="auto"/>
            </w:tcBorders>
            <w:vAlign w:val="center"/>
          </w:tcPr>
          <w:p w:rsidR="000559DC" w:rsidRDefault="000559DC" w:rsidP="00DB39AE">
            <w:pPr>
              <w:rPr>
                <w:rFonts w:eastAsia="Times New Roman"/>
                <w:b/>
                <w:szCs w:val="24"/>
                <w:lang w:val="fr-FR"/>
              </w:rPr>
            </w:pPr>
            <w:r w:rsidRPr="007440B9">
              <w:rPr>
                <w:rFonts w:eastAsia="Times New Roman"/>
                <w:b/>
                <w:szCs w:val="24"/>
                <w:lang w:val="en-US"/>
              </w:rPr>
              <w:t>4.00%</w:t>
            </w:r>
          </w:p>
        </w:tc>
      </w:tr>
      <w:tr w:rsidR="000559DC" w:rsidRPr="00A158A9" w:rsidTr="00DB39AE">
        <w:trPr>
          <w:jc w:val="center"/>
        </w:trPr>
        <w:tc>
          <w:tcPr>
            <w:tcW w:w="4712" w:type="dxa"/>
            <w:tcBorders>
              <w:top w:val="single" w:sz="4" w:space="0" w:color="auto"/>
              <w:left w:val="single" w:sz="4" w:space="0" w:color="auto"/>
              <w:bottom w:val="single" w:sz="4" w:space="0" w:color="auto"/>
              <w:right w:val="single" w:sz="4" w:space="0" w:color="auto"/>
            </w:tcBorders>
            <w:vAlign w:val="center"/>
          </w:tcPr>
          <w:p w:rsidR="000559DC" w:rsidRDefault="000559DC" w:rsidP="00DB39AE">
            <w:pPr>
              <w:rPr>
                <w:rFonts w:eastAsia="Times New Roman"/>
                <w:b/>
                <w:szCs w:val="24"/>
                <w:lang w:val="fr-FR"/>
              </w:rPr>
            </w:pPr>
            <w:r>
              <w:rPr>
                <w:rFonts w:eastAsia="Times New Roman"/>
                <w:b/>
                <w:szCs w:val="24"/>
                <w:lang w:val="fr-FR"/>
              </w:rPr>
              <w:t>Axa prioritară 3</w:t>
            </w:r>
          </w:p>
        </w:tc>
        <w:tc>
          <w:tcPr>
            <w:tcW w:w="4727" w:type="dxa"/>
            <w:tcBorders>
              <w:top w:val="single" w:sz="4" w:space="0" w:color="auto"/>
              <w:left w:val="single" w:sz="4" w:space="0" w:color="auto"/>
              <w:bottom w:val="single" w:sz="4" w:space="0" w:color="auto"/>
              <w:right w:val="single" w:sz="4" w:space="0" w:color="auto"/>
            </w:tcBorders>
            <w:vAlign w:val="center"/>
          </w:tcPr>
          <w:p w:rsidR="000559DC" w:rsidRPr="007440B9" w:rsidRDefault="000559DC" w:rsidP="00DB39AE">
            <w:pPr>
              <w:rPr>
                <w:rFonts w:eastAsia="Times New Roman"/>
                <w:b/>
                <w:szCs w:val="24"/>
                <w:lang w:val="en-US"/>
              </w:rPr>
            </w:pPr>
            <w:r>
              <w:rPr>
                <w:rFonts w:eastAsia="Times New Roman"/>
                <w:b/>
                <w:szCs w:val="24"/>
                <w:lang w:val="en-US"/>
              </w:rPr>
              <w:t>26</w:t>
            </w:r>
            <w:r w:rsidRPr="007440B9">
              <w:rPr>
                <w:rFonts w:eastAsia="Times New Roman"/>
                <w:b/>
                <w:szCs w:val="24"/>
                <w:lang w:val="en-US"/>
              </w:rPr>
              <w:t>,</w:t>
            </w:r>
            <w:r>
              <w:rPr>
                <w:rFonts w:eastAsia="Times New Roman"/>
                <w:b/>
                <w:szCs w:val="24"/>
                <w:lang w:val="en-US"/>
              </w:rPr>
              <w:t>752</w:t>
            </w:r>
            <w:r w:rsidRPr="007440B9">
              <w:rPr>
                <w:rFonts w:eastAsia="Times New Roman"/>
                <w:b/>
                <w:szCs w:val="24"/>
                <w:lang w:val="en-US"/>
              </w:rPr>
              <w:t>,</w:t>
            </w:r>
            <w:r>
              <w:rPr>
                <w:rFonts w:eastAsia="Times New Roman"/>
                <w:b/>
                <w:szCs w:val="24"/>
                <w:lang w:val="en-US"/>
              </w:rPr>
              <w:t>443</w:t>
            </w:r>
            <w:r w:rsidRPr="007440B9">
              <w:rPr>
                <w:rFonts w:eastAsia="Times New Roman"/>
                <w:b/>
                <w:szCs w:val="24"/>
                <w:lang w:val="en-US"/>
              </w:rPr>
              <w:t xml:space="preserve">.40 </w:t>
            </w:r>
          </w:p>
        </w:tc>
        <w:tc>
          <w:tcPr>
            <w:tcW w:w="4737" w:type="dxa"/>
            <w:tcBorders>
              <w:top w:val="single" w:sz="4" w:space="0" w:color="auto"/>
              <w:left w:val="single" w:sz="4" w:space="0" w:color="auto"/>
              <w:bottom w:val="single" w:sz="4" w:space="0" w:color="auto"/>
              <w:right w:val="single" w:sz="4" w:space="0" w:color="auto"/>
            </w:tcBorders>
            <w:vAlign w:val="center"/>
          </w:tcPr>
          <w:p w:rsidR="000559DC" w:rsidRPr="007440B9" w:rsidRDefault="000559DC" w:rsidP="00DB39AE">
            <w:pPr>
              <w:rPr>
                <w:rFonts w:eastAsia="Times New Roman"/>
                <w:b/>
                <w:szCs w:val="24"/>
                <w:lang w:val="en-US"/>
              </w:rPr>
            </w:pPr>
            <w:r>
              <w:rPr>
                <w:rFonts w:eastAsia="Times New Roman"/>
                <w:b/>
                <w:szCs w:val="24"/>
                <w:lang w:val="en-US"/>
              </w:rPr>
              <w:t>12</w:t>
            </w:r>
            <w:r w:rsidRPr="007440B9">
              <w:rPr>
                <w:rFonts w:eastAsia="Times New Roman"/>
                <w:b/>
                <w:szCs w:val="24"/>
                <w:lang w:val="en-US"/>
              </w:rPr>
              <w:t>.</w:t>
            </w:r>
            <w:r>
              <w:rPr>
                <w:rFonts w:eastAsia="Times New Roman"/>
                <w:b/>
                <w:szCs w:val="24"/>
                <w:lang w:val="en-US"/>
              </w:rPr>
              <w:t>4</w:t>
            </w:r>
            <w:r w:rsidRPr="007440B9">
              <w:rPr>
                <w:rFonts w:eastAsia="Times New Roman"/>
                <w:b/>
                <w:szCs w:val="24"/>
                <w:lang w:val="en-US"/>
              </w:rPr>
              <w:t>0%</w:t>
            </w:r>
          </w:p>
        </w:tc>
      </w:tr>
      <w:tr w:rsidR="000559DC" w:rsidTr="00DB39AE">
        <w:trPr>
          <w:jc w:val="center"/>
        </w:trPr>
        <w:tc>
          <w:tcPr>
            <w:tcW w:w="4712" w:type="dxa"/>
            <w:tcBorders>
              <w:top w:val="single" w:sz="4" w:space="0" w:color="auto"/>
              <w:left w:val="single" w:sz="4" w:space="0" w:color="auto"/>
              <w:bottom w:val="single" w:sz="4" w:space="0" w:color="auto"/>
              <w:right w:val="single" w:sz="4" w:space="0" w:color="auto"/>
            </w:tcBorders>
            <w:vAlign w:val="center"/>
            <w:hideMark/>
          </w:tcPr>
          <w:p w:rsidR="000559DC" w:rsidRDefault="000559DC" w:rsidP="00DB39AE">
            <w:pPr>
              <w:rPr>
                <w:rFonts w:eastAsia="Times New Roman"/>
                <w:b/>
                <w:szCs w:val="24"/>
              </w:rPr>
            </w:pPr>
            <w:r>
              <w:rPr>
                <w:b/>
              </w:rPr>
              <w:t>Total</w:t>
            </w:r>
          </w:p>
        </w:tc>
        <w:tc>
          <w:tcPr>
            <w:tcW w:w="4727" w:type="dxa"/>
            <w:tcBorders>
              <w:top w:val="single" w:sz="4" w:space="0" w:color="auto"/>
              <w:left w:val="single" w:sz="4" w:space="0" w:color="auto"/>
              <w:bottom w:val="single" w:sz="4" w:space="0" w:color="auto"/>
              <w:right w:val="single" w:sz="4" w:space="0" w:color="auto"/>
            </w:tcBorders>
            <w:vAlign w:val="center"/>
          </w:tcPr>
          <w:p w:rsidR="000559DC" w:rsidRDefault="000559DC" w:rsidP="00DB39AE">
            <w:pPr>
              <w:rPr>
                <w:rFonts w:eastAsia="Times New Roman"/>
                <w:b/>
                <w:szCs w:val="24"/>
              </w:rPr>
            </w:pPr>
            <w:r>
              <w:rPr>
                <w:rFonts w:eastAsia="Times New Roman"/>
                <w:b/>
                <w:szCs w:val="24"/>
                <w:lang w:val="en-US"/>
              </w:rPr>
              <w:t>44,012,084.20</w:t>
            </w:r>
          </w:p>
        </w:tc>
        <w:tc>
          <w:tcPr>
            <w:tcW w:w="4737" w:type="dxa"/>
            <w:tcBorders>
              <w:top w:val="single" w:sz="4" w:space="0" w:color="auto"/>
              <w:left w:val="single" w:sz="4" w:space="0" w:color="auto"/>
              <w:bottom w:val="single" w:sz="4" w:space="0" w:color="auto"/>
              <w:right w:val="single" w:sz="4" w:space="0" w:color="auto"/>
            </w:tcBorders>
            <w:vAlign w:val="center"/>
          </w:tcPr>
          <w:p w:rsidR="000559DC" w:rsidRDefault="000559DC" w:rsidP="00DB39AE">
            <w:pPr>
              <w:rPr>
                <w:rFonts w:eastAsia="Times New Roman"/>
                <w:b/>
                <w:szCs w:val="24"/>
              </w:rPr>
            </w:pPr>
            <w:r>
              <w:rPr>
                <w:rFonts w:eastAsia="Times New Roman"/>
                <w:b/>
                <w:szCs w:val="24"/>
                <w:lang w:val="en-US"/>
              </w:rPr>
              <w:t>20.40%</w:t>
            </w:r>
          </w:p>
        </w:tc>
      </w:tr>
    </w:tbl>
    <w:p w:rsidR="00DB39AE" w:rsidRDefault="00DB39AE" w:rsidP="00DB39AE">
      <w:pPr>
        <w:rPr>
          <w:rFonts w:eastAsia="Times New Roman"/>
        </w:rPr>
      </w:pPr>
    </w:p>
    <w:p w:rsidR="00DB39AE" w:rsidRDefault="00DB39AE" w:rsidP="00DB39AE"/>
    <w:p w:rsidR="00DB39AE" w:rsidRDefault="00DB39AE" w:rsidP="00DB39AE"/>
    <w:p w:rsidR="00DB39AE" w:rsidRDefault="00DB39AE" w:rsidP="00DB39AE"/>
    <w:p w:rsidR="00DB39AE" w:rsidRDefault="00DB39AE" w:rsidP="00DB39AE"/>
    <w:p w:rsidR="00DB39AE" w:rsidRDefault="00DB39AE" w:rsidP="00DB39AE"/>
    <w:p w:rsidR="00DB39AE" w:rsidRDefault="00DB39AE" w:rsidP="00DB39AE"/>
    <w:p w:rsidR="00DB39AE" w:rsidRDefault="00DB39AE" w:rsidP="00DB39AE"/>
    <w:p w:rsidR="00DB39AE" w:rsidRDefault="00DB39AE" w:rsidP="00DB39AE">
      <w:pPr>
        <w:rPr>
          <w:b/>
        </w:rPr>
        <w:sectPr w:rsidR="00DB39AE" w:rsidSect="00DB39AE">
          <w:pgSz w:w="16840" w:h="11900" w:orient="landscape"/>
          <w:pgMar w:top="990" w:right="1440" w:bottom="1797" w:left="1440" w:header="340" w:footer="340" w:gutter="0"/>
          <w:cols w:space="720"/>
          <w:docGrid w:linePitch="326"/>
        </w:sectPr>
      </w:pPr>
    </w:p>
    <w:p w:rsidR="00DB39AE" w:rsidRPr="006C6828" w:rsidRDefault="00DB39AE" w:rsidP="00DB39AE">
      <w:pPr>
        <w:pStyle w:val="Heading1"/>
        <w:rPr>
          <w:lang w:val="it-IT"/>
        </w:rPr>
      </w:pPr>
      <w:bookmarkStart w:id="168" w:name="_Toc394837887"/>
      <w:r w:rsidRPr="006C6828">
        <w:rPr>
          <w:lang w:val="it-IT"/>
        </w:rPr>
        <w:lastRenderedPageBreak/>
        <w:t xml:space="preserve">SECŢIUNEA 4: </w:t>
      </w:r>
      <w:r w:rsidR="00CC2AE2" w:rsidRPr="006C6828">
        <w:rPr>
          <w:lang w:val="it-IT"/>
        </w:rPr>
        <w:t>ABORDARE INTEGRATĂ A DEZVOLTĂRII TERITORIALE</w:t>
      </w:r>
      <w:bookmarkEnd w:id="168"/>
    </w:p>
    <w:p w:rsidR="00E81F0F" w:rsidRPr="006C6828" w:rsidRDefault="00E81F0F" w:rsidP="00E81F0F">
      <w:pPr>
        <w:rPr>
          <w:lang w:val="it-IT"/>
        </w:rPr>
      </w:pPr>
      <w:r w:rsidRPr="006C6828">
        <w:rPr>
          <w:lang w:val="it-IT"/>
        </w:rPr>
        <w:t>Programul ROBG PC 2014-2020 contribuie la dezvoltãrile inteligente (axele prioritare 1, 4 şi 5), sustenabile (axele prioritare 1, 2, 3 şi 5) şi incluzive (axele prioritare 4 şi 5) prin intermediul unei abordãri integrate pentru a rãspunde provocãrilor. Programul se bazeazã pe o analizã în detaliu a caracteristicilor teritoriale ale tuturor regiunilor NUTS 3 eligibile (secţiunea 1.1 şi anexa 4 “Analiza teritorialã”).</w:t>
      </w:r>
    </w:p>
    <w:p w:rsidR="00E81F0F" w:rsidRPr="006C6828" w:rsidRDefault="00E81F0F" w:rsidP="00E81F0F">
      <w:pPr>
        <w:rPr>
          <w:lang w:val="it-IT"/>
        </w:rPr>
      </w:pPr>
      <w:r w:rsidRPr="006C6828">
        <w:rPr>
          <w:lang w:val="it-IT"/>
        </w:rPr>
        <w:t>Într-adevãr, printr-o abordare adecvatã şi complementarã a Acordurilor Naţionale de parteneriat, programul îşi propune sã promoveze, într-o modalitate eficientã</w:t>
      </w:r>
      <w:r w:rsidR="003A625F" w:rsidRPr="006C6828">
        <w:rPr>
          <w:lang w:val="it-IT"/>
        </w:rPr>
        <w:t xml:space="preserve"> de utilizare a resurselor, iniţ</w:t>
      </w:r>
      <w:r w:rsidRPr="006C6828">
        <w:rPr>
          <w:lang w:val="it-IT"/>
        </w:rPr>
        <w:t>iative speciale de dezvoltare şi oportunitãţile bazate pe dezvoltarea fluxurilor transversale şi orizontale ale zonei sprijinite, culoarul Dunãre- Marea Neagrã.</w:t>
      </w:r>
    </w:p>
    <w:p w:rsidR="00E81F0F" w:rsidRDefault="00E81F0F" w:rsidP="00E81F0F">
      <w:pPr>
        <w:rPr>
          <w:lang w:val="fr-FR"/>
        </w:rPr>
      </w:pPr>
      <w:r>
        <w:rPr>
          <w:lang w:val="fr-FR"/>
        </w:rPr>
        <w:t>Strategia programului combinã dimensiuni tematice şi teritoriale şi este conforma cu Acordurile de Parteneria</w:t>
      </w:r>
      <w:r w:rsidR="003A625F">
        <w:rPr>
          <w:lang w:val="fr-FR"/>
        </w:rPr>
        <w:t>t ale celor douã state membre, în ce priveş</w:t>
      </w:r>
      <w:r>
        <w:rPr>
          <w:lang w:val="fr-FR"/>
        </w:rPr>
        <w:t>te toate prioritãţile selectate:</w:t>
      </w:r>
    </w:p>
    <w:p w:rsidR="00E81F0F" w:rsidRDefault="00E81F0F" w:rsidP="00E81F0F">
      <w:pPr>
        <w:spacing w:before="0" w:after="0"/>
        <w:rPr>
          <w:lang w:val="fr-FR"/>
        </w:rPr>
      </w:pPr>
      <w:r>
        <w:rPr>
          <w:b/>
          <w:lang w:val="fr-FR"/>
        </w:rPr>
        <w:t>Prioritatea 1 (TO 7):</w:t>
      </w:r>
      <w:r>
        <w:rPr>
          <w:lang w:val="fr-FR"/>
        </w:rPr>
        <w:t xml:space="preserve"> Potrivit Acordurilor de Parteneriat, o prioritate comunã pentru cele douã state este consolidarea conexiunilor TEN-T, îmbunãtãţirea sistemul de navigaţie pe Dunãre şi a conexiunile transfrontaliere. Într-adevãr, fluviul Dunãrea nu este utilizat la potenţialul sãu maxim, întrucât navigaţia este limitatã în decursul anului, iar infrastructurile transfrontaliere sunt deseori deficitare sau lipsesc. Prin dezvoltarea Dunãrii ca o cale navigabila şi a accesibilitãţii sale, prioritatea programului va promova mobilitatea sustenabilã şi va contribui astfel la politica europeană comună în domeniul transporturilor şi la iniţiativa majorã: “O Europă eficientă din punctul de vedere al utilizării resurselor”.</w:t>
      </w:r>
    </w:p>
    <w:p w:rsidR="00E81F0F" w:rsidRDefault="00E81F0F" w:rsidP="00E81F0F">
      <w:pPr>
        <w:rPr>
          <w:lang w:val="fr-FR"/>
        </w:rPr>
      </w:pPr>
      <w:r>
        <w:rPr>
          <w:b/>
          <w:lang w:val="fr-FR"/>
        </w:rPr>
        <w:t>Prioritatea 2 (TO6):</w:t>
      </w:r>
      <w:r>
        <w:rPr>
          <w:lang w:val="fr-FR"/>
        </w:rPr>
        <w:t xml:space="preserve"> Interacţiunea şi interdependenţa peisajelor şi continuitatea habitatelor şi a ecosistemelor de-a lungul Dunãrii constituie unul dintre cele mai mari resurse ale zonei transfrontaliere şi un factor important de localizare pentru dezvoltarea turismului, care este una dintre prioritãţile Acordurilor de parteneriat ale celor douã state membre. Sprijinã iniţiativa majora “O Europă eficientă din punctul de vedere al utilizării resurselor” şi “O agendă pentru noi competenţe şi noi locuri de muncă”.</w:t>
      </w:r>
    </w:p>
    <w:p w:rsidR="00E81F0F" w:rsidRDefault="00E81F0F" w:rsidP="00E81F0F">
      <w:pPr>
        <w:rPr>
          <w:lang w:val="fr-FR"/>
        </w:rPr>
      </w:pPr>
      <w:r w:rsidRPr="006C6828">
        <w:rPr>
          <w:b/>
          <w:lang w:val="it-IT"/>
        </w:rPr>
        <w:t>Prioritatea 3 (TO5):</w:t>
      </w:r>
      <w:r w:rsidRPr="006C6828">
        <w:rPr>
          <w:lang w:val="it-IT"/>
        </w:rPr>
        <w:t xml:space="preserve"> Regiunea este supusa efectelor schimbãrilor climatice şi dezastrelor naturale precum inundaţiile. Este necesar sã fie asigurat un nivel înalt de prevenire a riscurilor prin intermediul cooperãrii transfrontaliere. Aceastã prioritate a programului va spori, per ansamblu, capacitatea scãzutã de atenuare şi furniza</w:t>
      </w:r>
      <w:r w:rsidR="003A625F" w:rsidRPr="006C6828">
        <w:rPr>
          <w:lang w:val="it-IT"/>
        </w:rPr>
        <w:t>rea serviciilor de interventie în caz de urgenţă</w:t>
      </w:r>
      <w:r w:rsidRPr="006C6828">
        <w:rPr>
          <w:lang w:val="it-IT"/>
        </w:rPr>
        <w:t xml:space="preserve">. </w:t>
      </w:r>
      <w:r>
        <w:rPr>
          <w:lang w:val="fr-FR"/>
        </w:rPr>
        <w:t xml:space="preserve">Aceastã axã prioritarã contribuie la strategia UE </w:t>
      </w:r>
      <w:proofErr w:type="gramStart"/>
      <w:r>
        <w:rPr>
          <w:lang w:val="fr-FR"/>
        </w:rPr>
        <w:t>de adaptare</w:t>
      </w:r>
      <w:proofErr w:type="gramEnd"/>
      <w:r>
        <w:rPr>
          <w:lang w:val="fr-FR"/>
        </w:rPr>
        <w:t xml:space="preserve"> la schimbãrile climatice.</w:t>
      </w:r>
    </w:p>
    <w:p w:rsidR="00E81F0F" w:rsidRDefault="00E81F0F" w:rsidP="00E81F0F">
      <w:pPr>
        <w:rPr>
          <w:lang w:val="fr-FR"/>
        </w:rPr>
      </w:pPr>
      <w:r>
        <w:rPr>
          <w:b/>
          <w:lang w:val="fr-FR"/>
        </w:rPr>
        <w:t>Prioritatea 4 (TO 8):</w:t>
      </w:r>
      <w:r>
        <w:rPr>
          <w:lang w:val="fr-FR"/>
        </w:rPr>
        <w:t xml:space="preserve"> Zona RO-BG trebuie sã facã faţã provocãrilor generate de criza economică, precum scãderea populatiei ocupate, şomajul în rândul tinerilor, problemele de migraţie, o dezvoltare scãzutã a reţelelor transfrontaliere de afaceri şi lipsa legãturii dintre instituţiile de învãţãmânt şi mediul de afaceri. Prioritatea programului va facilita pregãtirea,  incluziunea, şi angajarea tuturor grupelor de vârstã şi dezvoltarea reţelelor dintre IMM-urile din zona transfrontaliera. Aceastã axã prioritar</w:t>
      </w:r>
      <w:r w:rsidR="009A0CB1">
        <w:rPr>
          <w:lang w:val="fr-FR"/>
        </w:rPr>
        <w:t>ã contribuie la obiectivul de co</w:t>
      </w:r>
      <w:r>
        <w:rPr>
          <w:lang w:val="fr-FR"/>
        </w:rPr>
        <w:t>eziune social</w:t>
      </w:r>
      <w:r w:rsidR="009A0CB1">
        <w:rPr>
          <w:lang w:val="fr-FR"/>
        </w:rPr>
        <w:t>ă</w:t>
      </w:r>
      <w:r>
        <w:rPr>
          <w:lang w:val="fr-FR"/>
        </w:rPr>
        <w:t xml:space="preserve"> şi susţine iniţiativele majore :” O platformă europeană pentru combaterea sărăciei”, “Tineretul în mişcare” şi “O agendă pentru noi competenţe şi noi locuri de muncă”.</w:t>
      </w:r>
    </w:p>
    <w:p w:rsidR="00DB39AE" w:rsidRDefault="00E81F0F" w:rsidP="00DB39AE">
      <w:pPr>
        <w:pStyle w:val="Heading2"/>
        <w:rPr>
          <w:lang w:val="fr-FR"/>
        </w:rPr>
      </w:pPr>
      <w:bookmarkStart w:id="169" w:name="_Toc394837888"/>
      <w:r>
        <w:rPr>
          <w:b w:val="0"/>
          <w:lang w:val="fr-FR"/>
        </w:rPr>
        <w:lastRenderedPageBreak/>
        <w:t>Prioritatea 5 (TO11):</w:t>
      </w:r>
      <w:r>
        <w:rPr>
          <w:lang w:val="fr-FR"/>
        </w:rPr>
        <w:t xml:space="preserve"> O puternicã capacitate instituţionalã este necesarã pentru a face faţã provocãri</w:t>
      </w:r>
      <w:r w:rsidR="009A0CB1">
        <w:rPr>
          <w:lang w:val="fr-FR"/>
        </w:rPr>
        <w:t>lor care iau naştere din tendinţ</w:t>
      </w:r>
      <w:r>
        <w:rPr>
          <w:lang w:val="fr-FR"/>
        </w:rPr>
        <w:t>ele de fond actuale legate de schimbãrile de climat, g</w:t>
      </w:r>
      <w:r w:rsidR="009A0CB1">
        <w:rPr>
          <w:lang w:val="fr-FR"/>
        </w:rPr>
        <w:t>lobalizare, dinamica demografică</w:t>
      </w:r>
      <w:r>
        <w:rPr>
          <w:lang w:val="fr-FR"/>
        </w:rPr>
        <w:t xml:space="preserve"> şi lipsa fondurilor publice. Aceastã prioritate a programului va promova dezvoltarea unei cooperãri strategice pentru a compensa lipsa unei mase critice care caracterizează multe activităţi publice şi private în zona Programului.</w:t>
      </w:r>
      <w:bookmarkStart w:id="170" w:name="_Toc394063567"/>
      <w:r w:rsidR="00DB39AE">
        <w:rPr>
          <w:lang w:val="fr-FR"/>
        </w:rPr>
        <w:t xml:space="preserve">4.1. </w:t>
      </w:r>
      <w:bookmarkEnd w:id="170"/>
      <w:r w:rsidR="00CC2AE2" w:rsidRPr="00CC2AE2">
        <w:rPr>
          <w:lang w:val="fr-FR"/>
        </w:rPr>
        <w:t>Dezvoltare locală plasată sub responsabilitatea comunității (după caz)</w:t>
      </w:r>
      <w:bookmarkEnd w:id="169"/>
    </w:p>
    <w:p w:rsidR="00DB39AE" w:rsidRDefault="00CC2AE2" w:rsidP="00DB39AE">
      <w:pPr>
        <w:rPr>
          <w:lang w:val="fr-FR"/>
        </w:rPr>
      </w:pPr>
      <w:r w:rsidRPr="00CC2AE2">
        <w:rPr>
          <w:lang w:val="fr-FR"/>
        </w:rPr>
        <w:t xml:space="preserve">Abordarea utilizării instrumentelor de dezvoltare locală plasată sub responsabilitatea comunității și principiile </w:t>
      </w:r>
      <w:proofErr w:type="gramStart"/>
      <w:r w:rsidRPr="00CC2AE2">
        <w:rPr>
          <w:lang w:val="fr-FR"/>
        </w:rPr>
        <w:t>de identificare</w:t>
      </w:r>
      <w:proofErr w:type="gramEnd"/>
      <w:r w:rsidRPr="00CC2AE2">
        <w:rPr>
          <w:lang w:val="fr-FR"/>
        </w:rPr>
        <w:t xml:space="preserve"> a zonelor unde acestea vor fi implementate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0"/>
      </w:tblGrid>
      <w:tr w:rsidR="00DB39AE" w:rsidTr="00DB39AE">
        <w:trPr>
          <w:trHeight w:val="842"/>
          <w:jc w:val="center"/>
        </w:trPr>
        <w:tc>
          <w:tcPr>
            <w:tcW w:w="8300" w:type="dxa"/>
            <w:tcBorders>
              <w:top w:val="single" w:sz="4" w:space="0" w:color="auto"/>
              <w:left w:val="single" w:sz="4" w:space="0" w:color="auto"/>
              <w:bottom w:val="single" w:sz="4" w:space="0" w:color="auto"/>
              <w:right w:val="single" w:sz="4" w:space="0" w:color="auto"/>
            </w:tcBorders>
            <w:hideMark/>
          </w:tcPr>
          <w:p w:rsidR="00DB39AE" w:rsidRDefault="00DB39AE" w:rsidP="00DB39AE">
            <w:pPr>
              <w:spacing w:after="240" w:line="276" w:lineRule="auto"/>
              <w:rPr>
                <w:rFonts w:eastAsia="Times New Roman"/>
                <w:i/>
              </w:rPr>
            </w:pPr>
            <w:r>
              <w:rPr>
                <w:i/>
                <w:szCs w:val="18"/>
              </w:rPr>
              <w:t>Nu se aplicã</w:t>
            </w:r>
          </w:p>
        </w:tc>
      </w:tr>
    </w:tbl>
    <w:p w:rsidR="00DB39AE" w:rsidRPr="00396473" w:rsidRDefault="00DB39AE" w:rsidP="00DB39AE">
      <w:pPr>
        <w:pStyle w:val="Heading2"/>
        <w:rPr>
          <w:lang w:val="fr-FR"/>
        </w:rPr>
      </w:pPr>
      <w:bookmarkStart w:id="171" w:name="_Toc394063568"/>
      <w:bookmarkStart w:id="172" w:name="_Toc394837889"/>
      <w:r w:rsidRPr="00396473">
        <w:rPr>
          <w:lang w:val="fr-FR"/>
        </w:rPr>
        <w:t xml:space="preserve">4.2. </w:t>
      </w:r>
      <w:r w:rsidR="00CC2AE2" w:rsidRPr="00396473">
        <w:rPr>
          <w:lang w:val="fr-FR"/>
        </w:rPr>
        <w:t>Acțiuni integrate pentru dezvoltare urbană durabilă (după caz)</w:t>
      </w:r>
      <w:bookmarkEnd w:id="171"/>
      <w:bookmarkEnd w:id="172"/>
    </w:p>
    <w:p w:rsidR="00DB39AE" w:rsidRPr="00396473" w:rsidRDefault="00CC2AE2" w:rsidP="00DB39AE">
      <w:pPr>
        <w:rPr>
          <w:lang w:val="fr-FR"/>
        </w:rPr>
      </w:pPr>
      <w:r w:rsidRPr="00396473">
        <w:rPr>
          <w:lang w:val="fr-FR"/>
        </w:rPr>
        <w:t xml:space="preserve">Principiile </w:t>
      </w:r>
      <w:proofErr w:type="gramStart"/>
      <w:r w:rsidRPr="00396473">
        <w:rPr>
          <w:lang w:val="fr-FR"/>
        </w:rPr>
        <w:t>de identificare</w:t>
      </w:r>
      <w:proofErr w:type="gramEnd"/>
      <w:r w:rsidRPr="00396473">
        <w:rPr>
          <w:lang w:val="fr-FR"/>
        </w:rPr>
        <w:t xml:space="preserve"> a zonelor urbane unde vor fi implementate acțiunile integrate de dezvoltare urbană durabilă și alocarea indicativă din sprijinul FEDR pentru aceste acțiuni.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6"/>
      </w:tblGrid>
      <w:tr w:rsidR="00DB39AE" w:rsidTr="00DB39AE">
        <w:trPr>
          <w:trHeight w:val="765"/>
          <w:jc w:val="center"/>
        </w:trPr>
        <w:tc>
          <w:tcPr>
            <w:tcW w:w="8726" w:type="dxa"/>
            <w:tcBorders>
              <w:top w:val="single" w:sz="4" w:space="0" w:color="auto"/>
              <w:left w:val="single" w:sz="4" w:space="0" w:color="auto"/>
              <w:bottom w:val="single" w:sz="4" w:space="0" w:color="auto"/>
              <w:right w:val="single" w:sz="4" w:space="0" w:color="auto"/>
            </w:tcBorders>
            <w:hideMark/>
          </w:tcPr>
          <w:p w:rsidR="00DB39AE" w:rsidRDefault="00DB39AE" w:rsidP="00DB39AE">
            <w:pPr>
              <w:spacing w:after="240" w:line="276" w:lineRule="auto"/>
              <w:rPr>
                <w:rFonts w:eastAsia="Times New Roman"/>
                <w:i/>
              </w:rPr>
            </w:pPr>
            <w:r>
              <w:rPr>
                <w:i/>
                <w:szCs w:val="18"/>
              </w:rPr>
              <w:t>Nu se aplicã</w:t>
            </w:r>
          </w:p>
        </w:tc>
      </w:tr>
    </w:tbl>
    <w:p w:rsidR="00DB39AE" w:rsidRPr="006C6828" w:rsidRDefault="00DB39AE" w:rsidP="00DB39AE">
      <w:pPr>
        <w:pStyle w:val="Heading2"/>
        <w:rPr>
          <w:lang w:val="it-IT"/>
        </w:rPr>
      </w:pPr>
      <w:bookmarkStart w:id="173" w:name="_Toc394063569"/>
      <w:bookmarkStart w:id="174" w:name="_Toc394837890"/>
      <w:r w:rsidRPr="006C6828">
        <w:rPr>
          <w:lang w:val="it-IT"/>
        </w:rPr>
        <w:t>Tabel</w:t>
      </w:r>
      <w:r w:rsidR="00CC2AE2" w:rsidRPr="006C6828">
        <w:rPr>
          <w:lang w:val="it-IT"/>
        </w:rPr>
        <w:t>ul</w:t>
      </w:r>
      <w:r w:rsidRPr="006C6828">
        <w:rPr>
          <w:lang w:val="it-IT"/>
        </w:rPr>
        <w:t xml:space="preserve"> 19: </w:t>
      </w:r>
      <w:bookmarkEnd w:id="173"/>
      <w:r w:rsidR="00CC2AE2" w:rsidRPr="006C6828">
        <w:rPr>
          <w:lang w:val="it-IT"/>
        </w:rPr>
        <w:t>Acțiuni integrate pentru dezvoltarea urbană durabilă – volume indicative ale sprijinului FEDR</w:t>
      </w:r>
      <w:bookmarkEnd w:id="174"/>
    </w:p>
    <w:tbl>
      <w:tblPr>
        <w:tblW w:w="38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3879"/>
      </w:tblGrid>
      <w:tr w:rsidR="00DB39AE" w:rsidRPr="00A158A9" w:rsidTr="00DB39AE">
        <w:trPr>
          <w:jc w:val="center"/>
        </w:trPr>
        <w:tc>
          <w:tcPr>
            <w:tcW w:w="2005" w:type="pct"/>
            <w:tcBorders>
              <w:top w:val="single" w:sz="4" w:space="0" w:color="auto"/>
              <w:left w:val="single" w:sz="4" w:space="0" w:color="auto"/>
              <w:bottom w:val="single" w:sz="4" w:space="0" w:color="auto"/>
              <w:right w:val="single" w:sz="4" w:space="0" w:color="auto"/>
            </w:tcBorders>
            <w:shd w:val="clear" w:color="auto" w:fill="D9D9D9"/>
            <w:hideMark/>
          </w:tcPr>
          <w:p w:rsidR="00DB39AE" w:rsidRDefault="00CC2AE2" w:rsidP="00DB39AE">
            <w:pPr>
              <w:spacing w:before="0" w:after="0" w:line="276" w:lineRule="auto"/>
              <w:jc w:val="left"/>
              <w:rPr>
                <w:rFonts w:eastAsia="Times New Roman"/>
                <w:b/>
                <w:sz w:val="20"/>
              </w:rPr>
            </w:pPr>
            <w:r w:rsidRPr="006C6828">
              <w:rPr>
                <w:b/>
                <w:sz w:val="20"/>
                <w:lang w:val="it-IT"/>
              </w:rPr>
              <w:t xml:space="preserve"> </w:t>
            </w:r>
            <w:r>
              <w:rPr>
                <w:b/>
                <w:sz w:val="20"/>
              </w:rPr>
              <w:t>Fond</w:t>
            </w:r>
          </w:p>
        </w:tc>
        <w:tc>
          <w:tcPr>
            <w:tcW w:w="2995" w:type="pct"/>
            <w:tcBorders>
              <w:top w:val="single" w:sz="4" w:space="0" w:color="auto"/>
              <w:left w:val="single" w:sz="4" w:space="0" w:color="auto"/>
              <w:bottom w:val="single" w:sz="4" w:space="0" w:color="auto"/>
              <w:right w:val="single" w:sz="4" w:space="0" w:color="auto"/>
            </w:tcBorders>
            <w:shd w:val="clear" w:color="auto" w:fill="D9D9D9"/>
            <w:hideMark/>
          </w:tcPr>
          <w:p w:rsidR="00DB39AE" w:rsidRPr="00D53E41" w:rsidRDefault="00CC2AE2" w:rsidP="00DB39AE">
            <w:pPr>
              <w:spacing w:before="0" w:after="0" w:line="276" w:lineRule="auto"/>
              <w:jc w:val="left"/>
              <w:rPr>
                <w:rFonts w:eastAsia="Times New Roman"/>
                <w:b/>
                <w:sz w:val="20"/>
                <w:lang w:val="fr-FR"/>
              </w:rPr>
            </w:pPr>
            <w:r w:rsidRPr="00CC2AE2">
              <w:rPr>
                <w:rFonts w:eastAsia="Times New Roman"/>
                <w:b/>
                <w:sz w:val="20"/>
                <w:lang w:val="fr-FR"/>
              </w:rPr>
              <w:t>Valoarea indicativă a sprijinului FEDR (EUR)</w:t>
            </w:r>
          </w:p>
        </w:tc>
      </w:tr>
      <w:tr w:rsidR="00DB39AE" w:rsidTr="00DB39AE">
        <w:trPr>
          <w:jc w:val="center"/>
        </w:trPr>
        <w:tc>
          <w:tcPr>
            <w:tcW w:w="2005" w:type="pct"/>
            <w:tcBorders>
              <w:top w:val="single" w:sz="4" w:space="0" w:color="auto"/>
              <w:left w:val="single" w:sz="4" w:space="0" w:color="auto"/>
              <w:bottom w:val="single" w:sz="4" w:space="0" w:color="auto"/>
              <w:right w:val="single" w:sz="4" w:space="0" w:color="auto"/>
            </w:tcBorders>
          </w:tcPr>
          <w:p w:rsidR="00DB39AE" w:rsidRPr="00D53E41" w:rsidRDefault="00DB39AE" w:rsidP="00DB39AE">
            <w:pPr>
              <w:spacing w:before="0" w:after="0" w:line="276" w:lineRule="auto"/>
              <w:rPr>
                <w:rFonts w:eastAsia="Times New Roman"/>
                <w:sz w:val="20"/>
                <w:lang w:val="fr-FR"/>
              </w:rPr>
            </w:pPr>
          </w:p>
        </w:tc>
        <w:tc>
          <w:tcPr>
            <w:tcW w:w="2995" w:type="pct"/>
            <w:tcBorders>
              <w:top w:val="single" w:sz="4" w:space="0" w:color="auto"/>
              <w:left w:val="single" w:sz="4" w:space="0" w:color="auto"/>
              <w:bottom w:val="single" w:sz="4" w:space="0" w:color="auto"/>
              <w:right w:val="single" w:sz="4" w:space="0" w:color="auto"/>
            </w:tcBorders>
            <w:hideMark/>
          </w:tcPr>
          <w:p w:rsidR="00DB39AE" w:rsidRDefault="00DB39AE" w:rsidP="00DB39AE">
            <w:pPr>
              <w:spacing w:before="0" w:after="0" w:line="276" w:lineRule="auto"/>
              <w:rPr>
                <w:rFonts w:eastAsia="Times New Roman"/>
                <w:sz w:val="20"/>
              </w:rPr>
            </w:pPr>
            <w:r>
              <w:rPr>
                <w:i/>
                <w:szCs w:val="18"/>
              </w:rPr>
              <w:t>Nu se aplicã</w:t>
            </w:r>
          </w:p>
        </w:tc>
      </w:tr>
      <w:tr w:rsidR="00DB39AE" w:rsidTr="00DB39AE">
        <w:trPr>
          <w:jc w:val="center"/>
        </w:trPr>
        <w:tc>
          <w:tcPr>
            <w:tcW w:w="2005" w:type="pct"/>
            <w:tcBorders>
              <w:top w:val="single" w:sz="4" w:space="0" w:color="auto"/>
              <w:left w:val="single" w:sz="4" w:space="0" w:color="auto"/>
              <w:bottom w:val="single" w:sz="4" w:space="0" w:color="auto"/>
              <w:right w:val="single" w:sz="4" w:space="0" w:color="auto"/>
            </w:tcBorders>
            <w:hideMark/>
          </w:tcPr>
          <w:p w:rsidR="00DB39AE" w:rsidRDefault="00DB39AE" w:rsidP="00DB39AE">
            <w:pPr>
              <w:spacing w:before="0" w:after="0" w:line="276" w:lineRule="auto"/>
              <w:rPr>
                <w:rFonts w:eastAsia="Times New Roman"/>
                <w:sz w:val="20"/>
              </w:rPr>
            </w:pPr>
            <w:r>
              <w:rPr>
                <w:sz w:val="20"/>
              </w:rPr>
              <w:t>FERD</w:t>
            </w:r>
          </w:p>
        </w:tc>
        <w:tc>
          <w:tcPr>
            <w:tcW w:w="2995" w:type="pct"/>
            <w:tcBorders>
              <w:top w:val="single" w:sz="4" w:space="0" w:color="auto"/>
              <w:left w:val="single" w:sz="4" w:space="0" w:color="auto"/>
              <w:bottom w:val="single" w:sz="4" w:space="0" w:color="auto"/>
              <w:right w:val="single" w:sz="4" w:space="0" w:color="auto"/>
            </w:tcBorders>
          </w:tcPr>
          <w:p w:rsidR="00DB39AE" w:rsidRDefault="00DB39AE" w:rsidP="00DB39AE">
            <w:pPr>
              <w:spacing w:before="0" w:after="0" w:line="276" w:lineRule="auto"/>
              <w:rPr>
                <w:rFonts w:eastAsia="Times New Roman"/>
                <w:bCs/>
                <w:i/>
                <w:sz w:val="20"/>
              </w:rPr>
            </w:pPr>
          </w:p>
        </w:tc>
      </w:tr>
    </w:tbl>
    <w:p w:rsidR="00DB39AE" w:rsidRPr="006C6828" w:rsidRDefault="00DB39AE" w:rsidP="00DB39AE">
      <w:pPr>
        <w:pStyle w:val="Heading2"/>
        <w:rPr>
          <w:lang w:val="it-IT"/>
        </w:rPr>
      </w:pPr>
      <w:bookmarkStart w:id="175" w:name="_Toc394063570"/>
      <w:bookmarkStart w:id="176" w:name="_Toc394837891"/>
      <w:r w:rsidRPr="006C6828">
        <w:rPr>
          <w:lang w:val="it-IT"/>
        </w:rPr>
        <w:t xml:space="preserve">4.3. </w:t>
      </w:r>
      <w:bookmarkEnd w:id="175"/>
      <w:r w:rsidR="006B0987" w:rsidRPr="006C6828">
        <w:rPr>
          <w:lang w:val="it-IT"/>
        </w:rPr>
        <w:t>Investiția teritorială integrată (ITI) (după caz)</w:t>
      </w:r>
      <w:bookmarkEnd w:id="176"/>
    </w:p>
    <w:p w:rsidR="00DB39AE" w:rsidRPr="006C6828" w:rsidRDefault="006B0987" w:rsidP="00DB39AE">
      <w:pPr>
        <w:rPr>
          <w:lang w:val="it-IT"/>
        </w:rPr>
      </w:pPr>
      <w:r w:rsidRPr="006C6828">
        <w:rPr>
          <w:lang w:val="it-IT"/>
        </w:rPr>
        <w:t xml:space="preserve">Abordarea utilizării Investițiilor Teritoriale Integrate (ITI) (astfel cum este definită la articolul 36 din Regulamentul (UE) nr. 1303/2013), cu excepția cazurilor acoperite de punctul 4.2, precum și alocarea financiară indicativă respectivă din cadrul fiecărei axe prioritare. </w:t>
      </w:r>
    </w:p>
    <w:tbl>
      <w:tblPr>
        <w:tblW w:w="45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7"/>
      </w:tblGrid>
      <w:tr w:rsidR="00DB39AE" w:rsidTr="00DB39AE">
        <w:trPr>
          <w:trHeight w:val="516"/>
          <w:jc w:val="center"/>
        </w:trPr>
        <w:tc>
          <w:tcPr>
            <w:tcW w:w="7777" w:type="dxa"/>
            <w:tcBorders>
              <w:top w:val="single" w:sz="4" w:space="0" w:color="auto"/>
              <w:left w:val="single" w:sz="4" w:space="0" w:color="auto"/>
              <w:bottom w:val="single" w:sz="4" w:space="0" w:color="auto"/>
              <w:right w:val="single" w:sz="4" w:space="0" w:color="auto"/>
            </w:tcBorders>
            <w:hideMark/>
          </w:tcPr>
          <w:p w:rsidR="00DB39AE" w:rsidRDefault="00DB39AE" w:rsidP="00DB39AE">
            <w:pPr>
              <w:spacing w:after="240" w:line="276" w:lineRule="auto"/>
              <w:rPr>
                <w:rFonts w:eastAsia="Times New Roman"/>
              </w:rPr>
            </w:pPr>
            <w:r>
              <w:rPr>
                <w:i/>
                <w:szCs w:val="18"/>
              </w:rPr>
              <w:t>Nu se aplicã</w:t>
            </w:r>
          </w:p>
        </w:tc>
      </w:tr>
    </w:tbl>
    <w:p w:rsidR="00DB39AE" w:rsidRPr="006C6828" w:rsidRDefault="00DB39AE" w:rsidP="00DB39AE">
      <w:pPr>
        <w:pStyle w:val="Heading2"/>
        <w:rPr>
          <w:lang w:val="it-IT"/>
        </w:rPr>
      </w:pPr>
      <w:bookmarkStart w:id="177" w:name="_Toc394063571"/>
      <w:bookmarkStart w:id="178" w:name="_Toc394837892"/>
      <w:r w:rsidRPr="006C6828">
        <w:rPr>
          <w:lang w:val="it-IT"/>
        </w:rPr>
        <w:t>Tabel</w:t>
      </w:r>
      <w:r w:rsidR="00CC2AE2" w:rsidRPr="006C6828">
        <w:rPr>
          <w:lang w:val="it-IT"/>
        </w:rPr>
        <w:t>ul</w:t>
      </w:r>
      <w:r w:rsidRPr="006C6828">
        <w:rPr>
          <w:lang w:val="it-IT"/>
        </w:rPr>
        <w:t xml:space="preserve"> 20: </w:t>
      </w:r>
      <w:bookmarkEnd w:id="177"/>
      <w:r w:rsidR="006B0987" w:rsidRPr="006C6828">
        <w:rPr>
          <w:lang w:val="it-IT"/>
        </w:rPr>
        <w:t>Alocare financiară indicativă pentru ITI, cu excepția celor menționate la punctul 4.2 (valoarea totală)</w:t>
      </w:r>
      <w:bookmarkEnd w:id="178"/>
    </w:p>
    <w:tbl>
      <w:tblPr>
        <w:tblW w:w="43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5301"/>
      </w:tblGrid>
      <w:tr w:rsidR="00DB39AE" w:rsidRPr="00A158A9" w:rsidTr="00DB39AE">
        <w:trPr>
          <w:jc w:val="center"/>
        </w:trPr>
        <w:tc>
          <w:tcPr>
            <w:tcW w:w="211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B39AE" w:rsidRDefault="00DB39AE" w:rsidP="00DB39AE">
            <w:pPr>
              <w:tabs>
                <w:tab w:val="left" w:pos="3237"/>
              </w:tabs>
              <w:suppressAutoHyphens/>
              <w:spacing w:before="0" w:after="0" w:line="276" w:lineRule="auto"/>
              <w:jc w:val="left"/>
              <w:rPr>
                <w:rFonts w:eastAsia="Times New Roman"/>
                <w:b/>
                <w:lang w:eastAsia="ar-SA"/>
              </w:rPr>
            </w:pPr>
            <w:r>
              <w:rPr>
                <w:b/>
                <w:lang w:eastAsia="ar-SA"/>
              </w:rPr>
              <w:t>Axa prioritarã</w:t>
            </w:r>
          </w:p>
        </w:tc>
        <w:tc>
          <w:tcPr>
            <w:tcW w:w="53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B39AE" w:rsidRPr="006C6828" w:rsidRDefault="006B0987" w:rsidP="00DB39AE">
            <w:pPr>
              <w:tabs>
                <w:tab w:val="left" w:pos="3237"/>
              </w:tabs>
              <w:suppressAutoHyphens/>
              <w:spacing w:before="0" w:after="0" w:line="276" w:lineRule="auto"/>
              <w:jc w:val="left"/>
              <w:rPr>
                <w:rFonts w:eastAsia="Times New Roman"/>
                <w:b/>
                <w:lang w:val="it-IT" w:eastAsia="ar-SA"/>
              </w:rPr>
            </w:pPr>
            <w:r w:rsidRPr="006C6828">
              <w:rPr>
                <w:rFonts w:eastAsia="Times New Roman"/>
                <w:b/>
                <w:lang w:val="it-IT" w:eastAsia="ar-SA"/>
              </w:rPr>
              <w:t>Alocarea financiară indicativă (sprijinul din partea Uniunii) (EUR)</w:t>
            </w:r>
          </w:p>
        </w:tc>
      </w:tr>
      <w:tr w:rsidR="00DB39AE" w:rsidTr="00DB39AE">
        <w:trPr>
          <w:jc w:val="center"/>
        </w:trPr>
        <w:tc>
          <w:tcPr>
            <w:tcW w:w="2113" w:type="dxa"/>
            <w:tcBorders>
              <w:top w:val="single" w:sz="4" w:space="0" w:color="auto"/>
              <w:left w:val="single" w:sz="4" w:space="0" w:color="auto"/>
              <w:bottom w:val="single" w:sz="4" w:space="0" w:color="auto"/>
              <w:right w:val="single" w:sz="4" w:space="0" w:color="auto"/>
            </w:tcBorders>
            <w:vAlign w:val="center"/>
          </w:tcPr>
          <w:p w:rsidR="00DB39AE" w:rsidRPr="006C6828" w:rsidRDefault="00DB39AE" w:rsidP="00DB39AE">
            <w:pPr>
              <w:tabs>
                <w:tab w:val="left" w:pos="3237"/>
              </w:tabs>
              <w:suppressAutoHyphens/>
              <w:spacing w:before="0" w:after="0" w:line="276" w:lineRule="auto"/>
              <w:rPr>
                <w:rFonts w:eastAsia="Times New Roman"/>
                <w:lang w:val="it-IT" w:eastAsia="ar-SA"/>
              </w:rPr>
            </w:pPr>
          </w:p>
        </w:tc>
        <w:tc>
          <w:tcPr>
            <w:tcW w:w="5301" w:type="dxa"/>
            <w:tcBorders>
              <w:top w:val="single" w:sz="4" w:space="0" w:color="auto"/>
              <w:left w:val="single" w:sz="4" w:space="0" w:color="auto"/>
              <w:bottom w:val="single" w:sz="4" w:space="0" w:color="auto"/>
              <w:right w:val="single" w:sz="4" w:space="0" w:color="auto"/>
            </w:tcBorders>
            <w:vAlign w:val="center"/>
            <w:hideMark/>
          </w:tcPr>
          <w:p w:rsidR="00DB39AE" w:rsidRDefault="00DB39AE" w:rsidP="00DB39AE">
            <w:pPr>
              <w:tabs>
                <w:tab w:val="left" w:pos="3237"/>
              </w:tabs>
              <w:suppressAutoHyphens/>
              <w:spacing w:before="0" w:after="0" w:line="276" w:lineRule="auto"/>
              <w:rPr>
                <w:rFonts w:eastAsia="Times New Roman"/>
                <w:i/>
                <w:lang w:eastAsia="ar-SA"/>
              </w:rPr>
            </w:pPr>
            <w:r>
              <w:rPr>
                <w:i/>
                <w:szCs w:val="18"/>
              </w:rPr>
              <w:t>Nu se aplicã</w:t>
            </w:r>
          </w:p>
        </w:tc>
      </w:tr>
      <w:tr w:rsidR="00DB39AE" w:rsidTr="00DB39AE">
        <w:trPr>
          <w:trHeight w:val="78"/>
          <w:jc w:val="center"/>
        </w:trPr>
        <w:tc>
          <w:tcPr>
            <w:tcW w:w="2113" w:type="dxa"/>
            <w:tcBorders>
              <w:top w:val="single" w:sz="4" w:space="0" w:color="auto"/>
              <w:left w:val="single" w:sz="4" w:space="0" w:color="auto"/>
              <w:bottom w:val="single" w:sz="4" w:space="0" w:color="auto"/>
              <w:right w:val="single" w:sz="4" w:space="0" w:color="auto"/>
            </w:tcBorders>
            <w:vAlign w:val="center"/>
            <w:hideMark/>
          </w:tcPr>
          <w:p w:rsidR="00DB39AE" w:rsidRDefault="00DB39AE" w:rsidP="00DB39AE">
            <w:pPr>
              <w:tabs>
                <w:tab w:val="left" w:pos="3237"/>
              </w:tabs>
              <w:suppressAutoHyphens/>
              <w:spacing w:before="0" w:after="0" w:line="276" w:lineRule="auto"/>
              <w:rPr>
                <w:rFonts w:eastAsia="Times New Roman"/>
                <w:lang w:eastAsia="ar-SA"/>
              </w:rPr>
            </w:pPr>
            <w:r>
              <w:rPr>
                <w:lang w:eastAsia="ar-SA"/>
              </w:rPr>
              <w:t>TOTAL</w:t>
            </w:r>
          </w:p>
        </w:tc>
        <w:tc>
          <w:tcPr>
            <w:tcW w:w="5301" w:type="dxa"/>
            <w:tcBorders>
              <w:top w:val="single" w:sz="4" w:space="0" w:color="auto"/>
              <w:left w:val="single" w:sz="4" w:space="0" w:color="auto"/>
              <w:bottom w:val="single" w:sz="4" w:space="0" w:color="auto"/>
              <w:right w:val="single" w:sz="4" w:space="0" w:color="auto"/>
            </w:tcBorders>
            <w:vAlign w:val="center"/>
          </w:tcPr>
          <w:p w:rsidR="00DB39AE" w:rsidRDefault="00DB39AE" w:rsidP="00DB39AE">
            <w:pPr>
              <w:tabs>
                <w:tab w:val="left" w:pos="3237"/>
              </w:tabs>
              <w:suppressAutoHyphens/>
              <w:spacing w:before="0" w:after="0" w:line="276" w:lineRule="auto"/>
              <w:rPr>
                <w:rFonts w:eastAsia="Times New Roman"/>
                <w:lang w:eastAsia="ar-SA"/>
              </w:rPr>
            </w:pPr>
          </w:p>
        </w:tc>
      </w:tr>
    </w:tbl>
    <w:p w:rsidR="00DB39AE" w:rsidRDefault="00DB39AE" w:rsidP="00DB39AE">
      <w:pPr>
        <w:rPr>
          <w:rFonts w:eastAsia="Times New Roman"/>
          <w:szCs w:val="24"/>
          <w:lang w:eastAsia="en-US"/>
        </w:rPr>
      </w:pPr>
    </w:p>
    <w:p w:rsidR="00DB39AE" w:rsidRDefault="00DB39AE" w:rsidP="00DB39AE">
      <w:pPr>
        <w:pStyle w:val="Heading2"/>
        <w:sectPr w:rsidR="00DB39AE" w:rsidSect="00DB39AE">
          <w:pgSz w:w="11900" w:h="16840"/>
          <w:pgMar w:top="1440" w:right="1800" w:bottom="1440" w:left="1800" w:header="340" w:footer="340" w:gutter="0"/>
          <w:cols w:space="720"/>
          <w:docGrid w:linePitch="326"/>
        </w:sectPr>
      </w:pPr>
    </w:p>
    <w:p w:rsidR="006B0987" w:rsidRPr="006B0987" w:rsidRDefault="00DB39AE" w:rsidP="00DB39AE">
      <w:pPr>
        <w:pStyle w:val="Heading2"/>
        <w:rPr>
          <w:lang w:val="fr-FR"/>
        </w:rPr>
      </w:pPr>
      <w:bookmarkStart w:id="179" w:name="_Toc394837893"/>
      <w:r w:rsidRPr="006B0987">
        <w:rPr>
          <w:lang w:val="fr-FR"/>
        </w:rPr>
        <w:lastRenderedPageBreak/>
        <w:t xml:space="preserve">4.4. </w:t>
      </w:r>
      <w:r w:rsidR="006B0987" w:rsidRPr="006B0987">
        <w:rPr>
          <w:lang w:val="fr-FR"/>
        </w:rPr>
        <w:t>Contribuția intervențiilor planificate în cadrul programului la strategii macroregionale și la strategiile aferente bazinelor maritime, în funcție de nevoile zonei vizate de program definite de statul membru (după caz)</w:t>
      </w:r>
      <w:bookmarkEnd w:id="179"/>
    </w:p>
    <w:p w:rsidR="00E33DB7" w:rsidRDefault="00E33DB7" w:rsidP="00E33DB7">
      <w:pPr>
        <w:rPr>
          <w:lang w:val="fr-FR"/>
        </w:rPr>
      </w:pPr>
      <w:r>
        <w:rPr>
          <w:lang w:val="fr-FR"/>
        </w:rPr>
        <w:t xml:space="preserve">România şi Bulgaria coordoneazã împreunã axa prioritarã 3 “Promovarea culturii, turismului şi relaţiilor </w:t>
      </w:r>
      <w:r>
        <w:rPr>
          <w:i/>
          <w:lang w:val="fr-FR"/>
        </w:rPr>
        <w:t>people to people</w:t>
      </w:r>
      <w:r>
        <w:rPr>
          <w:lang w:val="fr-FR"/>
        </w:rPr>
        <w:t>” şi sunt implicate în calitate de coordonatori, dar în mod separat, în alte domenii prioritare: Domeniul prioritar (1A) “Îmbunãtãţirea mobilitãţii şi intermodalitãţii – cãile navigabile interioare” şi domeniul prioritar (5): “Gestionarea riscurilor de mediu”, pentru România şi domeniul prioritar (11): “Cooperarea în domeniul securitãţii şi combaterii crimei organizate”, pentru Bulgaria.</w:t>
      </w:r>
    </w:p>
    <w:p w:rsidR="00E33DB7" w:rsidRDefault="00E33DB7" w:rsidP="00E33DB7">
      <w:pPr>
        <w:rPr>
          <w:lang w:val="fr-FR"/>
        </w:rPr>
      </w:pPr>
      <w:r>
        <w:rPr>
          <w:lang w:val="fr-FR"/>
        </w:rPr>
        <w:t>Obiectivele tematice alese sunt deopotrivã în conformitate cu recomandãrile din partea Comisiei Europene, cu acordurile de parteneriat şi cu recomandãrile Regulamentului privind Dispoziţiile Comune, Anexa 1, Articolul 7, care stipuleazã cã programele cofina</w:t>
      </w:r>
      <w:r w:rsidR="009A0CB1">
        <w:rPr>
          <w:lang w:val="fr-FR"/>
        </w:rPr>
        <w:t>nţate de fondurile structurale şi de investiţ</w:t>
      </w:r>
      <w:r>
        <w:rPr>
          <w:lang w:val="fr-FR"/>
        </w:rPr>
        <w:t>ii europene (ESI) trebuie sã promoveze, acolo unde este necesar, operaţiuni care rezultã din strategiile macro-regionale, pentru a sprijini şi dezvolta implementarea obiectivelor lor.</w:t>
      </w:r>
    </w:p>
    <w:p w:rsidR="00E33DB7" w:rsidRDefault="00E33DB7" w:rsidP="00E33DB7">
      <w:pPr>
        <w:rPr>
          <w:lang w:val="fr-FR"/>
        </w:rPr>
      </w:pPr>
      <w:r>
        <w:rPr>
          <w:lang w:val="fr-FR"/>
        </w:rPr>
        <w:t>În articolul 7, accentul se pune pe urmãtoarele acţiuni indicative: “crearea coridoarelor europene de transport, incluzând suprijinirea modernizãrii vãmilor, prevenirea, pregãtirea şi rãspunsul la dezastrele naturale, gestiunea apelor pe baza managementului bazinal, infrastructura verde, cooperarea</w:t>
      </w:r>
      <w:r w:rsidR="009A0CB1">
        <w:rPr>
          <w:lang w:val="fr-FR"/>
        </w:rPr>
        <w:t xml:space="preserve"> maritimã integratã peste graniţ</w:t>
      </w:r>
      <w:r>
        <w:rPr>
          <w:lang w:val="fr-FR"/>
        </w:rPr>
        <w:t>e şi sectoare, reţele C&amp;I şi TIC şi gestiu</w:t>
      </w:r>
      <w:r w:rsidR="009A0CB1">
        <w:rPr>
          <w:lang w:val="fr-FR"/>
        </w:rPr>
        <w:t>nea resurselor maritime comune î</w:t>
      </w:r>
      <w:r>
        <w:rPr>
          <w:lang w:val="fr-FR"/>
        </w:rPr>
        <w:t>n  bazinului maritim precum şi protejarea biodiversitãţii maritime”. Legãturi puternice au fost create între prioritãţile programului zonei transfrontaliere RO-BG 2014-2020 şi cele ale strategiei UE pentru regiunea Dunãrii. Frontiera comunã – fluviul</w:t>
      </w:r>
      <w:r w:rsidR="009A0CB1">
        <w:rPr>
          <w:lang w:val="fr-FR"/>
        </w:rPr>
        <w:t xml:space="preserve"> Dunãrea – este consideratã ea însăş</w:t>
      </w:r>
      <w:r>
        <w:rPr>
          <w:lang w:val="fr-FR"/>
        </w:rPr>
        <w:t>i un proiect comun pentru coeziunea economicã şi socialã a regiunii, sporind competitivitatea şi cadrul pent</w:t>
      </w:r>
      <w:r w:rsidR="009A0CB1">
        <w:rPr>
          <w:lang w:val="fr-FR"/>
        </w:rPr>
        <w:t>ru creşterea economica şi apariţ</w:t>
      </w:r>
      <w:r>
        <w:rPr>
          <w:lang w:val="fr-FR"/>
        </w:rPr>
        <w:t xml:space="preserve">ia locurilor de muncã. Programul încearcã sã susţinã implementarea strategiei UE pentru regiunea Dunãrii contribuind la cei patru piloni </w:t>
      </w:r>
      <w:proofErr w:type="gramStart"/>
      <w:r>
        <w:rPr>
          <w:lang w:val="fr-FR"/>
        </w:rPr>
        <w:t>ai</w:t>
      </w:r>
      <w:proofErr w:type="gramEnd"/>
      <w:r>
        <w:rPr>
          <w:lang w:val="fr-FR"/>
        </w:rPr>
        <w:t xml:space="preserve"> sãi şi la 8 din cele 11 domenii prioritare. Axele prioritare 1 şi 2 ale programului contribuie la primul pilon al strategiei UE pentru regiunea Dunãrii, “</w:t>
      </w:r>
      <w:r>
        <w:rPr>
          <w:b/>
          <w:lang w:val="fr-FR"/>
        </w:rPr>
        <w:t>Interconectarea regiunii Dunării</w:t>
      </w:r>
      <w:r>
        <w:rPr>
          <w:lang w:val="fr-FR"/>
        </w:rPr>
        <w:t>”, şi sunt în legãturã cu domeniul prioritar (1) Îmbunătăţirea mobilităţii şi a multimodalităţii (ce include legăturile rutiere, feroviare şi aeriene, precum şi căile navigabile interioare) şi domeniul prioritar (3) Promovarea culturii şi a turismului, a contactelor directe între oameni. Axele prioritare 2 şi 3 ale programului contribuie la cel de-al doilea pilon al SUERD, “</w:t>
      </w:r>
      <w:r>
        <w:rPr>
          <w:b/>
          <w:lang w:val="fr-FR"/>
        </w:rPr>
        <w:t>Protejarea mediului în regiunea Dunării</w:t>
      </w:r>
      <w:r>
        <w:rPr>
          <w:lang w:val="fr-FR"/>
        </w:rPr>
        <w:t>”, şi sunt în legãturã cu domeniul prioritar (4) Restaurarea şi întreţinerea calităţii apelor, domeniul prioritar (5) Gestiunea riscurilor de mediu şi domeniul prioritar (6) Conservarea biodiversităţii, a peisajelor şi a calităţii aerului şi solurilor. Axa prioritarã 4 a programului contribuie la cel de-al treilea pilon al SUERD</w:t>
      </w:r>
      <w:proofErr w:type="gramStart"/>
      <w:r>
        <w:rPr>
          <w:lang w:val="fr-FR"/>
        </w:rPr>
        <w:t>,“</w:t>
      </w:r>
      <w:proofErr w:type="gramEnd"/>
      <w:r>
        <w:rPr>
          <w:b/>
          <w:lang w:val="fr-FR"/>
        </w:rPr>
        <w:t>Creşterea prosperităţii în regiunea Dunării</w:t>
      </w:r>
      <w:r>
        <w:rPr>
          <w:lang w:val="fr-FR"/>
        </w:rPr>
        <w:t>”, şi este în legãturã cu domeniul prioritar (8) Sprijinirea competitivităţii întreprinderilor, inclusiv dezvoltarea clusterelor (9) Investiţia în oameni şi capacităţi. Axa prioritarã 5 a programului contribuie la cel de-al patrulea pilon al strategiei, “</w:t>
      </w:r>
      <w:r>
        <w:rPr>
          <w:b/>
          <w:lang w:val="fr-FR"/>
        </w:rPr>
        <w:t>Consolidarea regiunii Dunarii”</w:t>
      </w:r>
      <w:r>
        <w:rPr>
          <w:lang w:val="fr-FR"/>
        </w:rPr>
        <w:t xml:space="preserve"> şi este în legãturã cu domeniul prioritar (10) Ameliorarea capacităţii instituţionale şi a cooperării, şi cu domeniul prioritar (11) Conlucrarea în vederea promovării securităţii şi pentru soluţionarea problemelor legate de criminalitatea organizată şi </w:t>
      </w:r>
      <w:proofErr w:type="gramStart"/>
      <w:r>
        <w:rPr>
          <w:lang w:val="fr-FR"/>
        </w:rPr>
        <w:t>de infracţiunile</w:t>
      </w:r>
      <w:proofErr w:type="gramEnd"/>
      <w:r>
        <w:rPr>
          <w:lang w:val="fr-FR"/>
        </w:rPr>
        <w:t xml:space="preserve"> grave. </w:t>
      </w:r>
    </w:p>
    <w:p w:rsidR="00E33DB7" w:rsidRDefault="00E33DB7" w:rsidP="00E33DB7">
      <w:pPr>
        <w:rPr>
          <w:lang w:val="fr-FR"/>
        </w:rPr>
      </w:pPr>
      <w:r>
        <w:rPr>
          <w:lang w:val="fr-FR"/>
        </w:rPr>
        <w:t xml:space="preserve">Astfel, axa prioritarã aleasã pentru urmãtoarea perioadã de programare acoperã toate domeniile prioritare ale SUERD, în care România şi Bulgaria sunt implicate în calitate de coordonatori. Comitetul de Monitorizare va decide care dintre opţiunile </w:t>
      </w:r>
      <w:r>
        <w:rPr>
          <w:lang w:val="fr-FR"/>
        </w:rPr>
        <w:lastRenderedPageBreak/>
        <w:t xml:space="preserve">oferite </w:t>
      </w:r>
      <w:proofErr w:type="gramStart"/>
      <w:r>
        <w:rPr>
          <w:lang w:val="fr-FR"/>
        </w:rPr>
        <w:t>de articolul</w:t>
      </w:r>
      <w:proofErr w:type="gramEnd"/>
      <w:r>
        <w:rPr>
          <w:lang w:val="fr-FR"/>
        </w:rPr>
        <w:t xml:space="preserve"> 7(16) din Anexa 1 RPC sunt cele mai potrivite în contextul programului. Cea de-a treia opţiune apare drept cea mai potrivitã pentru un program transfrontalier de cooperare.</w:t>
      </w:r>
    </w:p>
    <w:p w:rsidR="00E33DB7" w:rsidRDefault="00E33DB7" w:rsidP="00E33DB7">
      <w:pPr>
        <w:rPr>
          <w:lang w:val="fr-FR"/>
        </w:rPr>
      </w:pPr>
      <w:r>
        <w:rPr>
          <w:lang w:val="fr-FR"/>
        </w:rPr>
        <w:t>Program</w:t>
      </w:r>
      <w:r w:rsidR="009A0CB1">
        <w:rPr>
          <w:lang w:val="fr-FR"/>
        </w:rPr>
        <w:t>ul de cooperare transfrontalieră</w:t>
      </w:r>
      <w:r>
        <w:rPr>
          <w:lang w:val="fr-FR"/>
        </w:rPr>
        <w:t xml:space="preserve"> RO-BG 2014-2020 are legat</w:t>
      </w:r>
      <w:r w:rsidR="009A0CB1">
        <w:rPr>
          <w:lang w:val="fr-FR"/>
        </w:rPr>
        <w:t>ură</w:t>
      </w:r>
      <w:r>
        <w:rPr>
          <w:lang w:val="fr-FR"/>
        </w:rPr>
        <w:t xml:space="preserve"> de asemene</w:t>
      </w:r>
      <w:r w:rsidR="009A0CB1">
        <w:rPr>
          <w:lang w:val="fr-FR"/>
        </w:rPr>
        <w:t>a şi cu Strategia UE pentru Creşterea Albastră</w:t>
      </w:r>
      <w:r>
        <w:rPr>
          <w:lang w:val="fr-FR"/>
        </w:rPr>
        <w:t>, Convenţia pentru Protecţia Mãrii Negre îm</w:t>
      </w:r>
      <w:r w:rsidR="009A0CB1">
        <w:rPr>
          <w:lang w:val="fr-FR"/>
        </w:rPr>
        <w:t>potriva Poluãrii şi o potenţială strategie macro-regională, aflată</w:t>
      </w:r>
      <w:r>
        <w:rPr>
          <w:lang w:val="fr-FR"/>
        </w:rPr>
        <w:t xml:space="preserve"> încã în discuţii, Sinergia Mãrii Negre. Provocãrile care vizeazã regiunea Mãrii Negre </w:t>
      </w:r>
      <w:r w:rsidR="009A0CB1">
        <w:rPr>
          <w:lang w:val="fr-FR"/>
        </w:rPr>
        <w:t>şi care vor fi ţ</w:t>
      </w:r>
      <w:r>
        <w:rPr>
          <w:lang w:val="fr-FR"/>
        </w:rPr>
        <w:t>intite se referã la: mobilitate, multimodalitate şi transport sustenabil (PA 1), Protecţia mediului, utilizarea durabila şi atenuarea efectelor dezast</w:t>
      </w:r>
      <w:r w:rsidR="009A0CB1">
        <w:rPr>
          <w:lang w:val="fr-FR"/>
        </w:rPr>
        <w:t>relor naturale (PA 2&amp;3). Supra-îmbogăţ</w:t>
      </w:r>
      <w:r>
        <w:rPr>
          <w:lang w:val="fr-FR"/>
        </w:rPr>
        <w:t>irea ecosistemelor cu fertilizatori, poluarea solulu</w:t>
      </w:r>
      <w:r w:rsidR="009A0CB1">
        <w:rPr>
          <w:lang w:val="fr-FR"/>
        </w:rPr>
        <w:t xml:space="preserve">i şi a cursurilor </w:t>
      </w:r>
      <w:proofErr w:type="gramStart"/>
      <w:r w:rsidR="009A0CB1">
        <w:rPr>
          <w:lang w:val="fr-FR"/>
        </w:rPr>
        <w:t>de apă</w:t>
      </w:r>
      <w:proofErr w:type="gramEnd"/>
      <w:r>
        <w:rPr>
          <w:lang w:val="fr-FR"/>
        </w:rPr>
        <w:t>, pierderea biodiversitãţii şi degradarea litoralului au fost identificate ca find problemele cheie majore care afecteazã Marea Neagrã, Dezvoltarea socio-economicã (PA 4) şi Cooperarea Interinstituţionalã (PA 5).</w:t>
      </w:r>
    </w:p>
    <w:p w:rsidR="00E33DB7" w:rsidRDefault="00E33DB7" w:rsidP="00E33DB7">
      <w:pPr>
        <w:rPr>
          <w:lang w:val="fr-FR"/>
        </w:rPr>
      </w:pPr>
      <w:r>
        <w:rPr>
          <w:lang w:val="fr-FR"/>
        </w:rPr>
        <w:t>Programul va susţine</w:t>
      </w:r>
      <w:r w:rsidR="009A0CB1">
        <w:rPr>
          <w:lang w:val="fr-FR"/>
        </w:rPr>
        <w:t xml:space="preserve"> proiectele care se concentrează pe utilizarea mai durabilă</w:t>
      </w:r>
      <w:r>
        <w:rPr>
          <w:lang w:val="fr-FR"/>
        </w:rPr>
        <w:t xml:space="preserve"> a resurselor maritime şi pe “creşterea albastrã” prin intermediul, spre exemplu, turismului de litoral. În aceastã privinţã, programul va aduce o valoare adăugată specificã prin activarea de sinergii în regiunea Dunãrii de est / zona Marii Neagre. Programul nu prevede utilizarea unui criteriu </w:t>
      </w:r>
      <w:proofErr w:type="gramStart"/>
      <w:r>
        <w:rPr>
          <w:lang w:val="fr-FR"/>
        </w:rPr>
        <w:t>de evaluare</w:t>
      </w:r>
      <w:proofErr w:type="gramEnd"/>
      <w:r>
        <w:rPr>
          <w:lang w:val="fr-FR"/>
        </w:rPr>
        <w:t xml:space="preserve"> distinct pentru Sinergia Mãrii Ne</w:t>
      </w:r>
      <w:r w:rsidR="009A0CB1">
        <w:rPr>
          <w:lang w:val="fr-FR"/>
        </w:rPr>
        <w:t>gre, dar contribuţia poate fi cântărită</w:t>
      </w:r>
      <w:r>
        <w:rPr>
          <w:lang w:val="fr-FR"/>
        </w:rPr>
        <w:t xml:space="preserve"> în cadrul evaluãrii globale a contribuţiei proiectului la strategiile locale sau naţionale (Vezi secţiunea 6). Contribuţia programului la strategia UE pentru regiunea Dunãrii şi la Sinergia Mãrii Negre va fi </w:t>
      </w:r>
      <w:proofErr w:type="gramStart"/>
      <w:r>
        <w:rPr>
          <w:lang w:val="fr-FR"/>
        </w:rPr>
        <w:t>de asemenea</w:t>
      </w:r>
      <w:proofErr w:type="gramEnd"/>
      <w:r>
        <w:rPr>
          <w:lang w:val="fr-FR"/>
        </w:rPr>
        <w:t xml:space="preserve"> subliniatã în activitãţile de comunicare.</w:t>
      </w:r>
    </w:p>
    <w:p w:rsidR="00E33DB7" w:rsidRDefault="00E33DB7" w:rsidP="00E33DB7">
      <w:pPr>
        <w:rPr>
          <w:lang w:val="fr-FR"/>
        </w:rPr>
      </w:pPr>
      <w:r>
        <w:rPr>
          <w:lang w:val="fr-FR"/>
        </w:rPr>
        <w:t>Sediul SUERD creat în cadrul minis</w:t>
      </w:r>
      <w:r w:rsidR="009A0CB1">
        <w:rPr>
          <w:lang w:val="fr-FR"/>
        </w:rPr>
        <w:t>terului (acolo unde este situată</w:t>
      </w:r>
      <w:r>
        <w:rPr>
          <w:lang w:val="fr-FR"/>
        </w:rPr>
        <w:t xml:space="preserve"> şi AM) acţioneazã ca interfaţã între Steering Groups, coordonatorii domeniilor prioritare şi punctele naţionale de contact pentru domeniile în care România este implicatã, pe de o parte, şi între autoritãţile de management din cadrul ministerului, de cealaltã parte.</w:t>
      </w:r>
    </w:p>
    <w:p w:rsidR="00E33DB7" w:rsidRDefault="00E33DB7" w:rsidP="00E33DB7">
      <w:pPr>
        <w:rPr>
          <w:lang w:val="fr-FR"/>
        </w:rPr>
      </w:pPr>
      <w:r>
        <w:rPr>
          <w:lang w:val="fr-FR"/>
        </w:rPr>
        <w:t>Totodatã, membrii Steering Group, coordonatorii domeniilor prioritare şi punctele naţionale de contact, au fost implicaţi în faza de programare (coordonatorul naţional, Ministerul Afacerilor Externe şi sediul strategiei UE pentru regiunea Dunãrii din cadrul Ministerului Dezvoltarii Regionale şi Administraţiei Publice au fost membrii în Grupul Comun de Lucru al programului) şi se vor implica de asemenea în faza de implementare a programului CBC RO-BG (persoanele din cadrul Grupului Comun de Lucru</w:t>
      </w:r>
      <w:r w:rsidR="009A0CB1">
        <w:rPr>
          <w:lang w:val="fr-FR"/>
        </w:rPr>
        <w:t xml:space="preserve"> vor face de asemenea parte ş</w:t>
      </w:r>
      <w:r>
        <w:rPr>
          <w:lang w:val="fr-FR"/>
        </w:rPr>
        <w:t>i din Comitetul de Monitorizare). Adoptând</w:t>
      </w:r>
      <w:r w:rsidR="00CC6AAF">
        <w:rPr>
          <w:lang w:val="fr-FR"/>
        </w:rPr>
        <w:t xml:space="preserve"> aceastã abordare, cu siguranţă va exista</w:t>
      </w:r>
      <w:r>
        <w:rPr>
          <w:lang w:val="fr-FR"/>
        </w:rPr>
        <w:t xml:space="preserve"> comunicare şi coordonare între toate pãrţile implicate în implementarea acestei strategii şi a programului. În acest fel, propunerile, ini</w:t>
      </w:r>
      <w:r>
        <w:rPr>
          <w:rFonts w:ascii="Cambria Math" w:hAnsi="Cambria Math" w:cs="Cambria Math"/>
          <w:lang w:val="fr-FR"/>
        </w:rPr>
        <w:t>ț</w:t>
      </w:r>
      <w:r>
        <w:rPr>
          <w:lang w:val="fr-FR"/>
        </w:rPr>
        <w:t xml:space="preserve">iativele </w:t>
      </w:r>
      <w:r>
        <w:rPr>
          <w:rFonts w:ascii="Cambria Math" w:hAnsi="Cambria Math" w:cs="Cambria Math"/>
          <w:lang w:val="fr-FR"/>
        </w:rPr>
        <w:t>ș</w:t>
      </w:r>
      <w:r>
        <w:rPr>
          <w:lang w:val="fr-FR"/>
        </w:rPr>
        <w:t xml:space="preserve">i ideile de proiecte identificate de către Steering Groups </w:t>
      </w:r>
      <w:r>
        <w:rPr>
          <w:rFonts w:ascii="Cambria Math" w:hAnsi="Cambria Math" w:cs="Cambria Math"/>
          <w:lang w:val="fr-FR"/>
        </w:rPr>
        <w:t>ș</w:t>
      </w:r>
      <w:r>
        <w:rPr>
          <w:lang w:val="fr-FR"/>
        </w:rPr>
        <w:t>i coordonatorii de domenii prioritare ar putea</w:t>
      </w:r>
      <w:r w:rsidR="00AE0155">
        <w:rPr>
          <w:lang w:val="fr-FR"/>
        </w:rPr>
        <w:t xml:space="preserve"> fi promovate de catre o singură instanţă</w:t>
      </w:r>
      <w:r>
        <w:rPr>
          <w:lang w:val="fr-FR"/>
        </w:rPr>
        <w:t xml:space="preserve"> printre organele de decizie ale programului, în toate etapele de implementare ale programului, cu condi</w:t>
      </w:r>
      <w:r>
        <w:rPr>
          <w:rFonts w:ascii="Cambria Math" w:hAnsi="Cambria Math" w:cs="Cambria Math"/>
          <w:lang w:val="fr-FR"/>
        </w:rPr>
        <w:t>ț</w:t>
      </w:r>
      <w:r w:rsidR="00AE0155">
        <w:rPr>
          <w:lang w:val="fr-FR"/>
        </w:rPr>
        <w:t>ia ca</w:t>
      </w:r>
      <w:r>
        <w:rPr>
          <w:lang w:val="fr-FR"/>
        </w:rPr>
        <w:t xml:space="preserve"> toate proiectele să fie dezvoltate luând în considerare normele specifice stabilite prin programul CBC RO-BG în ceea ce prive</w:t>
      </w:r>
      <w:r>
        <w:rPr>
          <w:rFonts w:ascii="Cambria Math" w:hAnsi="Cambria Math" w:cs="Cambria Math"/>
          <w:lang w:val="fr-FR"/>
        </w:rPr>
        <w:t>ș</w:t>
      </w:r>
      <w:r>
        <w:rPr>
          <w:lang w:val="fr-FR"/>
        </w:rPr>
        <w:t>te regulile de eligibilitate.</w:t>
      </w:r>
    </w:p>
    <w:p w:rsidR="00E33DB7" w:rsidRDefault="00E33DB7" w:rsidP="00E33DB7">
      <w:pPr>
        <w:rPr>
          <w:lang w:val="fr-FR"/>
        </w:rPr>
      </w:pPr>
      <w:r>
        <w:rPr>
          <w:lang w:val="fr-FR"/>
        </w:rPr>
        <w:t xml:space="preserve">Ministerul Dezvoltãrii Regionale al Republicii Bulgaria este Coordonatorul Naţional pentru SUERD pe teritoriul sãu. Cu scopul de a implementa strategia UE pentru regiunea Dunãrii, un mecanism naţional de coordonare a fost stabilit în Bulgaria. Prin intermediul acestui mecanism, Coordonatorul Naţional monitorizeazã implementarea activitãţilor şi atingerea obiectivelor strategiei, şi supravegheazã lucrarile Steering Groups şi ale coordonatorilor domeniilor prioritare. Mecanismul asigurã coeziunea şi complementaritatea documentelor naţionale strategice, politicilor şi programelor cu </w:t>
      </w:r>
      <w:r>
        <w:rPr>
          <w:lang w:val="fr-FR"/>
        </w:rPr>
        <w:lastRenderedPageBreak/>
        <w:t xml:space="preserve">obiectivele strategiei, prin implicarea persoanelor cheie interesate de procesul </w:t>
      </w:r>
      <w:proofErr w:type="gramStart"/>
      <w:r>
        <w:rPr>
          <w:lang w:val="fr-FR"/>
        </w:rPr>
        <w:t>de elaborare</w:t>
      </w:r>
      <w:proofErr w:type="gramEnd"/>
      <w:r>
        <w:rPr>
          <w:lang w:val="fr-FR"/>
        </w:rPr>
        <w:t xml:space="preserve"> al politicilor. </w:t>
      </w:r>
    </w:p>
    <w:p w:rsidR="00DB39AE" w:rsidRDefault="00DB39AE" w:rsidP="00DB39AE">
      <w:pPr>
        <w:ind w:firstLine="720"/>
        <w:rPr>
          <w:lang w:val="fr-FR"/>
        </w:rPr>
      </w:pPr>
    </w:p>
    <w:p w:rsidR="006B0987" w:rsidRDefault="006B0987" w:rsidP="006B0987">
      <w:pPr>
        <w:pStyle w:val="Heading1"/>
        <w:rPr>
          <w:lang w:val="fr-FR"/>
        </w:rPr>
        <w:sectPr w:rsidR="006B0987" w:rsidSect="00DB39AE">
          <w:pgSz w:w="11900" w:h="16840"/>
          <w:pgMar w:top="1440" w:right="1800" w:bottom="1440" w:left="1800" w:header="340" w:footer="340" w:gutter="0"/>
          <w:cols w:space="720"/>
          <w:docGrid w:linePitch="326"/>
        </w:sectPr>
      </w:pPr>
      <w:bookmarkStart w:id="180" w:name="_Toc394063573"/>
    </w:p>
    <w:p w:rsidR="00DB39AE" w:rsidRDefault="00DB39AE" w:rsidP="006B0987">
      <w:pPr>
        <w:pStyle w:val="Heading1"/>
        <w:rPr>
          <w:lang w:val="fr-FR"/>
        </w:rPr>
      </w:pPr>
      <w:bookmarkStart w:id="181" w:name="_Toc394837894"/>
      <w:r>
        <w:rPr>
          <w:lang w:val="fr-FR"/>
        </w:rPr>
        <w:lastRenderedPageBreak/>
        <w:t xml:space="preserve">SECŢIUNEA 5. </w:t>
      </w:r>
      <w:bookmarkEnd w:id="180"/>
      <w:r w:rsidR="006B0987" w:rsidRPr="006B0987">
        <w:rPr>
          <w:lang w:val="fr-FR"/>
        </w:rPr>
        <w:t>PREVEDERI DE IMPLEMENTARE A PROGRAMULUI DE COOPERARE</w:t>
      </w:r>
      <w:bookmarkEnd w:id="181"/>
    </w:p>
    <w:p w:rsidR="004C762C" w:rsidRDefault="004C762C" w:rsidP="004C762C">
      <w:pPr>
        <w:pStyle w:val="Heading2"/>
        <w:rPr>
          <w:lang w:val="fr-FR"/>
        </w:rPr>
      </w:pPr>
      <w:bookmarkStart w:id="182" w:name="_Toc394837895"/>
      <w:bookmarkStart w:id="183" w:name="_Toc394063574"/>
      <w:r>
        <w:rPr>
          <w:lang w:val="fr-FR"/>
        </w:rPr>
        <w:t>5.1.</w:t>
      </w:r>
      <w:r>
        <w:rPr>
          <w:lang w:val="fr-FR"/>
        </w:rPr>
        <w:tab/>
      </w:r>
      <w:r w:rsidRPr="006B0987">
        <w:rPr>
          <w:lang w:val="fr-FR"/>
        </w:rPr>
        <w:t>Autorități și organisme relevante</w:t>
      </w:r>
      <w:bookmarkEnd w:id="182"/>
    </w:p>
    <w:p w:rsidR="004C762C" w:rsidRDefault="004C762C" w:rsidP="004C762C">
      <w:pPr>
        <w:pStyle w:val="Heading2"/>
        <w:rPr>
          <w:lang w:val="fr-FR"/>
        </w:rPr>
      </w:pPr>
      <w:bookmarkStart w:id="184" w:name="_Toc394837896"/>
      <w:r>
        <w:rPr>
          <w:lang w:val="fr-FR"/>
        </w:rPr>
        <w:t xml:space="preserve">Tabelul 21: </w:t>
      </w:r>
      <w:r w:rsidRPr="006B0987">
        <w:rPr>
          <w:lang w:val="fr-FR"/>
        </w:rPr>
        <w:t>Autoritățile implicate în program</w:t>
      </w:r>
      <w:bookmarkEnd w:id="18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6"/>
        <w:gridCol w:w="2896"/>
        <w:gridCol w:w="2954"/>
      </w:tblGrid>
      <w:tr w:rsidR="004C762C" w:rsidRPr="00A158A9" w:rsidTr="00945E83">
        <w:trPr>
          <w:jc w:val="center"/>
        </w:trPr>
        <w:tc>
          <w:tcPr>
            <w:tcW w:w="2802" w:type="dxa"/>
            <w:tcBorders>
              <w:top w:val="single" w:sz="4" w:space="0" w:color="auto"/>
              <w:left w:val="single" w:sz="4" w:space="0" w:color="auto"/>
              <w:bottom w:val="single" w:sz="4" w:space="0" w:color="auto"/>
              <w:right w:val="single" w:sz="4" w:space="0" w:color="auto"/>
            </w:tcBorders>
            <w:shd w:val="clear" w:color="auto" w:fill="DBE5F1"/>
            <w:hideMark/>
          </w:tcPr>
          <w:p w:rsidR="004C762C" w:rsidRDefault="004C762C" w:rsidP="00945E83">
            <w:pPr>
              <w:jc w:val="left"/>
              <w:rPr>
                <w:rFonts w:eastAsia="Times New Roman"/>
                <w:b/>
                <w:szCs w:val="24"/>
              </w:rPr>
            </w:pPr>
            <w:r w:rsidRPr="006B0987">
              <w:rPr>
                <w:rFonts w:eastAsia="Times New Roman"/>
                <w:b/>
                <w:szCs w:val="24"/>
              </w:rPr>
              <w:t>Autoritate/organism</w:t>
            </w:r>
          </w:p>
        </w:tc>
        <w:tc>
          <w:tcPr>
            <w:tcW w:w="2976" w:type="dxa"/>
            <w:tcBorders>
              <w:top w:val="single" w:sz="4" w:space="0" w:color="auto"/>
              <w:left w:val="single" w:sz="4" w:space="0" w:color="auto"/>
              <w:bottom w:val="single" w:sz="4" w:space="0" w:color="auto"/>
              <w:right w:val="single" w:sz="4" w:space="0" w:color="auto"/>
            </w:tcBorders>
            <w:shd w:val="clear" w:color="auto" w:fill="DBE5F1"/>
            <w:hideMark/>
          </w:tcPr>
          <w:p w:rsidR="004C762C" w:rsidRDefault="004C762C" w:rsidP="00945E83">
            <w:pPr>
              <w:jc w:val="left"/>
              <w:rPr>
                <w:rFonts w:eastAsia="Times New Roman"/>
                <w:b/>
                <w:szCs w:val="24"/>
                <w:lang w:val="fr-FR"/>
              </w:rPr>
            </w:pPr>
            <w:r w:rsidRPr="006B0987">
              <w:rPr>
                <w:rFonts w:eastAsia="Times New Roman"/>
                <w:b/>
                <w:szCs w:val="24"/>
                <w:lang w:val="fr-FR"/>
              </w:rPr>
              <w:t>Denumirea autorității/organismului și a direcției sau unității</w:t>
            </w:r>
          </w:p>
        </w:tc>
        <w:tc>
          <w:tcPr>
            <w:tcW w:w="3056" w:type="dxa"/>
            <w:tcBorders>
              <w:top w:val="single" w:sz="4" w:space="0" w:color="auto"/>
              <w:left w:val="single" w:sz="4" w:space="0" w:color="auto"/>
              <w:bottom w:val="single" w:sz="4" w:space="0" w:color="auto"/>
              <w:right w:val="single" w:sz="4" w:space="0" w:color="auto"/>
            </w:tcBorders>
            <w:shd w:val="clear" w:color="auto" w:fill="DBE5F1"/>
            <w:hideMark/>
          </w:tcPr>
          <w:p w:rsidR="004C762C" w:rsidRDefault="004C762C" w:rsidP="00945E83">
            <w:pPr>
              <w:jc w:val="left"/>
              <w:rPr>
                <w:rFonts w:eastAsia="Times New Roman"/>
                <w:b/>
                <w:szCs w:val="24"/>
                <w:lang w:val="fr-FR"/>
              </w:rPr>
            </w:pPr>
            <w:r w:rsidRPr="006B0987">
              <w:rPr>
                <w:rFonts w:eastAsia="Times New Roman"/>
                <w:b/>
                <w:szCs w:val="24"/>
                <w:lang w:val="fr-FR"/>
              </w:rPr>
              <w:t>Directorul autorității/organismului (funcția sau postul)</w:t>
            </w:r>
          </w:p>
        </w:tc>
      </w:tr>
      <w:tr w:rsidR="004C762C" w:rsidRPr="00A158A9" w:rsidTr="00945E83">
        <w:trPr>
          <w:jc w:val="center"/>
        </w:trPr>
        <w:tc>
          <w:tcPr>
            <w:tcW w:w="2802" w:type="dxa"/>
            <w:tcBorders>
              <w:top w:val="single" w:sz="4" w:space="0" w:color="auto"/>
              <w:left w:val="single" w:sz="4" w:space="0" w:color="auto"/>
              <w:bottom w:val="single" w:sz="4" w:space="0" w:color="auto"/>
              <w:right w:val="single" w:sz="4" w:space="0" w:color="auto"/>
            </w:tcBorders>
            <w:hideMark/>
          </w:tcPr>
          <w:p w:rsidR="004C762C" w:rsidRDefault="004C762C" w:rsidP="00945E83">
            <w:pPr>
              <w:jc w:val="left"/>
              <w:rPr>
                <w:rFonts w:eastAsia="Times New Roman"/>
                <w:szCs w:val="24"/>
              </w:rPr>
            </w:pPr>
            <w:r>
              <w:t>Autoritatea de management</w:t>
            </w:r>
          </w:p>
        </w:tc>
        <w:tc>
          <w:tcPr>
            <w:tcW w:w="2976" w:type="dxa"/>
            <w:tcBorders>
              <w:top w:val="single" w:sz="4" w:space="0" w:color="auto"/>
              <w:left w:val="single" w:sz="4" w:space="0" w:color="auto"/>
              <w:bottom w:val="single" w:sz="4" w:space="0" w:color="auto"/>
              <w:right w:val="single" w:sz="4" w:space="0" w:color="auto"/>
            </w:tcBorders>
            <w:hideMark/>
          </w:tcPr>
          <w:p w:rsidR="004C762C" w:rsidRDefault="004C762C" w:rsidP="00945E83">
            <w:pPr>
              <w:jc w:val="left"/>
              <w:rPr>
                <w:rFonts w:eastAsia="Times New Roman"/>
                <w:szCs w:val="24"/>
                <w:lang w:val="fr-FR"/>
              </w:rPr>
            </w:pPr>
            <w:r>
              <w:rPr>
                <w:lang w:val="fr-FR"/>
              </w:rPr>
              <w:t>Ministerul Dezvoltãri</w:t>
            </w:r>
            <w:r w:rsidR="00AE0155">
              <w:rPr>
                <w:lang w:val="fr-FR"/>
              </w:rPr>
              <w:t>i</w:t>
            </w:r>
            <w:r>
              <w:rPr>
                <w:lang w:val="fr-FR"/>
              </w:rPr>
              <w:t xml:space="preserve"> Regionale şi Administraţiei Publice din România </w:t>
            </w:r>
          </w:p>
        </w:tc>
        <w:tc>
          <w:tcPr>
            <w:tcW w:w="3056" w:type="dxa"/>
            <w:tcBorders>
              <w:top w:val="single" w:sz="4" w:space="0" w:color="auto"/>
              <w:left w:val="single" w:sz="4" w:space="0" w:color="auto"/>
              <w:bottom w:val="single" w:sz="4" w:space="0" w:color="auto"/>
              <w:right w:val="single" w:sz="4" w:space="0" w:color="auto"/>
            </w:tcBorders>
            <w:hideMark/>
          </w:tcPr>
          <w:p w:rsidR="004C762C" w:rsidRDefault="004C762C" w:rsidP="00945E83">
            <w:pPr>
              <w:jc w:val="left"/>
              <w:rPr>
                <w:rFonts w:eastAsia="Times New Roman"/>
                <w:szCs w:val="24"/>
                <w:lang w:val="it-IT"/>
              </w:rPr>
            </w:pPr>
            <w:r>
              <w:rPr>
                <w:lang w:val="it-IT"/>
              </w:rPr>
              <w:t>Liviu Nicolae DRAGNEA –Viceprim-ministru, Ministru</w:t>
            </w:r>
          </w:p>
        </w:tc>
      </w:tr>
      <w:tr w:rsidR="004C762C" w:rsidTr="00945E83">
        <w:trPr>
          <w:jc w:val="center"/>
        </w:trPr>
        <w:tc>
          <w:tcPr>
            <w:tcW w:w="2802" w:type="dxa"/>
            <w:tcBorders>
              <w:top w:val="single" w:sz="4" w:space="0" w:color="auto"/>
              <w:left w:val="single" w:sz="4" w:space="0" w:color="auto"/>
              <w:bottom w:val="single" w:sz="4" w:space="0" w:color="auto"/>
              <w:right w:val="single" w:sz="4" w:space="0" w:color="auto"/>
            </w:tcBorders>
            <w:hideMark/>
          </w:tcPr>
          <w:p w:rsidR="004C762C" w:rsidRDefault="004C762C" w:rsidP="00945E83">
            <w:pPr>
              <w:jc w:val="left"/>
              <w:rPr>
                <w:rFonts w:eastAsia="Times New Roman"/>
                <w:szCs w:val="24"/>
                <w:lang w:val="fr-FR"/>
              </w:rPr>
            </w:pPr>
            <w:r>
              <w:rPr>
                <w:lang w:val="fr-FR"/>
              </w:rPr>
              <w:t xml:space="preserve">Autoritatea de certificare, dupã caz </w:t>
            </w:r>
          </w:p>
        </w:tc>
        <w:tc>
          <w:tcPr>
            <w:tcW w:w="2976" w:type="dxa"/>
            <w:tcBorders>
              <w:top w:val="single" w:sz="4" w:space="0" w:color="auto"/>
              <w:left w:val="single" w:sz="4" w:space="0" w:color="auto"/>
              <w:bottom w:val="single" w:sz="4" w:space="0" w:color="auto"/>
              <w:right w:val="single" w:sz="4" w:space="0" w:color="auto"/>
            </w:tcBorders>
            <w:hideMark/>
          </w:tcPr>
          <w:p w:rsidR="004C762C" w:rsidRDefault="004C762C" w:rsidP="00945E83">
            <w:pPr>
              <w:jc w:val="left"/>
              <w:rPr>
                <w:rFonts w:eastAsia="Times New Roman"/>
                <w:szCs w:val="24"/>
              </w:rPr>
            </w:pPr>
            <w:r>
              <w:t>Nu se aplicã</w:t>
            </w:r>
          </w:p>
        </w:tc>
        <w:tc>
          <w:tcPr>
            <w:tcW w:w="3056" w:type="dxa"/>
            <w:tcBorders>
              <w:top w:val="single" w:sz="4" w:space="0" w:color="auto"/>
              <w:left w:val="single" w:sz="4" w:space="0" w:color="auto"/>
              <w:bottom w:val="single" w:sz="4" w:space="0" w:color="auto"/>
              <w:right w:val="single" w:sz="4" w:space="0" w:color="auto"/>
            </w:tcBorders>
          </w:tcPr>
          <w:p w:rsidR="004C762C" w:rsidRDefault="004C762C" w:rsidP="00945E83">
            <w:pPr>
              <w:jc w:val="left"/>
              <w:rPr>
                <w:rFonts w:eastAsia="Times New Roman"/>
                <w:szCs w:val="24"/>
              </w:rPr>
            </w:pPr>
          </w:p>
        </w:tc>
      </w:tr>
      <w:tr w:rsidR="004C762C" w:rsidTr="00945E83">
        <w:trPr>
          <w:jc w:val="center"/>
        </w:trPr>
        <w:tc>
          <w:tcPr>
            <w:tcW w:w="2802" w:type="dxa"/>
            <w:tcBorders>
              <w:top w:val="single" w:sz="4" w:space="0" w:color="auto"/>
              <w:left w:val="single" w:sz="4" w:space="0" w:color="auto"/>
              <w:bottom w:val="single" w:sz="4" w:space="0" w:color="auto"/>
              <w:right w:val="single" w:sz="4" w:space="0" w:color="auto"/>
            </w:tcBorders>
            <w:hideMark/>
          </w:tcPr>
          <w:p w:rsidR="004C762C" w:rsidRDefault="004C762C" w:rsidP="00945E83">
            <w:pPr>
              <w:jc w:val="left"/>
              <w:rPr>
                <w:rFonts w:eastAsia="Times New Roman"/>
                <w:szCs w:val="24"/>
              </w:rPr>
            </w:pPr>
            <w:r>
              <w:t xml:space="preserve">Autoritatea de audit </w:t>
            </w:r>
          </w:p>
        </w:tc>
        <w:tc>
          <w:tcPr>
            <w:tcW w:w="2976" w:type="dxa"/>
            <w:tcBorders>
              <w:top w:val="single" w:sz="4" w:space="0" w:color="auto"/>
              <w:left w:val="single" w:sz="4" w:space="0" w:color="auto"/>
              <w:bottom w:val="single" w:sz="4" w:space="0" w:color="auto"/>
              <w:right w:val="single" w:sz="4" w:space="0" w:color="auto"/>
            </w:tcBorders>
            <w:hideMark/>
          </w:tcPr>
          <w:p w:rsidR="004C762C" w:rsidRDefault="004C762C" w:rsidP="00945E83">
            <w:pPr>
              <w:jc w:val="left"/>
              <w:rPr>
                <w:rFonts w:eastAsia="Times New Roman"/>
                <w:szCs w:val="24"/>
                <w:lang w:val="fr-FR"/>
              </w:rPr>
            </w:pPr>
            <w:r>
              <w:rPr>
                <w:lang w:val="fr-FR"/>
              </w:rPr>
              <w:t xml:space="preserve">Autoritatea de Audit din cadrul Curţii de Conturi din România  </w:t>
            </w:r>
          </w:p>
        </w:tc>
        <w:tc>
          <w:tcPr>
            <w:tcW w:w="3056" w:type="dxa"/>
            <w:tcBorders>
              <w:top w:val="single" w:sz="4" w:space="0" w:color="auto"/>
              <w:left w:val="single" w:sz="4" w:space="0" w:color="auto"/>
              <w:bottom w:val="single" w:sz="4" w:space="0" w:color="auto"/>
              <w:right w:val="single" w:sz="4" w:space="0" w:color="auto"/>
            </w:tcBorders>
          </w:tcPr>
          <w:p w:rsidR="004C762C" w:rsidRDefault="004C762C" w:rsidP="00945E83">
            <w:pPr>
              <w:jc w:val="left"/>
              <w:rPr>
                <w:rFonts w:eastAsia="Times New Roman"/>
                <w:szCs w:val="24"/>
              </w:rPr>
            </w:pPr>
            <w:r>
              <w:t>Aron Ioan POPA – Preşedinte</w:t>
            </w:r>
          </w:p>
        </w:tc>
      </w:tr>
      <w:tr w:rsidR="004C762C" w:rsidTr="00945E83">
        <w:trPr>
          <w:jc w:val="center"/>
        </w:trPr>
        <w:tc>
          <w:tcPr>
            <w:tcW w:w="8834" w:type="dxa"/>
            <w:gridSpan w:val="3"/>
            <w:tcBorders>
              <w:top w:val="single" w:sz="4" w:space="0" w:color="auto"/>
              <w:left w:val="nil"/>
              <w:bottom w:val="nil"/>
              <w:right w:val="nil"/>
            </w:tcBorders>
          </w:tcPr>
          <w:p w:rsidR="004C762C" w:rsidRDefault="004C762C" w:rsidP="00945E83">
            <w:pPr>
              <w:jc w:val="left"/>
              <w:rPr>
                <w:rFonts w:eastAsia="Times New Roman"/>
                <w:szCs w:val="24"/>
                <w:lang w:val="fr-FR"/>
              </w:rPr>
            </w:pPr>
          </w:p>
          <w:p w:rsidR="004C762C" w:rsidRPr="00952AC8" w:rsidRDefault="004C762C" w:rsidP="00945E83">
            <w:pPr>
              <w:jc w:val="left"/>
              <w:rPr>
                <w:b/>
                <w:bCs/>
                <w:lang w:val="fr-FR"/>
              </w:rPr>
            </w:pPr>
            <w:r w:rsidRPr="00952AC8">
              <w:rPr>
                <w:b/>
                <w:lang w:val="fr-FR"/>
              </w:rPr>
              <w:t>Organismul către care Comisia efectuează plățile este: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6310"/>
            </w:tblGrid>
            <w:tr w:rsidR="004C762C" w:rsidTr="00945E83">
              <w:trPr>
                <w:jc w:val="center"/>
              </w:trPr>
              <w:tc>
                <w:tcPr>
                  <w:tcW w:w="1194" w:type="pct"/>
                  <w:tcBorders>
                    <w:top w:val="single" w:sz="4" w:space="0" w:color="auto"/>
                    <w:left w:val="single" w:sz="4" w:space="0" w:color="auto"/>
                    <w:bottom w:val="single" w:sz="4" w:space="0" w:color="auto"/>
                    <w:right w:val="single" w:sz="4" w:space="0" w:color="auto"/>
                  </w:tcBorders>
                  <w:hideMark/>
                </w:tcPr>
                <w:p w:rsidR="004C762C" w:rsidRDefault="00FF412A" w:rsidP="00945E83">
                  <w:pPr>
                    <w:jc w:val="left"/>
                    <w:rPr>
                      <w:rFonts w:eastAsia="Times New Roman"/>
                      <w:szCs w:val="24"/>
                    </w:rPr>
                  </w:pPr>
                  <w:r>
                    <w:fldChar w:fldCharType="begin">
                      <w:ffData>
                        <w:name w:val=""/>
                        <w:enabled/>
                        <w:calcOnExit w:val="0"/>
                        <w:checkBox>
                          <w:sizeAuto/>
                          <w:default w:val="1"/>
                        </w:checkBox>
                      </w:ffData>
                    </w:fldChar>
                  </w:r>
                  <w:r w:rsidR="004C762C">
                    <w:instrText xml:space="preserve"> FORMCHECKBOX </w:instrText>
                  </w:r>
                  <w:r w:rsidR="006D5DA0">
                    <w:fldChar w:fldCharType="separate"/>
                  </w:r>
                  <w:r>
                    <w:fldChar w:fldCharType="end"/>
                  </w:r>
                  <w:r w:rsidR="004C762C">
                    <w:t>autoritatea de management</w:t>
                  </w:r>
                </w:p>
              </w:tc>
              <w:tc>
                <w:tcPr>
                  <w:tcW w:w="3806" w:type="pct"/>
                  <w:tcBorders>
                    <w:top w:val="single" w:sz="4" w:space="0" w:color="auto"/>
                    <w:left w:val="single" w:sz="4" w:space="0" w:color="auto"/>
                    <w:bottom w:val="single" w:sz="4" w:space="0" w:color="auto"/>
                    <w:right w:val="single" w:sz="4" w:space="0" w:color="auto"/>
                  </w:tcBorders>
                </w:tcPr>
                <w:p w:rsidR="004C762C" w:rsidRDefault="004C762C" w:rsidP="00945E83">
                  <w:pPr>
                    <w:jc w:val="left"/>
                    <w:rPr>
                      <w:rFonts w:eastAsia="Times New Roman"/>
                      <w:i/>
                      <w:szCs w:val="24"/>
                    </w:rPr>
                  </w:pPr>
                </w:p>
              </w:tc>
            </w:tr>
            <w:tr w:rsidR="004C762C" w:rsidTr="00945E83">
              <w:trPr>
                <w:jc w:val="center"/>
              </w:trPr>
              <w:tc>
                <w:tcPr>
                  <w:tcW w:w="1194" w:type="pct"/>
                  <w:tcBorders>
                    <w:top w:val="single" w:sz="4" w:space="0" w:color="auto"/>
                    <w:left w:val="single" w:sz="4" w:space="0" w:color="auto"/>
                    <w:bottom w:val="single" w:sz="4" w:space="0" w:color="auto"/>
                    <w:right w:val="single" w:sz="4" w:space="0" w:color="auto"/>
                  </w:tcBorders>
                  <w:hideMark/>
                </w:tcPr>
                <w:p w:rsidR="004C762C" w:rsidRDefault="00FF412A" w:rsidP="00945E83">
                  <w:pPr>
                    <w:jc w:val="left"/>
                    <w:rPr>
                      <w:rFonts w:eastAsia="Times New Roman"/>
                      <w:szCs w:val="24"/>
                    </w:rPr>
                  </w:pPr>
                  <w:r>
                    <w:fldChar w:fldCharType="begin">
                      <w:ffData>
                        <w:name w:val="Check2"/>
                        <w:enabled/>
                        <w:calcOnExit w:val="0"/>
                        <w:checkBox>
                          <w:sizeAuto/>
                          <w:default w:val="0"/>
                        </w:checkBox>
                      </w:ffData>
                    </w:fldChar>
                  </w:r>
                  <w:r w:rsidR="004C762C">
                    <w:instrText xml:space="preserve"> FORMCHECKBOX </w:instrText>
                  </w:r>
                  <w:r w:rsidR="006D5DA0">
                    <w:fldChar w:fldCharType="separate"/>
                  </w:r>
                  <w:r>
                    <w:fldChar w:fldCharType="end"/>
                  </w:r>
                  <w:r w:rsidR="004C762C">
                    <w:t xml:space="preserve"> autoritatea de certificare</w:t>
                  </w:r>
                </w:p>
              </w:tc>
              <w:tc>
                <w:tcPr>
                  <w:tcW w:w="3806" w:type="pct"/>
                  <w:tcBorders>
                    <w:top w:val="single" w:sz="4" w:space="0" w:color="auto"/>
                    <w:left w:val="single" w:sz="4" w:space="0" w:color="auto"/>
                    <w:bottom w:val="single" w:sz="4" w:space="0" w:color="auto"/>
                    <w:right w:val="single" w:sz="4" w:space="0" w:color="auto"/>
                  </w:tcBorders>
                </w:tcPr>
                <w:p w:rsidR="004C762C" w:rsidRDefault="004C762C" w:rsidP="00945E83">
                  <w:pPr>
                    <w:jc w:val="left"/>
                    <w:rPr>
                      <w:rFonts w:eastAsia="Times New Roman"/>
                      <w:i/>
                      <w:szCs w:val="24"/>
                    </w:rPr>
                  </w:pPr>
                </w:p>
              </w:tc>
            </w:tr>
          </w:tbl>
          <w:p w:rsidR="004C762C" w:rsidRDefault="004C762C" w:rsidP="00945E83">
            <w:pPr>
              <w:jc w:val="left"/>
              <w:rPr>
                <w:rFonts w:eastAsia="Times New Roman"/>
                <w:szCs w:val="24"/>
              </w:rPr>
            </w:pPr>
          </w:p>
        </w:tc>
      </w:tr>
    </w:tbl>
    <w:p w:rsidR="004C762C" w:rsidRDefault="004C762C" w:rsidP="004C762C">
      <w:pPr>
        <w:rPr>
          <w:rFonts w:eastAsia="Times New Roman"/>
          <w:b/>
          <w:lang w:val="en-US"/>
        </w:rPr>
      </w:pPr>
    </w:p>
    <w:p w:rsidR="004C762C" w:rsidRDefault="004C762C" w:rsidP="004C762C">
      <w:pPr>
        <w:pStyle w:val="Heading2"/>
        <w:rPr>
          <w:lang w:val="fr-FR"/>
        </w:rPr>
      </w:pPr>
      <w:bookmarkStart w:id="185" w:name="_Toc394837897"/>
      <w:r>
        <w:rPr>
          <w:lang w:val="fr-FR"/>
        </w:rPr>
        <w:t xml:space="preserve">Tabelul 22: </w:t>
      </w:r>
      <w:r w:rsidRPr="0034237E">
        <w:rPr>
          <w:lang w:val="fr-FR"/>
        </w:rPr>
        <w:t>Organismul sau organismele care îndeplinesc sarcinile de verificare și control</w:t>
      </w:r>
      <w:bookmarkEnd w:id="18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1"/>
        <w:gridCol w:w="2869"/>
        <w:gridCol w:w="2946"/>
      </w:tblGrid>
      <w:tr w:rsidR="004C762C" w:rsidRPr="00A158A9" w:rsidTr="00945E83">
        <w:trPr>
          <w:jc w:val="center"/>
        </w:trPr>
        <w:tc>
          <w:tcPr>
            <w:tcW w:w="2701" w:type="dxa"/>
            <w:tcBorders>
              <w:top w:val="single" w:sz="4" w:space="0" w:color="auto"/>
              <w:left w:val="single" w:sz="4" w:space="0" w:color="auto"/>
              <w:bottom w:val="single" w:sz="4" w:space="0" w:color="auto"/>
              <w:right w:val="single" w:sz="4" w:space="0" w:color="auto"/>
            </w:tcBorders>
            <w:shd w:val="clear" w:color="auto" w:fill="DBE5F1"/>
            <w:hideMark/>
          </w:tcPr>
          <w:p w:rsidR="004C762C" w:rsidRDefault="004C762C" w:rsidP="00945E83">
            <w:pPr>
              <w:jc w:val="left"/>
              <w:rPr>
                <w:rFonts w:eastAsia="Times New Roman"/>
                <w:b/>
                <w:szCs w:val="24"/>
              </w:rPr>
            </w:pPr>
            <w:r>
              <w:rPr>
                <w:b/>
              </w:rPr>
              <w:t>Autoritate/organism</w:t>
            </w:r>
          </w:p>
        </w:tc>
        <w:tc>
          <w:tcPr>
            <w:tcW w:w="2869" w:type="dxa"/>
            <w:tcBorders>
              <w:top w:val="single" w:sz="4" w:space="0" w:color="auto"/>
              <w:left w:val="single" w:sz="4" w:space="0" w:color="auto"/>
              <w:bottom w:val="single" w:sz="4" w:space="0" w:color="auto"/>
              <w:right w:val="single" w:sz="4" w:space="0" w:color="auto"/>
            </w:tcBorders>
            <w:shd w:val="clear" w:color="auto" w:fill="DBE5F1"/>
            <w:hideMark/>
          </w:tcPr>
          <w:p w:rsidR="004C762C" w:rsidRPr="0034237E" w:rsidRDefault="004C762C" w:rsidP="00945E83">
            <w:pPr>
              <w:jc w:val="left"/>
              <w:rPr>
                <w:rFonts w:eastAsia="Times New Roman"/>
                <w:b/>
                <w:szCs w:val="24"/>
                <w:lang w:val="fr-FR"/>
              </w:rPr>
            </w:pPr>
            <w:r w:rsidRPr="006B0987">
              <w:rPr>
                <w:rFonts w:eastAsia="Times New Roman"/>
                <w:b/>
                <w:szCs w:val="24"/>
                <w:lang w:val="fr-FR"/>
              </w:rPr>
              <w:t>Denumirea autorității/organismului și a direcției sau unității</w:t>
            </w:r>
          </w:p>
        </w:tc>
        <w:tc>
          <w:tcPr>
            <w:tcW w:w="2946" w:type="dxa"/>
            <w:tcBorders>
              <w:top w:val="single" w:sz="4" w:space="0" w:color="auto"/>
              <w:left w:val="single" w:sz="4" w:space="0" w:color="auto"/>
              <w:bottom w:val="single" w:sz="4" w:space="0" w:color="auto"/>
              <w:right w:val="single" w:sz="4" w:space="0" w:color="auto"/>
            </w:tcBorders>
            <w:shd w:val="clear" w:color="auto" w:fill="DBE5F1"/>
            <w:hideMark/>
          </w:tcPr>
          <w:p w:rsidR="004C762C" w:rsidRDefault="004C762C" w:rsidP="00945E83">
            <w:pPr>
              <w:jc w:val="left"/>
              <w:rPr>
                <w:rFonts w:eastAsia="Times New Roman"/>
                <w:b/>
                <w:szCs w:val="24"/>
                <w:lang w:val="fr-FR"/>
              </w:rPr>
            </w:pPr>
            <w:r w:rsidRPr="006B0987">
              <w:rPr>
                <w:rFonts w:eastAsia="Times New Roman"/>
                <w:b/>
                <w:szCs w:val="24"/>
                <w:lang w:val="fr-FR"/>
              </w:rPr>
              <w:t>Directorul autorității/organismului (funcția sau postul)</w:t>
            </w:r>
          </w:p>
        </w:tc>
      </w:tr>
      <w:tr w:rsidR="004C762C" w:rsidTr="00945E83">
        <w:trPr>
          <w:trHeight w:val="274"/>
          <w:jc w:val="center"/>
        </w:trPr>
        <w:tc>
          <w:tcPr>
            <w:tcW w:w="2701" w:type="dxa"/>
            <w:tcBorders>
              <w:top w:val="single" w:sz="4" w:space="0" w:color="auto"/>
              <w:left w:val="single" w:sz="4" w:space="0" w:color="auto"/>
              <w:bottom w:val="single" w:sz="4" w:space="0" w:color="auto"/>
              <w:right w:val="single" w:sz="4" w:space="0" w:color="auto"/>
            </w:tcBorders>
            <w:hideMark/>
          </w:tcPr>
          <w:p w:rsidR="004C762C" w:rsidRPr="0034237E" w:rsidRDefault="004C762C" w:rsidP="00945E83">
            <w:pPr>
              <w:jc w:val="left"/>
              <w:rPr>
                <w:rFonts w:eastAsia="Times New Roman"/>
                <w:szCs w:val="24"/>
                <w:lang w:val="fr-FR"/>
              </w:rPr>
            </w:pPr>
            <w:r w:rsidRPr="0034237E">
              <w:rPr>
                <w:rFonts w:eastAsia="Times New Roman"/>
                <w:szCs w:val="24"/>
                <w:lang w:val="fr-FR"/>
              </w:rPr>
              <w:t>Organismul sau organismele desemnate să îndeplinească sarcinile de control</w:t>
            </w:r>
          </w:p>
        </w:tc>
        <w:tc>
          <w:tcPr>
            <w:tcW w:w="2869" w:type="dxa"/>
            <w:tcBorders>
              <w:top w:val="single" w:sz="4" w:space="0" w:color="auto"/>
              <w:left w:val="single" w:sz="4" w:space="0" w:color="auto"/>
              <w:bottom w:val="single" w:sz="4" w:space="0" w:color="auto"/>
              <w:right w:val="single" w:sz="4" w:space="0" w:color="auto"/>
            </w:tcBorders>
            <w:hideMark/>
          </w:tcPr>
          <w:p w:rsidR="004C762C" w:rsidRDefault="004C762C" w:rsidP="00945E83">
            <w:pPr>
              <w:jc w:val="left"/>
              <w:rPr>
                <w:rFonts w:eastAsia="Times New Roman"/>
                <w:szCs w:val="24"/>
                <w:lang w:val="fr-FR"/>
              </w:rPr>
            </w:pPr>
            <w:r>
              <w:rPr>
                <w:lang w:val="fr-FR"/>
              </w:rPr>
              <w:t xml:space="preserve">România – Unitatea de control de prim nivel din cadrul Biroului Regional </w:t>
            </w:r>
            <w:r w:rsidR="00A158A9">
              <w:rPr>
                <w:lang w:val="fr-FR"/>
              </w:rPr>
              <w:t>de</w:t>
            </w:r>
            <w:r>
              <w:rPr>
                <w:lang w:val="fr-FR"/>
              </w:rPr>
              <w:t xml:space="preserve"> </w:t>
            </w:r>
            <w:r w:rsidR="00A158A9">
              <w:rPr>
                <w:lang w:val="fr-FR"/>
              </w:rPr>
              <w:t>C</w:t>
            </w:r>
            <w:r>
              <w:rPr>
                <w:lang w:val="fr-FR"/>
              </w:rPr>
              <w:t xml:space="preserve">ooperare </w:t>
            </w:r>
            <w:r w:rsidR="00C036BE">
              <w:rPr>
                <w:lang w:val="fr-FR"/>
              </w:rPr>
              <w:t xml:space="preserve">Transfrontalieră </w:t>
            </w:r>
            <w:r w:rsidR="00A158A9">
              <w:rPr>
                <w:lang w:val="fr-FR"/>
              </w:rPr>
              <w:t>Călărași pentru Grani</w:t>
            </w:r>
            <w:r w:rsidR="00A158A9">
              <w:rPr>
                <w:lang w:val="ro-RO"/>
              </w:rPr>
              <w:t>ța România-Bulgaria</w:t>
            </w:r>
            <w:r>
              <w:rPr>
                <w:lang w:val="fr-FR"/>
              </w:rPr>
              <w:t xml:space="preserve"> pentru  Axele prioritare 1-5 şi Ministerul Dezvoltãrii Regionale şi Administraţiei Publice </w:t>
            </w:r>
            <w:r>
              <w:rPr>
                <w:lang w:val="fr-FR"/>
              </w:rPr>
              <w:lastRenderedPageBreak/>
              <w:t xml:space="preserve">pentru Asistenţã Tehnicã </w:t>
            </w:r>
          </w:p>
          <w:p w:rsidR="004C762C" w:rsidRPr="006C6828" w:rsidRDefault="004C762C" w:rsidP="00945E83">
            <w:pPr>
              <w:jc w:val="left"/>
              <w:rPr>
                <w:rFonts w:eastAsia="Times New Roman"/>
                <w:szCs w:val="24"/>
                <w:lang w:val="it-IT"/>
              </w:rPr>
            </w:pPr>
            <w:r w:rsidRPr="006C6828">
              <w:rPr>
                <w:lang w:val="it-IT"/>
              </w:rPr>
              <w:t xml:space="preserve">Bulgaria – sistem descentralizat stabilit şi coordonat de Minsiterul Dezvoltãrii Regionale </w:t>
            </w:r>
          </w:p>
        </w:tc>
        <w:tc>
          <w:tcPr>
            <w:tcW w:w="2946" w:type="dxa"/>
            <w:tcBorders>
              <w:top w:val="single" w:sz="4" w:space="0" w:color="auto"/>
              <w:left w:val="single" w:sz="4" w:space="0" w:color="auto"/>
              <w:bottom w:val="single" w:sz="4" w:space="0" w:color="auto"/>
              <w:right w:val="single" w:sz="4" w:space="0" w:color="auto"/>
            </w:tcBorders>
          </w:tcPr>
          <w:p w:rsidR="004C762C" w:rsidRDefault="004C762C" w:rsidP="00945E83">
            <w:pPr>
              <w:jc w:val="left"/>
              <w:rPr>
                <w:rFonts w:eastAsia="Times New Roman"/>
                <w:szCs w:val="24"/>
                <w:lang w:val="fr-FR"/>
              </w:rPr>
            </w:pPr>
            <w:r>
              <w:rPr>
                <w:lang w:val="fr-FR"/>
              </w:rPr>
              <w:lastRenderedPageBreak/>
              <w:t xml:space="preserve">Sandu SERBAN –Directorul unitãţii </w:t>
            </w:r>
          </w:p>
          <w:p w:rsidR="004C762C" w:rsidRDefault="004C762C" w:rsidP="00945E83">
            <w:pPr>
              <w:jc w:val="left"/>
              <w:rPr>
                <w:lang w:val="fr-FR"/>
              </w:rPr>
            </w:pPr>
          </w:p>
          <w:p w:rsidR="004C762C" w:rsidRDefault="004C762C" w:rsidP="00945E83">
            <w:pPr>
              <w:jc w:val="left"/>
              <w:rPr>
                <w:lang w:val="fr-FR"/>
              </w:rPr>
            </w:pPr>
            <w:r>
              <w:rPr>
                <w:lang w:val="fr-FR"/>
              </w:rPr>
              <w:t>Nicoleta MINCU – Director</w:t>
            </w:r>
            <w:r w:rsidR="00A158A9">
              <w:rPr>
                <w:lang w:val="fr-FR"/>
              </w:rPr>
              <w:t xml:space="preserve"> Executiv</w:t>
            </w:r>
          </w:p>
          <w:p w:rsidR="004C762C" w:rsidRDefault="004C762C" w:rsidP="00945E83">
            <w:pPr>
              <w:jc w:val="left"/>
              <w:rPr>
                <w:lang w:val="fr-FR"/>
              </w:rPr>
            </w:pPr>
          </w:p>
          <w:p w:rsidR="004C762C" w:rsidRDefault="004C762C" w:rsidP="00945E83">
            <w:pPr>
              <w:jc w:val="left"/>
              <w:rPr>
                <w:lang w:val="it-IT"/>
              </w:rPr>
            </w:pPr>
            <w:r>
              <w:rPr>
                <w:lang w:val="it-IT"/>
              </w:rPr>
              <w:t>Liviu Nicolae DRAGNEA-Ministru</w:t>
            </w:r>
          </w:p>
          <w:p w:rsidR="004C762C" w:rsidRDefault="004C762C" w:rsidP="00945E83">
            <w:pPr>
              <w:jc w:val="left"/>
              <w:rPr>
                <w:lang w:val="it-IT"/>
              </w:rPr>
            </w:pPr>
          </w:p>
          <w:p w:rsidR="004C762C" w:rsidRDefault="004C762C" w:rsidP="00945E83">
            <w:pPr>
              <w:jc w:val="left"/>
              <w:rPr>
                <w:rFonts w:eastAsia="Times New Roman"/>
                <w:szCs w:val="24"/>
                <w:lang w:val="it-IT"/>
              </w:rPr>
            </w:pPr>
            <w:r>
              <w:rPr>
                <w:lang w:val="it-IT"/>
              </w:rPr>
              <w:t>Ministerul Dezvoltãrii Regionale</w:t>
            </w:r>
          </w:p>
        </w:tc>
      </w:tr>
      <w:tr w:rsidR="004C762C" w:rsidTr="00945E83">
        <w:trPr>
          <w:jc w:val="center"/>
        </w:trPr>
        <w:tc>
          <w:tcPr>
            <w:tcW w:w="2701" w:type="dxa"/>
            <w:tcBorders>
              <w:top w:val="single" w:sz="4" w:space="0" w:color="auto"/>
              <w:left w:val="single" w:sz="4" w:space="0" w:color="auto"/>
              <w:bottom w:val="single" w:sz="4" w:space="0" w:color="auto"/>
              <w:right w:val="single" w:sz="4" w:space="0" w:color="auto"/>
            </w:tcBorders>
            <w:hideMark/>
          </w:tcPr>
          <w:p w:rsidR="004C762C" w:rsidRDefault="004C762C" w:rsidP="00945E83">
            <w:pPr>
              <w:jc w:val="left"/>
              <w:rPr>
                <w:rFonts w:eastAsia="Times New Roman"/>
                <w:szCs w:val="24"/>
                <w:lang w:val="fr-FR"/>
              </w:rPr>
            </w:pPr>
            <w:r w:rsidRPr="0034237E">
              <w:rPr>
                <w:rFonts w:eastAsia="Times New Roman"/>
                <w:szCs w:val="24"/>
                <w:lang w:val="fr-FR"/>
              </w:rPr>
              <w:lastRenderedPageBreak/>
              <w:t xml:space="preserve">Organismul sau organismele desemnate să îndeplinească sarcinile </w:t>
            </w:r>
            <w:proofErr w:type="gramStart"/>
            <w:r w:rsidRPr="0034237E">
              <w:rPr>
                <w:rFonts w:eastAsia="Times New Roman"/>
                <w:szCs w:val="24"/>
                <w:lang w:val="fr-FR"/>
              </w:rPr>
              <w:t>de audit</w:t>
            </w:r>
            <w:proofErr w:type="gramEnd"/>
          </w:p>
        </w:tc>
        <w:tc>
          <w:tcPr>
            <w:tcW w:w="2869" w:type="dxa"/>
            <w:tcBorders>
              <w:top w:val="single" w:sz="4" w:space="0" w:color="auto"/>
              <w:left w:val="single" w:sz="4" w:space="0" w:color="auto"/>
              <w:bottom w:val="single" w:sz="4" w:space="0" w:color="auto"/>
              <w:right w:val="single" w:sz="4" w:space="0" w:color="auto"/>
            </w:tcBorders>
            <w:hideMark/>
          </w:tcPr>
          <w:p w:rsidR="004C762C" w:rsidRDefault="004C762C" w:rsidP="00945E83">
            <w:pPr>
              <w:jc w:val="left"/>
              <w:rPr>
                <w:rFonts w:eastAsia="Times New Roman"/>
                <w:szCs w:val="24"/>
                <w:lang w:val="fr-FR"/>
              </w:rPr>
            </w:pPr>
            <w:r>
              <w:rPr>
                <w:lang w:val="fr-FR"/>
              </w:rPr>
              <w:t xml:space="preserve">Autoritatea de Audit afiliatã la Curtea de Conturi din România  (susţinutã de grupul </w:t>
            </w:r>
            <w:proofErr w:type="gramStart"/>
            <w:r>
              <w:rPr>
                <w:lang w:val="fr-FR"/>
              </w:rPr>
              <w:t>de auditori</w:t>
            </w:r>
            <w:proofErr w:type="gramEnd"/>
            <w:r>
              <w:rPr>
                <w:lang w:val="fr-FR"/>
              </w:rPr>
              <w:t>)</w:t>
            </w:r>
          </w:p>
        </w:tc>
        <w:tc>
          <w:tcPr>
            <w:tcW w:w="2946" w:type="dxa"/>
            <w:tcBorders>
              <w:top w:val="single" w:sz="4" w:space="0" w:color="auto"/>
              <w:left w:val="single" w:sz="4" w:space="0" w:color="auto"/>
              <w:bottom w:val="single" w:sz="4" w:space="0" w:color="auto"/>
              <w:right w:val="single" w:sz="4" w:space="0" w:color="auto"/>
            </w:tcBorders>
            <w:hideMark/>
          </w:tcPr>
          <w:p w:rsidR="004C762C" w:rsidRDefault="004C762C" w:rsidP="00945E83">
            <w:pPr>
              <w:jc w:val="left"/>
              <w:rPr>
                <w:rFonts w:eastAsia="Times New Roman"/>
                <w:szCs w:val="24"/>
              </w:rPr>
            </w:pPr>
            <w:r>
              <w:t>Aron Ioan POPA – Preşedinte</w:t>
            </w:r>
          </w:p>
        </w:tc>
      </w:tr>
    </w:tbl>
    <w:p w:rsidR="004C762C" w:rsidRDefault="004C762C" w:rsidP="004C762C">
      <w:pPr>
        <w:rPr>
          <w:rFonts w:eastAsia="Times New Roman"/>
          <w:lang w:val="en-US"/>
        </w:rPr>
      </w:pPr>
    </w:p>
    <w:p w:rsidR="004C762C" w:rsidRPr="00B04B06" w:rsidRDefault="004C762C" w:rsidP="004C762C">
      <w:pPr>
        <w:pStyle w:val="Heading2"/>
        <w:rPr>
          <w:lang w:val="fr-FR"/>
        </w:rPr>
      </w:pPr>
      <w:bookmarkStart w:id="186" w:name="_Toc394837898"/>
      <w:r w:rsidRPr="00B04B06">
        <w:rPr>
          <w:lang w:val="fr-FR"/>
        </w:rPr>
        <w:t xml:space="preserve">5.2. </w:t>
      </w:r>
      <w:r w:rsidRPr="0034237E">
        <w:rPr>
          <w:lang w:val="fr-FR"/>
        </w:rPr>
        <w:t>Procedurile de înființare a secretariatului comun</w:t>
      </w:r>
      <w:bookmarkEnd w:id="186"/>
    </w:p>
    <w:p w:rsidR="004C762C" w:rsidRDefault="00AE0155" w:rsidP="004C762C">
      <w:pPr>
        <w:rPr>
          <w:lang w:val="fr-FR"/>
        </w:rPr>
      </w:pPr>
      <w:r>
        <w:rPr>
          <w:lang w:val="fr-FR"/>
        </w:rPr>
        <w:t>In urma analiză</w:t>
      </w:r>
      <w:r w:rsidR="004C762C">
        <w:rPr>
          <w:lang w:val="fr-FR"/>
        </w:rPr>
        <w:t xml:space="preserve">rii mai multor scenarii, Grupul Comun de Lucru a decis sã menţinã Secretariatul Comun </w:t>
      </w:r>
      <w:r w:rsidR="00A158A9">
        <w:rPr>
          <w:lang w:val="fr-FR"/>
        </w:rPr>
        <w:t>în aceeași organizație, respectiv</w:t>
      </w:r>
      <w:r w:rsidR="004C762C">
        <w:rPr>
          <w:lang w:val="fr-FR"/>
        </w:rPr>
        <w:t xml:space="preserve"> (</w:t>
      </w:r>
      <w:r w:rsidR="00A158A9">
        <w:rPr>
          <w:lang w:val="fr-FR"/>
        </w:rPr>
        <w:t xml:space="preserve">Biroul Regional de Cooperare </w:t>
      </w:r>
      <w:r w:rsidR="00C036BE">
        <w:rPr>
          <w:lang w:val="fr-FR"/>
        </w:rPr>
        <w:t xml:space="preserve">Transfrontalieră </w:t>
      </w:r>
      <w:r w:rsidR="00A158A9">
        <w:rPr>
          <w:lang w:val="fr-FR"/>
        </w:rPr>
        <w:t>Călărași pentru Grani</w:t>
      </w:r>
      <w:r w:rsidR="00A158A9">
        <w:rPr>
          <w:lang w:val="ro-RO"/>
        </w:rPr>
        <w:t>ța România-Bulgaria</w:t>
      </w:r>
      <w:r w:rsidR="004C762C">
        <w:rPr>
          <w:lang w:val="fr-FR"/>
        </w:rPr>
        <w:t>) pentru perioada de programare 2014-2020, aşa cum s-a întâmplat în timpul programului de cooperare transfrontalierã România –Bulgaria 2007-2013, datoritã urmãtoarelor motive:</w:t>
      </w:r>
    </w:p>
    <w:p w:rsidR="004C762C" w:rsidRDefault="004C762C" w:rsidP="004C762C">
      <w:pPr>
        <w:numPr>
          <w:ilvl w:val="0"/>
          <w:numId w:val="28"/>
        </w:numPr>
        <w:spacing w:before="0" w:after="0"/>
        <w:rPr>
          <w:lang w:val="fr-FR"/>
        </w:rPr>
      </w:pPr>
      <w:r>
        <w:rPr>
          <w:lang w:val="fr-FR"/>
        </w:rPr>
        <w:t>Experienţa unei perioade integrale de  programare ne va permite sã demarãm implementarea noului program cât mai curând posibil (lansarea rapidã a apelurilor pentru propuneri dupã aprobarea programului pentru a asigura un nivel ridicat de  absorbţie)</w:t>
      </w:r>
    </w:p>
    <w:p w:rsidR="004C762C" w:rsidRDefault="004C762C" w:rsidP="004C762C">
      <w:pPr>
        <w:numPr>
          <w:ilvl w:val="0"/>
          <w:numId w:val="28"/>
        </w:numPr>
        <w:spacing w:before="0" w:after="0"/>
        <w:rPr>
          <w:lang w:val="fr-FR"/>
        </w:rPr>
      </w:pPr>
      <w:r>
        <w:rPr>
          <w:lang w:val="fr-FR"/>
        </w:rPr>
        <w:t xml:space="preserve">Biroul din Cãlãraşi este deja o instituţie de sine-stãtãtoare cu structuri funcţionale de management şi resurse umane multiculturale cu experienţã în managementul programului. Acest lucru va asigura costuri operaţionale reduse precum costurile de pregãtire </w:t>
      </w:r>
      <w:proofErr w:type="gramStart"/>
      <w:r>
        <w:rPr>
          <w:lang w:val="fr-FR"/>
        </w:rPr>
        <w:t>a</w:t>
      </w:r>
      <w:proofErr w:type="gramEnd"/>
      <w:r>
        <w:rPr>
          <w:lang w:val="fr-FR"/>
        </w:rPr>
        <w:t xml:space="preserve"> personalului. Într-adevãr, personalul din Cãlãraşi a fost deja pregãtit pentru perioada de programare 2014-2020.</w:t>
      </w:r>
    </w:p>
    <w:p w:rsidR="004C762C" w:rsidRDefault="004C762C" w:rsidP="004C762C">
      <w:pPr>
        <w:numPr>
          <w:ilvl w:val="0"/>
          <w:numId w:val="28"/>
        </w:numPr>
        <w:spacing w:before="0" w:after="0"/>
        <w:rPr>
          <w:lang w:val="fr-FR"/>
        </w:rPr>
      </w:pPr>
      <w:r>
        <w:rPr>
          <w:lang w:val="fr-FR"/>
        </w:rPr>
        <w:t>Procedurile de lucru din cadrul secretariatului comun actual au fost auditate şi pot fi actualizate în conformitate cu prevederile noilor regulamente UE şi a bunelor practici</w:t>
      </w:r>
    </w:p>
    <w:p w:rsidR="004C762C" w:rsidRDefault="004C762C" w:rsidP="004C762C">
      <w:pPr>
        <w:numPr>
          <w:ilvl w:val="0"/>
          <w:numId w:val="28"/>
        </w:numPr>
        <w:spacing w:before="0" w:after="0"/>
        <w:rPr>
          <w:lang w:val="fr-FR"/>
        </w:rPr>
      </w:pPr>
      <w:r>
        <w:rPr>
          <w:lang w:val="fr-FR"/>
        </w:rPr>
        <w:t>O bunã vizibilitate a programului şi informaţii transparente şi adecvate cu privire la beneficiari au fost furnizate în timpul perioadei anterioare de programare. Potrivit evaluãrii INTERACT din 2010, programul de cooperare transfrontalierã România-Bulgaria 2007-2013 este considerat a fi unul dintre cele mai transparente programe de cooperare europeanã teritorialã.</w:t>
      </w:r>
    </w:p>
    <w:p w:rsidR="004C762C" w:rsidRDefault="004C762C" w:rsidP="004C762C">
      <w:pPr>
        <w:rPr>
          <w:lang w:val="fr-FR"/>
        </w:rPr>
      </w:pPr>
      <w:r>
        <w:rPr>
          <w:lang w:val="fr-FR"/>
        </w:rPr>
        <w:t xml:space="preserve">Costurile activitãţilor secretariatului comun vor fi finanţate din bugetul </w:t>
      </w:r>
      <w:proofErr w:type="gramStart"/>
      <w:r>
        <w:rPr>
          <w:lang w:val="fr-FR"/>
        </w:rPr>
        <w:t>de asistenţã</w:t>
      </w:r>
      <w:proofErr w:type="gramEnd"/>
      <w:r>
        <w:rPr>
          <w:lang w:val="fr-FR"/>
        </w:rPr>
        <w:t xml:space="preserve"> tehnicã al programului dacã sunt în conformitate cu lista de activitãţi eligibile pentru finanţare. Personalul secretariatului comun va vorbi fluent limba românã</w:t>
      </w:r>
      <w:r w:rsidR="00A158A9">
        <w:rPr>
          <w:lang w:val="fr-FR"/>
        </w:rPr>
        <w:t>,</w:t>
      </w:r>
      <w:r w:rsidR="00470CA7">
        <w:rPr>
          <w:lang w:val="fr-FR"/>
        </w:rPr>
        <w:t xml:space="preserve"> limba bulgarã, precum ş</w:t>
      </w:r>
      <w:r>
        <w:rPr>
          <w:lang w:val="fr-FR"/>
        </w:rPr>
        <w:t>i limba englezã.</w:t>
      </w:r>
    </w:p>
    <w:p w:rsidR="004C762C" w:rsidRDefault="00470CA7" w:rsidP="004C762C">
      <w:pPr>
        <w:rPr>
          <w:lang w:val="en-US"/>
        </w:rPr>
      </w:pPr>
      <w:r>
        <w:rPr>
          <w:lang w:val="fr-FR"/>
        </w:rPr>
        <w:t>Instanţ</w:t>
      </w:r>
      <w:r w:rsidR="004C762C">
        <w:rPr>
          <w:lang w:val="fr-FR"/>
        </w:rPr>
        <w:t xml:space="preserve">ele programului au decis de asemenea înfiinţarea unei antene a secretariatului comun în Ruse, în zona bulgarã, pentru perioada de programare 2014-2020. Antena va avea </w:t>
      </w:r>
      <w:r>
        <w:rPr>
          <w:lang w:val="fr-FR"/>
        </w:rPr>
        <w:t>drept rol principal cel de a acţ</w:t>
      </w:r>
      <w:r w:rsidR="004C762C">
        <w:rPr>
          <w:lang w:val="fr-FR"/>
        </w:rPr>
        <w:t xml:space="preserve">iona ca un punct de contact pentru beneficiarii actuali sau potenţiali ai proiectului. </w:t>
      </w:r>
      <w:r w:rsidR="004C762C">
        <w:t xml:space="preserve">Antena </w:t>
      </w:r>
      <w:proofErr w:type="gramStart"/>
      <w:r w:rsidR="004C762C">
        <w:t>va</w:t>
      </w:r>
      <w:proofErr w:type="gramEnd"/>
      <w:r w:rsidR="004C762C">
        <w:t xml:space="preserve"> îndeplini urmãtoarele atribuţii:</w:t>
      </w:r>
    </w:p>
    <w:p w:rsidR="004C762C" w:rsidRDefault="004C762C" w:rsidP="004C762C">
      <w:pPr>
        <w:numPr>
          <w:ilvl w:val="0"/>
          <w:numId w:val="28"/>
        </w:numPr>
        <w:spacing w:before="0" w:after="0"/>
        <w:rPr>
          <w:lang w:val="fr-FR"/>
        </w:rPr>
      </w:pPr>
      <w:r>
        <w:rPr>
          <w:lang w:val="fr-FR"/>
        </w:rPr>
        <w:t xml:space="preserve">Activitãţi </w:t>
      </w:r>
      <w:proofErr w:type="gramStart"/>
      <w:r>
        <w:rPr>
          <w:lang w:val="fr-FR"/>
        </w:rPr>
        <w:t>de informare</w:t>
      </w:r>
      <w:proofErr w:type="gramEnd"/>
      <w:r>
        <w:rPr>
          <w:lang w:val="fr-FR"/>
        </w:rPr>
        <w:t xml:space="preserve"> şi comunicare </w:t>
      </w:r>
    </w:p>
    <w:p w:rsidR="00A158A9" w:rsidRPr="00A158A9" w:rsidRDefault="004C762C" w:rsidP="004C762C">
      <w:pPr>
        <w:numPr>
          <w:ilvl w:val="0"/>
          <w:numId w:val="28"/>
        </w:numPr>
        <w:spacing w:before="0" w:after="0"/>
        <w:rPr>
          <w:lang w:val="it-IT"/>
        </w:rPr>
      </w:pPr>
      <w:r w:rsidRPr="00A158A9">
        <w:rPr>
          <w:lang w:val="fr-FR"/>
        </w:rPr>
        <w:t xml:space="preserve">Monitorizarea proiectelor implementate </w:t>
      </w:r>
    </w:p>
    <w:p w:rsidR="004C762C" w:rsidRPr="00A158A9" w:rsidRDefault="004C762C" w:rsidP="004C762C">
      <w:pPr>
        <w:numPr>
          <w:ilvl w:val="0"/>
          <w:numId w:val="28"/>
        </w:numPr>
        <w:spacing w:before="0" w:after="0"/>
        <w:rPr>
          <w:lang w:val="it-IT"/>
        </w:rPr>
      </w:pPr>
      <w:r w:rsidRPr="00A158A9">
        <w:rPr>
          <w:lang w:val="it-IT"/>
        </w:rPr>
        <w:lastRenderedPageBreak/>
        <w:t>Asistenţã pentru beneficiarii potenţiali şi actuali</w:t>
      </w:r>
    </w:p>
    <w:p w:rsidR="004C762C" w:rsidRDefault="004C762C" w:rsidP="004C762C">
      <w:pPr>
        <w:rPr>
          <w:lang w:val="fr-FR"/>
        </w:rPr>
      </w:pPr>
      <w:r>
        <w:rPr>
          <w:lang w:val="fr-FR"/>
        </w:rPr>
        <w:t xml:space="preserve">Întrucât personalul secretariatului comun din cadrul programului de cooperare transfrontalierã România-Bulgaria 2007-2013 este deja pregãtit şi are experienţã, va prelua responsabilitãţi, conform experienţei fiecãrei persoane pentru programul de cooperare transfrontalierã România-Bulgaria 2014-2020. O nouã selecţie de personal va fi organizatã atât la secretariatul comun din Cãlãraşi cat şi </w:t>
      </w:r>
      <w:proofErr w:type="gramStart"/>
      <w:r>
        <w:rPr>
          <w:lang w:val="fr-FR"/>
        </w:rPr>
        <w:t>la Antena</w:t>
      </w:r>
      <w:proofErr w:type="gramEnd"/>
      <w:r>
        <w:rPr>
          <w:lang w:val="fr-FR"/>
        </w:rPr>
        <w:t xml:space="preserve"> din Ruse, prin intermediul unei proceduri transparente şi publice, asigurând oportunitãţi egale şi promovând egalitatea dintre sexe.</w:t>
      </w:r>
    </w:p>
    <w:p w:rsidR="004C762C" w:rsidRDefault="004C762C" w:rsidP="004C762C">
      <w:pPr>
        <w:rPr>
          <w:lang w:val="fr-FR"/>
        </w:rPr>
      </w:pPr>
      <w:r>
        <w:rPr>
          <w:lang w:val="fr-FR"/>
        </w:rPr>
        <w:t>Atât autoritatea de management, cât şi autoritatea naţionalã pot supraveghea procesul de selecţie pentru personalul secretariatului comun şi al Antenei. Prin urmare, un observator din partea autoritãţii de management/ autoritãţii naţionale va fi invitat sã participe la procesul de selecţie a personalului.</w:t>
      </w:r>
    </w:p>
    <w:p w:rsidR="004C762C" w:rsidRDefault="004C762C" w:rsidP="004C762C">
      <w:pPr>
        <w:rPr>
          <w:lang w:val="fr-FR"/>
        </w:rPr>
      </w:pPr>
    </w:p>
    <w:p w:rsidR="004C762C" w:rsidRPr="00B04B06" w:rsidRDefault="004C762C" w:rsidP="004C762C">
      <w:pPr>
        <w:pStyle w:val="Heading2"/>
        <w:rPr>
          <w:lang w:val="fr-FR"/>
        </w:rPr>
      </w:pPr>
      <w:bookmarkStart w:id="187" w:name="_Toc394837899"/>
      <w:r w:rsidRPr="00B04B06">
        <w:rPr>
          <w:lang w:val="fr-FR"/>
        </w:rPr>
        <w:t xml:space="preserve">5.3. </w:t>
      </w:r>
      <w:r w:rsidRPr="0034237E">
        <w:rPr>
          <w:lang w:val="fr-FR"/>
        </w:rPr>
        <w:t>O descriere pe scurt a acordurilor de management și control</w:t>
      </w:r>
      <w:bookmarkEnd w:id="187"/>
    </w:p>
    <w:p w:rsidR="004C762C" w:rsidRDefault="004C762C" w:rsidP="004C762C">
      <w:pPr>
        <w:rPr>
          <w:lang w:val="fr-FR"/>
        </w:rPr>
      </w:pPr>
      <w:r>
        <w:rPr>
          <w:lang w:val="fr-FR"/>
        </w:rPr>
        <w:t xml:space="preserve">Structura instituţionalã </w:t>
      </w:r>
      <w:proofErr w:type="gramStart"/>
      <w:r>
        <w:rPr>
          <w:lang w:val="fr-FR"/>
        </w:rPr>
        <w:t>a</w:t>
      </w:r>
      <w:proofErr w:type="gramEnd"/>
      <w:r>
        <w:rPr>
          <w:lang w:val="fr-FR"/>
        </w:rPr>
        <w:t xml:space="preserve"> programului include urmãtoarele instante: Autoritatea de Management (AM), care acţioneazã şi în calitate de Autoritatea de Certificare (AC), Autoritatea Naţionalã (AN) şi Comitetul de Monitorizare (CM), Autoritatea de Audit (AA), Secretariatul Comun (SC) şi sistemele de control de prim nivel din România şi Bulgaria.</w:t>
      </w:r>
    </w:p>
    <w:p w:rsidR="004C762C" w:rsidRDefault="004C762C" w:rsidP="004C762C">
      <w:pPr>
        <w:rPr>
          <w:lang w:val="fr-FR"/>
        </w:rPr>
      </w:pPr>
    </w:p>
    <w:p w:rsidR="004C762C" w:rsidRPr="00B04B06" w:rsidRDefault="004C762C" w:rsidP="004C762C">
      <w:pPr>
        <w:rPr>
          <w:b/>
          <w:lang w:val="fr-FR"/>
        </w:rPr>
      </w:pPr>
      <w:r w:rsidRPr="00B04B06">
        <w:rPr>
          <w:b/>
          <w:lang w:val="fr-FR"/>
        </w:rPr>
        <w:t xml:space="preserve">Autoritatea de Management (cu atribuţii suplimentare </w:t>
      </w:r>
      <w:proofErr w:type="gramStart"/>
      <w:r w:rsidRPr="00B04B06">
        <w:rPr>
          <w:b/>
          <w:lang w:val="fr-FR"/>
        </w:rPr>
        <w:t>de Autoritate</w:t>
      </w:r>
      <w:proofErr w:type="gramEnd"/>
      <w:r w:rsidRPr="00B04B06">
        <w:rPr>
          <w:b/>
          <w:lang w:val="fr-FR"/>
        </w:rPr>
        <w:t xml:space="preserve"> de Certificare)</w:t>
      </w:r>
    </w:p>
    <w:p w:rsidR="004C762C" w:rsidRDefault="004C762C" w:rsidP="004C762C">
      <w:pPr>
        <w:rPr>
          <w:lang w:val="fr-FR"/>
        </w:rPr>
      </w:pPr>
      <w:r>
        <w:rPr>
          <w:lang w:val="fr-FR"/>
        </w:rPr>
        <w:t>AM este responsabilã pentru managementul şi implementarea programului operaţional în conformitate cu principiile bunei gestiuni financiare şi prevederilor Art 125 (Atribuţiile AM), de asemenea pentru certificarea cheltuielilor cãtre UE aşa cum prevede art 21 din Regulamentul CTE şi articolul 126 (Atribuţiile AM) din CPR. AM are competenţe şi responsabilitãţi cu privire la managementul programulu</w:t>
      </w:r>
      <w:r w:rsidR="00781B91">
        <w:rPr>
          <w:lang w:val="fr-FR"/>
        </w:rPr>
        <w:t>i operaţional, selectarea operaţ</w:t>
      </w:r>
      <w:r>
        <w:rPr>
          <w:lang w:val="fr-FR"/>
        </w:rPr>
        <w:t>iunilor, managementul şi controlul financiar al programului, precum şi pentru certificarea cheltuielilor.</w:t>
      </w:r>
    </w:p>
    <w:p w:rsidR="004C762C" w:rsidRPr="0034237E" w:rsidRDefault="004C762C" w:rsidP="004C762C">
      <w:pPr>
        <w:rPr>
          <w:lang w:val="fr-FR"/>
        </w:rPr>
      </w:pPr>
      <w:r w:rsidRPr="00B04B06">
        <w:rPr>
          <w:i/>
          <w:lang w:val="fr-FR"/>
        </w:rPr>
        <w:t>Cât priveşte procedura de management a programului operaţional, autoritatea de management va:</w:t>
      </w:r>
    </w:p>
    <w:p w:rsidR="004C762C" w:rsidRPr="00800D5B" w:rsidRDefault="004C762C" w:rsidP="004C762C">
      <w:pPr>
        <w:pStyle w:val="ListParagraph"/>
        <w:numPr>
          <w:ilvl w:val="0"/>
          <w:numId w:val="40"/>
        </w:numPr>
        <w:rPr>
          <w:lang w:val="fr-FR"/>
        </w:rPr>
      </w:pPr>
      <w:r w:rsidRPr="00800D5B">
        <w:rPr>
          <w:lang w:val="fr-FR"/>
        </w:rPr>
        <w:t>susţine activitãţile CM la care se face referire în art 47 al regulamentului UE nr.1303/2013 (CPR) şi îi furnizeazã informaţiile solicitate pentru a-şi duce la îndeplinire sarcinile, în special date cu privire la progresul programului operaţional în atingerea obiectivelor, şi date cu privire la indicatori şi etape</w:t>
      </w:r>
    </w:p>
    <w:p w:rsidR="004C762C" w:rsidRPr="00800D5B" w:rsidRDefault="004C762C" w:rsidP="004C762C">
      <w:pPr>
        <w:pStyle w:val="ListParagraph"/>
        <w:numPr>
          <w:ilvl w:val="0"/>
          <w:numId w:val="40"/>
        </w:numPr>
        <w:rPr>
          <w:lang w:val="fr-FR"/>
        </w:rPr>
      </w:pPr>
      <w:r w:rsidRPr="00800D5B">
        <w:rPr>
          <w:lang w:val="fr-FR"/>
        </w:rPr>
        <w:t>redacteazã şi, dupã aprobarea CM, depune Comisiei rapoarte de implementare anuale şi finale aşa cum prevede art 50 din regulamentul UE nr.1303/2013(CPR)</w:t>
      </w:r>
    </w:p>
    <w:p w:rsidR="004C762C" w:rsidRPr="006C6828" w:rsidRDefault="004C762C" w:rsidP="004C762C">
      <w:pPr>
        <w:pStyle w:val="ListParagraph"/>
        <w:numPr>
          <w:ilvl w:val="0"/>
          <w:numId w:val="40"/>
        </w:numPr>
        <w:rPr>
          <w:lang w:val="fr-FR"/>
        </w:rPr>
      </w:pPr>
      <w:r w:rsidRPr="006C6828">
        <w:rPr>
          <w:lang w:val="fr-FR"/>
        </w:rPr>
        <w:t>furnizeazã secretariatului comun şi beneficiarilor informaţii relevante pentru îndeplinirea sarcinilor şi implementãrii operaţiunilor  respective</w:t>
      </w:r>
    </w:p>
    <w:p w:rsidR="004C762C" w:rsidRPr="006C6828" w:rsidRDefault="004C762C" w:rsidP="004C762C">
      <w:pPr>
        <w:pStyle w:val="ListParagraph"/>
        <w:numPr>
          <w:ilvl w:val="0"/>
          <w:numId w:val="40"/>
        </w:numPr>
        <w:rPr>
          <w:lang w:val="fr-FR"/>
        </w:rPr>
      </w:pPr>
      <w:r w:rsidRPr="006C6828">
        <w:rPr>
          <w:lang w:val="fr-FR"/>
        </w:rPr>
        <w:t>cre</w:t>
      </w:r>
      <w:r w:rsidR="00781B91" w:rsidRPr="006C6828">
        <w:rPr>
          <w:lang w:val="fr-FR"/>
        </w:rPr>
        <w:t>e</w:t>
      </w:r>
      <w:r w:rsidRPr="006C6828">
        <w:rPr>
          <w:lang w:val="fr-FR"/>
        </w:rPr>
        <w:t xml:space="preserve">aza un sistem </w:t>
      </w:r>
      <w:proofErr w:type="gramStart"/>
      <w:r w:rsidRPr="006C6828">
        <w:rPr>
          <w:lang w:val="fr-FR"/>
        </w:rPr>
        <w:t>de înregistrare</w:t>
      </w:r>
      <w:proofErr w:type="gramEnd"/>
      <w:r w:rsidRPr="006C6828">
        <w:rPr>
          <w:lang w:val="fr-FR"/>
        </w:rPr>
        <w:t xml:space="preserve"> şi stocare a datelor necesare monitorizãrii, evaluãrii, managementului financiar, verificãrii şi auditului în formã electronicã pentru fiecare operaţiune, inclusiv date despre persoanele fizice participante la aceste operaţiuni, dupã caz</w:t>
      </w:r>
    </w:p>
    <w:p w:rsidR="004C762C" w:rsidRPr="00800D5B" w:rsidRDefault="004C762C" w:rsidP="004C762C">
      <w:pPr>
        <w:pStyle w:val="ListParagraph"/>
        <w:numPr>
          <w:ilvl w:val="0"/>
          <w:numId w:val="40"/>
        </w:numPr>
        <w:rPr>
          <w:lang w:val="fr-FR"/>
        </w:rPr>
      </w:pPr>
      <w:r w:rsidRPr="00800D5B">
        <w:rPr>
          <w:lang w:val="fr-FR"/>
        </w:rPr>
        <w:lastRenderedPageBreak/>
        <w:t>se asigurã cã datele la care se face referire la punctul d) sunt colectate, introduse şi stocate în sistemul la care se face referire la punctul d)</w:t>
      </w:r>
    </w:p>
    <w:p w:rsidR="004C762C" w:rsidRPr="00B04B06" w:rsidRDefault="004C762C" w:rsidP="004C762C">
      <w:pPr>
        <w:rPr>
          <w:i/>
          <w:lang w:val="fr-FR"/>
        </w:rPr>
      </w:pPr>
      <w:r w:rsidRPr="00B04B06">
        <w:rPr>
          <w:i/>
          <w:lang w:val="fr-FR"/>
        </w:rPr>
        <w:t>Cât priveşte selectarea operaţiunilor, autoritatea de management susţinutã de secretariatul comun împreunã cu autoritatea naţionalã va:</w:t>
      </w:r>
    </w:p>
    <w:p w:rsidR="004C762C" w:rsidRPr="00800D5B" w:rsidRDefault="004C762C" w:rsidP="004C762C">
      <w:pPr>
        <w:pStyle w:val="ListParagraph"/>
        <w:numPr>
          <w:ilvl w:val="0"/>
          <w:numId w:val="41"/>
        </w:numPr>
        <w:rPr>
          <w:lang w:val="fr-FR"/>
        </w:rPr>
      </w:pPr>
      <w:r w:rsidRPr="00800D5B">
        <w:rPr>
          <w:lang w:val="fr-FR"/>
        </w:rPr>
        <w:t xml:space="preserve">redacta, şi </w:t>
      </w:r>
      <w:proofErr w:type="gramStart"/>
      <w:r w:rsidRPr="00800D5B">
        <w:rPr>
          <w:lang w:val="fr-FR"/>
        </w:rPr>
        <w:t>de îndatã</w:t>
      </w:r>
      <w:proofErr w:type="gramEnd"/>
      <w:r w:rsidRPr="00800D5B">
        <w:rPr>
          <w:lang w:val="fr-FR"/>
        </w:rPr>
        <w:t xml:space="preserve"> ce sunt  aprobate, va aplica procedurile şi criteriile de selecţie care:</w:t>
      </w:r>
    </w:p>
    <w:p w:rsidR="004C762C" w:rsidRPr="00800D5B" w:rsidRDefault="004C762C" w:rsidP="004C762C">
      <w:pPr>
        <w:pStyle w:val="ListParagraph"/>
        <w:numPr>
          <w:ilvl w:val="2"/>
          <w:numId w:val="42"/>
        </w:numPr>
        <w:rPr>
          <w:lang w:val="fr-FR"/>
        </w:rPr>
      </w:pPr>
      <w:r w:rsidRPr="00800D5B">
        <w:rPr>
          <w:lang w:val="fr-FR"/>
        </w:rPr>
        <w:t xml:space="preserve">asigurã contribuţia operaţiunilor </w:t>
      </w:r>
      <w:proofErr w:type="gramStart"/>
      <w:r w:rsidRPr="00800D5B">
        <w:rPr>
          <w:lang w:val="fr-FR"/>
        </w:rPr>
        <w:t>la atingerea</w:t>
      </w:r>
      <w:proofErr w:type="gramEnd"/>
      <w:r w:rsidRPr="00800D5B">
        <w:rPr>
          <w:lang w:val="fr-FR"/>
        </w:rPr>
        <w:t xml:space="preserve"> obiective</w:t>
      </w:r>
      <w:r>
        <w:rPr>
          <w:lang w:val="fr-FR"/>
        </w:rPr>
        <w:t xml:space="preserve">lor specifice şi a rezultatelor </w:t>
      </w:r>
      <w:r w:rsidR="002F418E">
        <w:rPr>
          <w:lang w:val="fr-FR"/>
        </w:rPr>
        <w:t>priorităţ</w:t>
      </w:r>
      <w:r>
        <w:rPr>
          <w:lang w:val="fr-FR"/>
        </w:rPr>
        <w:t>ii</w:t>
      </w:r>
      <w:r w:rsidRPr="00800D5B">
        <w:rPr>
          <w:lang w:val="fr-FR"/>
        </w:rPr>
        <w:t xml:space="preserve"> relevant</w:t>
      </w:r>
      <w:r>
        <w:rPr>
          <w:lang w:val="fr-FR"/>
        </w:rPr>
        <w:t>e</w:t>
      </w:r>
    </w:p>
    <w:p w:rsidR="004C762C" w:rsidRPr="00800D5B" w:rsidRDefault="004C762C" w:rsidP="004C762C">
      <w:pPr>
        <w:pStyle w:val="ListParagraph"/>
        <w:numPr>
          <w:ilvl w:val="2"/>
          <w:numId w:val="42"/>
        </w:numPr>
        <w:rPr>
          <w:lang w:val="fr-FR"/>
        </w:rPr>
      </w:pPr>
      <w:r w:rsidRPr="00800D5B">
        <w:rPr>
          <w:lang w:val="fr-FR"/>
        </w:rPr>
        <w:t>sunt non-discriminatorii şi transparente</w:t>
      </w:r>
    </w:p>
    <w:p w:rsidR="004C762C" w:rsidRPr="00800D5B" w:rsidRDefault="004C762C" w:rsidP="004C762C">
      <w:pPr>
        <w:pStyle w:val="ListParagraph"/>
        <w:numPr>
          <w:ilvl w:val="2"/>
          <w:numId w:val="42"/>
        </w:numPr>
        <w:rPr>
          <w:lang w:val="fr-FR"/>
        </w:rPr>
      </w:pPr>
      <w:r w:rsidRPr="00800D5B">
        <w:rPr>
          <w:lang w:val="fr-FR"/>
        </w:rPr>
        <w:t xml:space="preserve">iau în considerare principiile generale prevãzute </w:t>
      </w:r>
      <w:proofErr w:type="gramStart"/>
      <w:r w:rsidRPr="00800D5B">
        <w:rPr>
          <w:lang w:val="fr-FR"/>
        </w:rPr>
        <w:t>de articolele</w:t>
      </w:r>
      <w:proofErr w:type="gramEnd"/>
      <w:r w:rsidRPr="00800D5B">
        <w:rPr>
          <w:lang w:val="fr-FR"/>
        </w:rPr>
        <w:t xml:space="preserve"> 7 şi 8 din Regulamentul UE nr.1303/2013 (promovarea egalitãţii între sexe, non-discriminarea şi dezvoltarea sustenabilã)</w:t>
      </w:r>
    </w:p>
    <w:p w:rsidR="004C762C" w:rsidRPr="00800D5B" w:rsidRDefault="004C762C" w:rsidP="004C762C">
      <w:pPr>
        <w:pStyle w:val="ListParagraph"/>
        <w:numPr>
          <w:ilvl w:val="0"/>
          <w:numId w:val="41"/>
        </w:numPr>
        <w:rPr>
          <w:lang w:val="fr-FR"/>
        </w:rPr>
      </w:pPr>
      <w:r>
        <w:rPr>
          <w:lang w:val="fr-FR"/>
        </w:rPr>
        <w:t>se asigura</w:t>
      </w:r>
      <w:r w:rsidRPr="00800D5B">
        <w:rPr>
          <w:lang w:val="fr-FR"/>
        </w:rPr>
        <w:t xml:space="preserve"> cã o operaţiune selectatã îndeplineşte scopul Fondului sau Fondurilor implicate şi pot fi atribuite unei categorii de intervenţi</w:t>
      </w:r>
      <w:r>
        <w:rPr>
          <w:lang w:val="fr-FR"/>
        </w:rPr>
        <w:t>e</w:t>
      </w:r>
    </w:p>
    <w:p w:rsidR="004C762C" w:rsidRPr="00800D5B" w:rsidRDefault="004C762C" w:rsidP="004C762C">
      <w:pPr>
        <w:pStyle w:val="ListParagraph"/>
        <w:numPr>
          <w:ilvl w:val="0"/>
          <w:numId w:val="41"/>
        </w:numPr>
        <w:rPr>
          <w:lang w:val="fr-FR"/>
        </w:rPr>
      </w:pPr>
      <w:r w:rsidRPr="00800D5B">
        <w:rPr>
          <w:lang w:val="fr-FR"/>
        </w:rPr>
        <w:t xml:space="preserve">se asigurã cã beneficiarului i se furnizeazã un document care stabileşte condiţiile pentru susţinerea fiecãrei operaţiuni inclusiv cerinţele specifice cu privire la produsele şi serviciile care vor fi livrate în cadrul </w:t>
      </w:r>
      <w:r>
        <w:rPr>
          <w:lang w:val="fr-FR"/>
        </w:rPr>
        <w:t>fiecarei</w:t>
      </w:r>
      <w:r w:rsidRPr="00800D5B">
        <w:rPr>
          <w:lang w:val="fr-FR"/>
        </w:rPr>
        <w:t xml:space="preserve"> operaţiuni, planul de finanţare şi timpul limitã de execuţie</w:t>
      </w:r>
    </w:p>
    <w:p w:rsidR="004C762C" w:rsidRPr="00800D5B" w:rsidRDefault="009D4667" w:rsidP="004C762C">
      <w:pPr>
        <w:pStyle w:val="ListParagraph"/>
        <w:numPr>
          <w:ilvl w:val="0"/>
          <w:numId w:val="41"/>
        </w:numPr>
        <w:rPr>
          <w:lang w:val="fr-FR"/>
        </w:rPr>
      </w:pPr>
      <w:r>
        <w:rPr>
          <w:lang w:val="fr-FR"/>
        </w:rPr>
        <w:t>se asigură că</w:t>
      </w:r>
      <w:r w:rsidR="004C762C" w:rsidRPr="00800D5B">
        <w:rPr>
          <w:lang w:val="fr-FR"/>
        </w:rPr>
        <w:t xml:space="preserve"> beneficiarul are capacitatea administrative, financiarã şi operaţionalã de a îndeplini condiţiile la care se face referire la punctul c) înaintea aprobãrii operaţiunii</w:t>
      </w:r>
    </w:p>
    <w:p w:rsidR="004C762C" w:rsidRPr="00800D5B" w:rsidRDefault="009D4667" w:rsidP="004C762C">
      <w:pPr>
        <w:pStyle w:val="ListParagraph"/>
        <w:numPr>
          <w:ilvl w:val="0"/>
          <w:numId w:val="41"/>
        </w:numPr>
        <w:rPr>
          <w:lang w:val="fr-FR"/>
        </w:rPr>
      </w:pPr>
      <w:r>
        <w:rPr>
          <w:lang w:val="fr-FR"/>
        </w:rPr>
        <w:t>se asigură că</w:t>
      </w:r>
      <w:r w:rsidR="004C762C" w:rsidRPr="00800D5B">
        <w:rPr>
          <w:lang w:val="fr-FR"/>
        </w:rPr>
        <w:t>,</w:t>
      </w:r>
      <w:r>
        <w:rPr>
          <w:lang w:val="fr-FR"/>
        </w:rPr>
        <w:t xml:space="preserve"> în masura î</w:t>
      </w:r>
      <w:r w:rsidR="004C762C">
        <w:rPr>
          <w:lang w:val="fr-FR"/>
        </w:rPr>
        <w:t>n care</w:t>
      </w:r>
      <w:r w:rsidR="004C762C" w:rsidRPr="00800D5B">
        <w:rPr>
          <w:lang w:val="fr-FR"/>
        </w:rPr>
        <w:t xml:space="preserve"> operaţiunea a demarat înainte de depunerea unei aplicaţii pentru finanţare la autoritatea de management, aceasta este în conformitate cu legea aplicabiã în speţã</w:t>
      </w:r>
    </w:p>
    <w:p w:rsidR="004C762C" w:rsidRPr="00800D5B" w:rsidRDefault="004C762C" w:rsidP="004C762C">
      <w:pPr>
        <w:pStyle w:val="ListParagraph"/>
        <w:numPr>
          <w:ilvl w:val="0"/>
          <w:numId w:val="41"/>
        </w:numPr>
        <w:rPr>
          <w:lang w:val="fr-FR"/>
        </w:rPr>
      </w:pPr>
      <w:r w:rsidRPr="00800D5B">
        <w:rPr>
          <w:lang w:val="fr-FR"/>
        </w:rPr>
        <w:t>asigurã faptul cã operaţiunile selectate pentru susţinerea financiarã din partea Fondu</w:t>
      </w:r>
      <w:r>
        <w:rPr>
          <w:lang w:val="fr-FR"/>
        </w:rPr>
        <w:t>rilor</w:t>
      </w:r>
      <w:r w:rsidRPr="00800D5B">
        <w:rPr>
          <w:lang w:val="fr-FR"/>
        </w:rPr>
        <w:t xml:space="preserve"> nu includ activitãţi care au fost parte dntr-o operaţiune care a fost sau ar fi trebuit sã fie supusã unei proceduri de recuperare, conform art 17 din Regulamentul UE nr. 1303/2013 (CPR) în urma relocãrii unei activitãţi de producţie în afara </w:t>
      </w:r>
      <w:r>
        <w:rPr>
          <w:lang w:val="fr-FR"/>
        </w:rPr>
        <w:t>zonei</w:t>
      </w:r>
      <w:r w:rsidRPr="00800D5B">
        <w:rPr>
          <w:lang w:val="fr-FR"/>
        </w:rPr>
        <w:t xml:space="preserve"> programului</w:t>
      </w:r>
    </w:p>
    <w:p w:rsidR="004C762C" w:rsidRPr="00800D5B" w:rsidRDefault="004C762C" w:rsidP="004C762C">
      <w:pPr>
        <w:pStyle w:val="ListParagraph"/>
        <w:numPr>
          <w:ilvl w:val="0"/>
          <w:numId w:val="41"/>
        </w:numPr>
        <w:rPr>
          <w:lang w:val="fr-FR"/>
        </w:rPr>
      </w:pPr>
      <w:r w:rsidRPr="00800D5B">
        <w:rPr>
          <w:lang w:val="fr-FR"/>
        </w:rPr>
        <w:t xml:space="preserve">determinã categoriile </w:t>
      </w:r>
      <w:proofErr w:type="gramStart"/>
      <w:r w:rsidRPr="00800D5B">
        <w:rPr>
          <w:lang w:val="fr-FR"/>
        </w:rPr>
        <w:t>de intervenţii</w:t>
      </w:r>
      <w:proofErr w:type="gramEnd"/>
      <w:r w:rsidRPr="00800D5B">
        <w:rPr>
          <w:lang w:val="fr-FR"/>
        </w:rPr>
        <w:t xml:space="preserve"> cãrora le vor fi atribuite cheltuielile alocate unei operaţiuni</w:t>
      </w:r>
    </w:p>
    <w:p w:rsidR="004C762C" w:rsidRPr="00B04B06" w:rsidRDefault="004C762C" w:rsidP="004C762C">
      <w:pPr>
        <w:rPr>
          <w:i/>
          <w:lang w:val="fr-FR"/>
        </w:rPr>
      </w:pPr>
      <w:r w:rsidRPr="00B04B06">
        <w:rPr>
          <w:i/>
          <w:lang w:val="fr-FR"/>
        </w:rPr>
        <w:t>Cât priveşte managementul financiar şi controlul programului operaţional, autoritatea de management:</w:t>
      </w:r>
    </w:p>
    <w:p w:rsidR="004C762C" w:rsidRPr="00800D5B" w:rsidRDefault="004C762C" w:rsidP="004C762C">
      <w:pPr>
        <w:pStyle w:val="ListParagraph"/>
        <w:numPr>
          <w:ilvl w:val="0"/>
          <w:numId w:val="43"/>
        </w:numPr>
        <w:rPr>
          <w:lang w:val="fr-FR"/>
        </w:rPr>
      </w:pPr>
      <w:r w:rsidRPr="00800D5B">
        <w:rPr>
          <w:lang w:val="fr-FR"/>
        </w:rPr>
        <w:t>se va asigura cã beneficiarii implicaţi în operaţiuni rambursa</w:t>
      </w:r>
      <w:r>
        <w:rPr>
          <w:lang w:val="fr-FR"/>
        </w:rPr>
        <w:t>te</w:t>
      </w:r>
      <w:r w:rsidR="004963A2">
        <w:rPr>
          <w:lang w:val="fr-FR"/>
        </w:rPr>
        <w:t xml:space="preserve"> </w:t>
      </w:r>
      <w:r>
        <w:rPr>
          <w:lang w:val="fr-FR"/>
        </w:rPr>
        <w:t>pe</w:t>
      </w:r>
      <w:r w:rsidRPr="00800D5B">
        <w:rPr>
          <w:lang w:val="fr-FR"/>
        </w:rPr>
        <w:t xml:space="preserve"> baz</w:t>
      </w:r>
      <w:r>
        <w:rPr>
          <w:lang w:val="fr-FR"/>
        </w:rPr>
        <w:t>a principiului costurilor eligibile</w:t>
      </w:r>
      <w:r w:rsidRPr="00800D5B">
        <w:rPr>
          <w:lang w:val="fr-FR"/>
        </w:rPr>
        <w:t xml:space="preserve"> efectiv</w:t>
      </w:r>
      <w:r w:rsidR="00BB7879">
        <w:rPr>
          <w:lang w:val="fr-FR"/>
        </w:rPr>
        <w:t xml:space="preserve"> suportate, deţin şi utilizează</w:t>
      </w:r>
      <w:r w:rsidRPr="00800D5B">
        <w:rPr>
          <w:lang w:val="fr-FR"/>
        </w:rPr>
        <w:t xml:space="preserve"> fie un sistem separat de contabilitate, fie un cod adecvat de contabil</w:t>
      </w:r>
      <w:r>
        <w:rPr>
          <w:lang w:val="fr-FR"/>
        </w:rPr>
        <w:t xml:space="preserve">itate pentru toate tranzacţiile legate de aceste </w:t>
      </w:r>
      <w:r w:rsidRPr="00800D5B">
        <w:rPr>
          <w:lang w:val="fr-FR"/>
        </w:rPr>
        <w:t>operaţiun</w:t>
      </w:r>
      <w:r>
        <w:rPr>
          <w:lang w:val="fr-FR"/>
        </w:rPr>
        <w:t>i</w:t>
      </w:r>
      <w:r w:rsidRPr="00800D5B">
        <w:rPr>
          <w:lang w:val="fr-FR"/>
        </w:rPr>
        <w:t>;</w:t>
      </w:r>
    </w:p>
    <w:p w:rsidR="004C762C" w:rsidRPr="00800D5B" w:rsidRDefault="004C762C" w:rsidP="004C762C">
      <w:pPr>
        <w:pStyle w:val="ListParagraph"/>
        <w:numPr>
          <w:ilvl w:val="0"/>
          <w:numId w:val="43"/>
        </w:numPr>
        <w:rPr>
          <w:lang w:val="fr-FR"/>
        </w:rPr>
      </w:pPr>
      <w:r w:rsidRPr="00800D5B">
        <w:rPr>
          <w:lang w:val="fr-FR"/>
        </w:rPr>
        <w:t>va adopta mãsuri anti-fraudã eficiente şi proporţionale luând î</w:t>
      </w:r>
      <w:r>
        <w:rPr>
          <w:lang w:val="fr-FR"/>
        </w:rPr>
        <w:t>n</w:t>
      </w:r>
      <w:r w:rsidRPr="00800D5B">
        <w:rPr>
          <w:lang w:val="fr-FR"/>
        </w:rPr>
        <w:t xml:space="preserve"> considerare riscurile identificate</w:t>
      </w:r>
    </w:p>
    <w:p w:rsidR="004C762C" w:rsidRPr="00800D5B" w:rsidRDefault="004C762C" w:rsidP="004C762C">
      <w:pPr>
        <w:pStyle w:val="ListParagraph"/>
        <w:numPr>
          <w:ilvl w:val="0"/>
          <w:numId w:val="43"/>
        </w:numPr>
        <w:rPr>
          <w:lang w:val="fr-FR"/>
        </w:rPr>
      </w:pPr>
      <w:r w:rsidRPr="00800D5B">
        <w:rPr>
          <w:lang w:val="fr-FR"/>
        </w:rPr>
        <w:t>va stabili proceduri pentru a se asigura cã toate documentele cu privire la cheltuielile şi auditul solicitate pentru efectuarea auditului sunt pãstrate în conformitate cu cerinţele punctului g) art 72 din regulamentul UE nr.1303/2013 (CPR)</w:t>
      </w:r>
    </w:p>
    <w:p w:rsidR="004C762C" w:rsidRPr="00800D5B" w:rsidRDefault="004C762C" w:rsidP="004C762C">
      <w:pPr>
        <w:pStyle w:val="ListParagraph"/>
        <w:numPr>
          <w:ilvl w:val="0"/>
          <w:numId w:val="43"/>
        </w:numPr>
        <w:rPr>
          <w:lang w:val="fr-FR"/>
        </w:rPr>
      </w:pPr>
      <w:r w:rsidRPr="00800D5B">
        <w:rPr>
          <w:lang w:val="fr-FR"/>
        </w:rPr>
        <w:t xml:space="preserve">va redacta declaraţia </w:t>
      </w:r>
      <w:r>
        <w:rPr>
          <w:lang w:val="fr-FR"/>
        </w:rPr>
        <w:t xml:space="preserve">de </w:t>
      </w:r>
      <w:r w:rsidRPr="00800D5B">
        <w:rPr>
          <w:lang w:val="fr-FR"/>
        </w:rPr>
        <w:t>management şi rezumatul anual la care se face referire la punctele a) şi b) din art 59 (5) al Regulamentului Financiar</w:t>
      </w:r>
    </w:p>
    <w:p w:rsidR="004C762C" w:rsidRDefault="004C762C" w:rsidP="004C762C">
      <w:pPr>
        <w:rPr>
          <w:lang w:val="fr-FR"/>
        </w:rPr>
      </w:pPr>
      <w:r>
        <w:rPr>
          <w:lang w:val="fr-FR"/>
        </w:rPr>
        <w:lastRenderedPageBreak/>
        <w:t>În conformitate cu art 123 paragraful 3 din regulamentul UE 1303/2013, autoritatea de management va îndeplini, de asemenea, atribuţiile autoritãţii de certificare. Aceastã modificare se bazeazã pe experienţa programului de cooperare transfrontalierã România-Bulgaria 2007-2013. Comisia Europeanã va rambursa cheltuielile documentate direct într-un cont bancar special al Ministerului Dezv</w:t>
      </w:r>
      <w:r w:rsidR="00BD4AFE">
        <w:rPr>
          <w:lang w:val="fr-FR"/>
        </w:rPr>
        <w:t>oltarii Regionale şi Administraţ</w:t>
      </w:r>
      <w:r>
        <w:rPr>
          <w:lang w:val="fr-FR"/>
        </w:rPr>
        <w:t>iei Publice.</w:t>
      </w:r>
    </w:p>
    <w:p w:rsidR="004C762C" w:rsidRPr="00B04B06" w:rsidRDefault="004C762C" w:rsidP="004C762C">
      <w:pPr>
        <w:rPr>
          <w:i/>
          <w:lang w:val="fr-FR"/>
        </w:rPr>
      </w:pPr>
      <w:r w:rsidRPr="00B04B06">
        <w:rPr>
          <w:i/>
          <w:lang w:val="fr-FR"/>
        </w:rPr>
        <w:t>Cât priveşte documentarea cheltuielilor, autoritatea de management este responsabilã pentru:</w:t>
      </w:r>
    </w:p>
    <w:p w:rsidR="004C762C" w:rsidRPr="00800D5B" w:rsidRDefault="004C762C" w:rsidP="004C762C">
      <w:pPr>
        <w:pStyle w:val="ListParagraph"/>
        <w:numPr>
          <w:ilvl w:val="0"/>
          <w:numId w:val="44"/>
        </w:numPr>
        <w:rPr>
          <w:lang w:val="fr-FR"/>
        </w:rPr>
      </w:pPr>
      <w:r w:rsidRPr="00800D5B">
        <w:rPr>
          <w:lang w:val="fr-FR"/>
        </w:rPr>
        <w:t xml:space="preserve">redactarea şi depunerea documentaţiei </w:t>
      </w:r>
      <w:r w:rsidR="001C0D4D">
        <w:rPr>
          <w:lang w:val="fr-FR"/>
        </w:rPr>
        <w:t>de plată</w:t>
      </w:r>
      <w:r w:rsidRPr="00800D5B">
        <w:rPr>
          <w:lang w:val="fr-FR"/>
        </w:rPr>
        <w:t xml:space="preserve"> cãtre Comisie şi certificarea faptului cã </w:t>
      </w:r>
      <w:r>
        <w:rPr>
          <w:lang w:val="fr-FR"/>
        </w:rPr>
        <w:t>acestea</w:t>
      </w:r>
      <w:r w:rsidRPr="00800D5B">
        <w:rPr>
          <w:lang w:val="fr-FR"/>
        </w:rPr>
        <w:t xml:space="preserve"> rezultã în urma unui sistem sigur de contabilitate, se bazeazã pe documente doveditoare verificabile şi au fost supuse verificãrilor din partea autoritãţii de management</w:t>
      </w:r>
    </w:p>
    <w:p w:rsidR="004C762C" w:rsidRPr="00800D5B" w:rsidRDefault="004C762C" w:rsidP="004C762C">
      <w:pPr>
        <w:pStyle w:val="ListParagraph"/>
        <w:numPr>
          <w:ilvl w:val="0"/>
          <w:numId w:val="44"/>
        </w:numPr>
        <w:rPr>
          <w:lang w:val="fr-FR"/>
        </w:rPr>
      </w:pPr>
      <w:r w:rsidRPr="00800D5B">
        <w:rPr>
          <w:lang w:val="fr-FR"/>
        </w:rPr>
        <w:t>redactarea conturilor anuale la care se face referire la punctul a) din art  59 (5) al Regulamentului Financiar</w:t>
      </w:r>
    </w:p>
    <w:p w:rsidR="004C762C" w:rsidRPr="00800D5B" w:rsidRDefault="004C762C" w:rsidP="004C762C">
      <w:pPr>
        <w:pStyle w:val="ListParagraph"/>
        <w:numPr>
          <w:ilvl w:val="0"/>
          <w:numId w:val="44"/>
        </w:numPr>
        <w:rPr>
          <w:lang w:val="fr-FR"/>
        </w:rPr>
      </w:pPr>
      <w:r w:rsidRPr="00800D5B">
        <w:rPr>
          <w:lang w:val="fr-FR"/>
        </w:rPr>
        <w:t xml:space="preserve">certificarea completitudinii, exactitãţii şi veridicitãţii conturilor anuale şi a faptului cã toate cheltuielile incluse în aceste conturi sunt în conformitate cu legea aplicabilã şi cã au fost </w:t>
      </w:r>
      <w:r>
        <w:rPr>
          <w:lang w:val="fr-FR"/>
        </w:rPr>
        <w:t>efectutate</w:t>
      </w:r>
      <w:r w:rsidR="001C0D4D">
        <w:rPr>
          <w:lang w:val="fr-FR"/>
        </w:rPr>
        <w:t xml:space="preserve"> în legatură</w:t>
      </w:r>
      <w:r>
        <w:rPr>
          <w:lang w:val="fr-FR"/>
        </w:rPr>
        <w:t xml:space="preserve"> cu</w:t>
      </w:r>
      <w:r w:rsidRPr="00800D5B">
        <w:rPr>
          <w:lang w:val="fr-FR"/>
        </w:rPr>
        <w:t xml:space="preserve"> operaţiunile selectate pentru finanţare potrivit criteriilor aplicabile programului operaţional, şi legii în speţã</w:t>
      </w:r>
    </w:p>
    <w:p w:rsidR="004C762C" w:rsidRPr="00800D5B" w:rsidRDefault="001C0D4D" w:rsidP="004C762C">
      <w:pPr>
        <w:pStyle w:val="ListParagraph"/>
        <w:numPr>
          <w:ilvl w:val="0"/>
          <w:numId w:val="44"/>
        </w:numPr>
        <w:rPr>
          <w:lang w:val="fr-FR"/>
        </w:rPr>
      </w:pPr>
      <w:r>
        <w:rPr>
          <w:lang w:val="fr-FR"/>
        </w:rPr>
        <w:t>asigurarea existenţ</w:t>
      </w:r>
      <w:r w:rsidR="004C762C">
        <w:rPr>
          <w:lang w:val="fr-FR"/>
        </w:rPr>
        <w:t>ei</w:t>
      </w:r>
      <w:r w:rsidR="004C762C" w:rsidRPr="00800D5B">
        <w:rPr>
          <w:lang w:val="fr-FR"/>
        </w:rPr>
        <w:t xml:space="preserve"> unui sistem care înregistreazã şi stocheazã în formã electronicã înregistrãrile contabile pentru fiecare operaţiune şi care include toate datele solicitate pentru </w:t>
      </w:r>
      <w:r w:rsidR="004C762C">
        <w:rPr>
          <w:lang w:val="fr-FR"/>
        </w:rPr>
        <w:t>elabora</w:t>
      </w:r>
      <w:r w:rsidR="004C762C" w:rsidRPr="00800D5B">
        <w:rPr>
          <w:lang w:val="fr-FR"/>
        </w:rPr>
        <w:t xml:space="preserve">rea documentaţiei </w:t>
      </w:r>
      <w:r w:rsidR="004C762C">
        <w:rPr>
          <w:lang w:val="fr-FR"/>
        </w:rPr>
        <w:t>pentru plata</w:t>
      </w:r>
      <w:r w:rsidR="004C762C" w:rsidRPr="00800D5B">
        <w:rPr>
          <w:lang w:val="fr-FR"/>
        </w:rPr>
        <w:t xml:space="preserve"> şi</w:t>
      </w:r>
      <w:r w:rsidR="004C762C">
        <w:rPr>
          <w:lang w:val="fr-FR"/>
        </w:rPr>
        <w:t xml:space="preserve"> a raporta</w:t>
      </w:r>
      <w:r w:rsidR="004C762C" w:rsidRPr="00800D5B">
        <w:rPr>
          <w:lang w:val="fr-FR"/>
        </w:rPr>
        <w:t xml:space="preserve">rilor, inclusiv înregistrãri ale sumelor </w:t>
      </w:r>
      <w:r w:rsidR="004C762C">
        <w:rPr>
          <w:lang w:val="fr-FR"/>
        </w:rPr>
        <w:t xml:space="preserve">de </w:t>
      </w:r>
      <w:r w:rsidR="004C762C" w:rsidRPr="00800D5B">
        <w:rPr>
          <w:lang w:val="fr-FR"/>
        </w:rPr>
        <w:t>recuperat,</w:t>
      </w:r>
      <w:r w:rsidR="004C762C">
        <w:rPr>
          <w:lang w:val="fr-FR"/>
        </w:rPr>
        <w:t xml:space="preserve"> sumelor recuperate</w:t>
      </w:r>
      <w:r w:rsidR="004C762C" w:rsidRPr="00800D5B">
        <w:rPr>
          <w:lang w:val="fr-FR"/>
        </w:rPr>
        <w:t xml:space="preserve"> şi a sumelor restrase în urma anulãrii întregii sau unei pãrţi din contribuţia financiarã pentru o operaţiune sau un program operaţional</w:t>
      </w:r>
    </w:p>
    <w:p w:rsidR="004C762C" w:rsidRPr="00800D5B" w:rsidRDefault="004C762C" w:rsidP="004C762C">
      <w:pPr>
        <w:pStyle w:val="ListParagraph"/>
        <w:numPr>
          <w:ilvl w:val="0"/>
          <w:numId w:val="44"/>
        </w:numPr>
        <w:rPr>
          <w:lang w:val="fr-FR"/>
        </w:rPr>
      </w:pPr>
      <w:r w:rsidRPr="00800D5B">
        <w:rPr>
          <w:lang w:val="fr-FR"/>
        </w:rPr>
        <w:t xml:space="preserve">asigurarea faptului cã în scopul redactãrii şi depunerii aplicaţiilor </w:t>
      </w:r>
      <w:r>
        <w:rPr>
          <w:lang w:val="fr-FR"/>
        </w:rPr>
        <w:t>pentru plata</w:t>
      </w:r>
      <w:r w:rsidRPr="00800D5B">
        <w:rPr>
          <w:lang w:val="fr-FR"/>
        </w:rPr>
        <w:t xml:space="preserve"> au fost obţinute informaţii adecvate din partea controlorilor asupra procedurilor şi verificãrilor derulate în legãturã cu cheltuielile re</w:t>
      </w:r>
      <w:r>
        <w:rPr>
          <w:lang w:val="fr-FR"/>
        </w:rPr>
        <w:t>levante</w:t>
      </w:r>
    </w:p>
    <w:p w:rsidR="004C762C" w:rsidRPr="00800D5B" w:rsidRDefault="004C762C" w:rsidP="004C762C">
      <w:pPr>
        <w:pStyle w:val="ListParagraph"/>
        <w:numPr>
          <w:ilvl w:val="0"/>
          <w:numId w:val="44"/>
        </w:numPr>
        <w:rPr>
          <w:lang w:val="fr-FR"/>
        </w:rPr>
      </w:pPr>
      <w:r w:rsidRPr="00800D5B">
        <w:rPr>
          <w:lang w:val="fr-FR"/>
        </w:rPr>
        <w:t xml:space="preserve">luarea în considerare în momentul redactãrii şi depunerii documentaţiei </w:t>
      </w:r>
      <w:r>
        <w:rPr>
          <w:lang w:val="fr-FR"/>
        </w:rPr>
        <w:t>pentru plata</w:t>
      </w:r>
      <w:r w:rsidRPr="00800D5B">
        <w:rPr>
          <w:lang w:val="fr-FR"/>
        </w:rPr>
        <w:t xml:space="preserve"> a rezultatelor auditului derulat de sau care se aflã în responsabilitatea autoritãţii de audit</w:t>
      </w:r>
    </w:p>
    <w:p w:rsidR="004C762C" w:rsidRPr="00800D5B" w:rsidRDefault="004C762C" w:rsidP="004C762C">
      <w:pPr>
        <w:pStyle w:val="ListParagraph"/>
        <w:numPr>
          <w:ilvl w:val="0"/>
          <w:numId w:val="44"/>
        </w:numPr>
        <w:rPr>
          <w:lang w:val="fr-FR"/>
        </w:rPr>
      </w:pPr>
      <w:r>
        <w:rPr>
          <w:lang w:val="fr-FR"/>
        </w:rPr>
        <w:t>pastrarea</w:t>
      </w:r>
      <w:r w:rsidRPr="00800D5B">
        <w:rPr>
          <w:lang w:val="fr-FR"/>
        </w:rPr>
        <w:t xml:space="preserve">, în formã electronicã, a înregistrãrilor </w:t>
      </w:r>
      <w:r>
        <w:rPr>
          <w:lang w:val="fr-FR"/>
        </w:rPr>
        <w:t>contabile</w:t>
      </w:r>
      <w:r w:rsidRPr="00800D5B">
        <w:rPr>
          <w:lang w:val="fr-FR"/>
        </w:rPr>
        <w:t xml:space="preserve"> cu privire la cheltuielile declarate Comisiei şi la contribuţia publicã </w:t>
      </w:r>
      <w:r>
        <w:rPr>
          <w:lang w:val="fr-FR"/>
        </w:rPr>
        <w:t>aferenta</w:t>
      </w:r>
      <w:r w:rsidRPr="00800D5B">
        <w:rPr>
          <w:lang w:val="fr-FR"/>
        </w:rPr>
        <w:t xml:space="preserve"> plãtitã cãtre beneficiari</w:t>
      </w:r>
    </w:p>
    <w:p w:rsidR="004C762C" w:rsidRPr="00800D5B" w:rsidRDefault="004C762C" w:rsidP="004C762C">
      <w:pPr>
        <w:pStyle w:val="ListParagraph"/>
        <w:numPr>
          <w:ilvl w:val="0"/>
          <w:numId w:val="44"/>
        </w:numPr>
        <w:rPr>
          <w:lang w:val="fr-FR"/>
        </w:rPr>
      </w:pPr>
      <w:r w:rsidRPr="00800D5B">
        <w:rPr>
          <w:lang w:val="fr-FR"/>
        </w:rPr>
        <w:t>pãstrarea un</w:t>
      </w:r>
      <w:r>
        <w:rPr>
          <w:lang w:val="fr-FR"/>
        </w:rPr>
        <w:t>ei</w:t>
      </w:r>
      <w:r w:rsidRPr="00800D5B">
        <w:rPr>
          <w:lang w:val="fr-FR"/>
        </w:rPr>
        <w:t xml:space="preserve"> cont</w:t>
      </w:r>
      <w:r w:rsidR="001C0D4D">
        <w:rPr>
          <w:lang w:val="fr-FR"/>
        </w:rPr>
        <w:t>abilităţ</w:t>
      </w:r>
      <w:r>
        <w:rPr>
          <w:lang w:val="fr-FR"/>
        </w:rPr>
        <w:t>i</w:t>
      </w:r>
      <w:r w:rsidRPr="00800D5B">
        <w:rPr>
          <w:lang w:val="fr-FR"/>
        </w:rPr>
        <w:t xml:space="preserve"> a sumelor de recuperat şi al sumelor retrase în urma anulãrii unei pãrţi</w:t>
      </w:r>
      <w:r w:rsidR="001C0D4D">
        <w:rPr>
          <w:lang w:val="fr-FR"/>
        </w:rPr>
        <w:t xml:space="preserve"> </w:t>
      </w:r>
      <w:r w:rsidRPr="00800D5B">
        <w:rPr>
          <w:lang w:val="fr-FR"/>
        </w:rPr>
        <w:t>sau întregii contribuţi</w:t>
      </w:r>
      <w:r>
        <w:rPr>
          <w:lang w:val="fr-FR"/>
        </w:rPr>
        <w:t>i</w:t>
      </w:r>
      <w:r w:rsidRPr="00800D5B">
        <w:rPr>
          <w:lang w:val="fr-FR"/>
        </w:rPr>
        <w:t xml:space="preserve"> financiar</w:t>
      </w:r>
      <w:r>
        <w:rPr>
          <w:lang w:val="fr-FR"/>
        </w:rPr>
        <w:t>e</w:t>
      </w:r>
      <w:r w:rsidRPr="00800D5B">
        <w:rPr>
          <w:lang w:val="fr-FR"/>
        </w:rPr>
        <w:t xml:space="preserve"> pentru o operaţiune. Sumele recuperate vor fi plãtite cãtre bugetul Uniunii înainte de închiderea programului operaţional prin deducerea lor din declaraţia ulterioarã de cheltuieli. </w:t>
      </w:r>
    </w:p>
    <w:p w:rsidR="004C762C" w:rsidRPr="00B04B06" w:rsidRDefault="004C762C" w:rsidP="004C762C">
      <w:pPr>
        <w:rPr>
          <w:i/>
          <w:lang w:val="fr-FR"/>
        </w:rPr>
      </w:pPr>
      <w:r w:rsidRPr="00B04B06">
        <w:rPr>
          <w:i/>
          <w:lang w:val="fr-FR"/>
        </w:rPr>
        <w:t xml:space="preserve">Autoritatea de management va fi, </w:t>
      </w:r>
      <w:proofErr w:type="gramStart"/>
      <w:r w:rsidRPr="00B04B06">
        <w:rPr>
          <w:i/>
          <w:lang w:val="fr-FR"/>
        </w:rPr>
        <w:t>de asemenea</w:t>
      </w:r>
      <w:proofErr w:type="gramEnd"/>
      <w:r w:rsidRPr="00B04B06">
        <w:rPr>
          <w:i/>
          <w:lang w:val="fr-FR"/>
        </w:rPr>
        <w:t>, responsabilã pentru:</w:t>
      </w:r>
    </w:p>
    <w:p w:rsidR="004C762C" w:rsidRPr="00800D5B" w:rsidRDefault="004C762C" w:rsidP="004C762C">
      <w:pPr>
        <w:pStyle w:val="ListParagraph"/>
        <w:numPr>
          <w:ilvl w:val="0"/>
          <w:numId w:val="45"/>
        </w:numPr>
        <w:rPr>
          <w:lang w:val="fr-FR"/>
        </w:rPr>
      </w:pPr>
      <w:r w:rsidRPr="00800D5B">
        <w:rPr>
          <w:lang w:val="fr-FR"/>
        </w:rPr>
        <w:t>semnarea contractelor proiectelor finanţate d</w:t>
      </w:r>
      <w:r>
        <w:rPr>
          <w:lang w:val="fr-FR"/>
        </w:rPr>
        <w:t>in</w:t>
      </w:r>
      <w:r w:rsidR="001C0D4D">
        <w:rPr>
          <w:lang w:val="fr-FR"/>
        </w:rPr>
        <w:t xml:space="preserve"> </w:t>
      </w:r>
      <w:r>
        <w:rPr>
          <w:lang w:val="fr-FR"/>
        </w:rPr>
        <w:t>FEDR</w:t>
      </w:r>
      <w:r w:rsidRPr="00800D5B">
        <w:rPr>
          <w:lang w:val="fr-FR"/>
        </w:rPr>
        <w:t xml:space="preserve"> cu </w:t>
      </w:r>
      <w:r>
        <w:rPr>
          <w:lang w:val="fr-FR"/>
        </w:rPr>
        <w:t>beneficiarii care sunt lead-partners</w:t>
      </w:r>
    </w:p>
    <w:p w:rsidR="004C762C" w:rsidRPr="00800D5B" w:rsidRDefault="004C762C" w:rsidP="004C762C">
      <w:pPr>
        <w:pStyle w:val="ListParagraph"/>
        <w:numPr>
          <w:ilvl w:val="0"/>
          <w:numId w:val="45"/>
        </w:numPr>
        <w:rPr>
          <w:lang w:val="fr-FR"/>
        </w:rPr>
      </w:pPr>
      <w:r w:rsidRPr="00800D5B">
        <w:rPr>
          <w:lang w:val="fr-FR"/>
        </w:rPr>
        <w:t>semnarea contractelor privind co-finanţarea naţionalã de la bugetul de stat cu beneficiarii din România</w:t>
      </w:r>
    </w:p>
    <w:p w:rsidR="004C762C" w:rsidRPr="00800D5B" w:rsidRDefault="004C762C" w:rsidP="004C762C">
      <w:pPr>
        <w:pStyle w:val="ListParagraph"/>
        <w:numPr>
          <w:ilvl w:val="0"/>
          <w:numId w:val="45"/>
        </w:numPr>
        <w:rPr>
          <w:lang w:val="fr-FR"/>
        </w:rPr>
      </w:pPr>
      <w:r w:rsidRPr="00800D5B">
        <w:rPr>
          <w:lang w:val="fr-FR"/>
        </w:rPr>
        <w:t xml:space="preserve">asigurarea transferului resurselor </w:t>
      </w:r>
      <w:r>
        <w:rPr>
          <w:lang w:val="fr-FR"/>
        </w:rPr>
        <w:t>FEDR</w:t>
      </w:r>
      <w:r w:rsidRPr="00800D5B">
        <w:rPr>
          <w:lang w:val="fr-FR"/>
        </w:rPr>
        <w:t xml:space="preserve"> cãtre </w:t>
      </w:r>
      <w:r>
        <w:rPr>
          <w:lang w:val="fr-FR"/>
        </w:rPr>
        <w:t>beneficiarii care sunt lead-partners</w:t>
      </w:r>
    </w:p>
    <w:p w:rsidR="004C762C" w:rsidRPr="00800D5B" w:rsidRDefault="004C762C" w:rsidP="004C762C">
      <w:pPr>
        <w:pStyle w:val="ListParagraph"/>
        <w:numPr>
          <w:ilvl w:val="0"/>
          <w:numId w:val="45"/>
        </w:numPr>
        <w:rPr>
          <w:lang w:val="fr-FR"/>
        </w:rPr>
      </w:pPr>
      <w:r w:rsidRPr="00800D5B">
        <w:rPr>
          <w:lang w:val="fr-FR"/>
        </w:rPr>
        <w:lastRenderedPageBreak/>
        <w:t>asigurarea transferului co-finanţãrii naţionale de la bugetul de stat cãtre beneficiarii din România ai proiectului precum şi beneficiarilor axe</w:t>
      </w:r>
      <w:r>
        <w:rPr>
          <w:lang w:val="fr-FR"/>
        </w:rPr>
        <w:t>i</w:t>
      </w:r>
      <w:r w:rsidRPr="00800D5B">
        <w:rPr>
          <w:lang w:val="fr-FR"/>
        </w:rPr>
        <w:t xml:space="preserve"> prioritare de asistenţã tehnicã</w:t>
      </w:r>
    </w:p>
    <w:p w:rsidR="004C762C" w:rsidRPr="006C6828" w:rsidRDefault="004C762C" w:rsidP="004C762C">
      <w:pPr>
        <w:pStyle w:val="ListParagraph"/>
        <w:numPr>
          <w:ilvl w:val="0"/>
          <w:numId w:val="45"/>
        </w:numPr>
        <w:rPr>
          <w:lang w:val="it-IT"/>
        </w:rPr>
      </w:pPr>
      <w:r w:rsidRPr="006C6828">
        <w:rPr>
          <w:lang w:val="it-IT"/>
        </w:rPr>
        <w:t>asigurarea disponibilitatii sumelor provenite din co-finanţarea naţionalã pentru bugetul axei prioritare de asistenţã tehnicã</w:t>
      </w:r>
    </w:p>
    <w:p w:rsidR="004C762C" w:rsidRPr="00800D5B" w:rsidRDefault="004C762C" w:rsidP="004C762C">
      <w:pPr>
        <w:pStyle w:val="ListParagraph"/>
        <w:numPr>
          <w:ilvl w:val="0"/>
          <w:numId w:val="45"/>
        </w:numPr>
        <w:rPr>
          <w:lang w:val="fr-FR"/>
        </w:rPr>
      </w:pPr>
      <w:r w:rsidRPr="00800D5B">
        <w:rPr>
          <w:lang w:val="fr-FR"/>
        </w:rPr>
        <w:t xml:space="preserve">asigurarea accesului </w:t>
      </w:r>
      <w:proofErr w:type="gramStart"/>
      <w:r w:rsidRPr="00800D5B">
        <w:rPr>
          <w:lang w:val="fr-FR"/>
        </w:rPr>
        <w:t>la informaţii</w:t>
      </w:r>
      <w:proofErr w:type="gramEnd"/>
      <w:r w:rsidRPr="00800D5B">
        <w:rPr>
          <w:lang w:val="fr-FR"/>
        </w:rPr>
        <w:t xml:space="preserve"> pentru AN şi AA cu scopul de a îndeplini sarcinile lor specifice</w:t>
      </w:r>
    </w:p>
    <w:p w:rsidR="004C762C" w:rsidRPr="00800D5B" w:rsidRDefault="004C762C" w:rsidP="004C762C">
      <w:pPr>
        <w:pStyle w:val="ListParagraph"/>
        <w:numPr>
          <w:ilvl w:val="0"/>
          <w:numId w:val="45"/>
        </w:numPr>
        <w:rPr>
          <w:lang w:val="fr-FR"/>
        </w:rPr>
      </w:pPr>
      <w:r w:rsidRPr="00800D5B">
        <w:rPr>
          <w:lang w:val="fr-FR"/>
        </w:rPr>
        <w:t>asigurarea conformitãţii cheltuielilor cu regulile Programului, regulile Comunitãţii şi cu procedurile programului printr-un sistem adecvat de control</w:t>
      </w:r>
    </w:p>
    <w:p w:rsidR="004C762C" w:rsidRPr="00800D5B" w:rsidRDefault="004C762C" w:rsidP="004C762C">
      <w:pPr>
        <w:pStyle w:val="ListParagraph"/>
        <w:numPr>
          <w:ilvl w:val="0"/>
          <w:numId w:val="45"/>
        </w:numPr>
        <w:rPr>
          <w:lang w:val="fr-FR"/>
        </w:rPr>
      </w:pPr>
      <w:r w:rsidRPr="00800D5B">
        <w:rPr>
          <w:lang w:val="fr-FR"/>
        </w:rPr>
        <w:t xml:space="preserve">asigurarea conformitãţii cu legislaţia specificã din România sau cu procedurile specifice cu privire la contractele </w:t>
      </w:r>
      <w:proofErr w:type="gramStart"/>
      <w:r w:rsidRPr="00800D5B">
        <w:rPr>
          <w:lang w:val="fr-FR"/>
        </w:rPr>
        <w:t>de achiziţie</w:t>
      </w:r>
      <w:proofErr w:type="gramEnd"/>
      <w:r w:rsidRPr="00800D5B">
        <w:rPr>
          <w:lang w:val="fr-FR"/>
        </w:rPr>
        <w:t xml:space="preserve"> atribuite</w:t>
      </w:r>
    </w:p>
    <w:p w:rsidR="004C762C" w:rsidRPr="00800D5B" w:rsidRDefault="004C762C" w:rsidP="004C762C">
      <w:pPr>
        <w:pStyle w:val="ListParagraph"/>
        <w:numPr>
          <w:ilvl w:val="0"/>
          <w:numId w:val="45"/>
        </w:numPr>
        <w:rPr>
          <w:lang w:val="fr-FR"/>
        </w:rPr>
      </w:pPr>
      <w:r w:rsidRPr="00800D5B">
        <w:rPr>
          <w:lang w:val="fr-FR"/>
        </w:rPr>
        <w:t xml:space="preserve">desemnarea controlorilor responsabili cu îndeplinirea </w:t>
      </w:r>
      <w:r>
        <w:rPr>
          <w:lang w:val="fr-FR"/>
        </w:rPr>
        <w:t xml:space="preserve">controlului de </w:t>
      </w:r>
      <w:r w:rsidRPr="00800D5B">
        <w:rPr>
          <w:lang w:val="fr-FR"/>
        </w:rPr>
        <w:t>prim nivel pentru partenerii situaţi în România</w:t>
      </w:r>
    </w:p>
    <w:p w:rsidR="004C762C" w:rsidRPr="00800D5B" w:rsidRDefault="004C762C" w:rsidP="004C762C">
      <w:pPr>
        <w:pStyle w:val="ListParagraph"/>
        <w:numPr>
          <w:ilvl w:val="0"/>
          <w:numId w:val="45"/>
        </w:numPr>
        <w:rPr>
          <w:lang w:val="fr-FR"/>
        </w:rPr>
      </w:pPr>
      <w:r w:rsidRPr="00800D5B">
        <w:rPr>
          <w:lang w:val="fr-FR"/>
        </w:rPr>
        <w:t>numirea reprezentanţilor români în CM</w:t>
      </w:r>
    </w:p>
    <w:p w:rsidR="004C762C" w:rsidRPr="00800D5B" w:rsidRDefault="004C762C" w:rsidP="004C762C">
      <w:pPr>
        <w:pStyle w:val="ListParagraph"/>
        <w:numPr>
          <w:ilvl w:val="0"/>
          <w:numId w:val="45"/>
        </w:numPr>
        <w:rPr>
          <w:lang w:val="fr-FR"/>
        </w:rPr>
      </w:pPr>
      <w:r w:rsidRPr="00800D5B">
        <w:rPr>
          <w:lang w:val="fr-FR"/>
        </w:rPr>
        <w:t xml:space="preserve">asigurarea unei proceduri de audit pentru întregul sistem cu privire </w:t>
      </w:r>
      <w:proofErr w:type="gramStart"/>
      <w:r w:rsidRPr="00800D5B">
        <w:rPr>
          <w:lang w:val="fr-FR"/>
        </w:rPr>
        <w:t>la implementarea</w:t>
      </w:r>
      <w:proofErr w:type="gramEnd"/>
      <w:r w:rsidRPr="00800D5B">
        <w:rPr>
          <w:lang w:val="fr-FR"/>
        </w:rPr>
        <w:t xml:space="preserve"> programului</w:t>
      </w:r>
    </w:p>
    <w:p w:rsidR="004C762C" w:rsidRPr="006C6828" w:rsidRDefault="004C762C" w:rsidP="004C762C">
      <w:pPr>
        <w:pStyle w:val="ListParagraph"/>
        <w:numPr>
          <w:ilvl w:val="0"/>
          <w:numId w:val="45"/>
        </w:numPr>
        <w:rPr>
          <w:lang w:val="it-IT"/>
        </w:rPr>
      </w:pPr>
      <w:r w:rsidRPr="006C6828">
        <w:rPr>
          <w:lang w:val="it-IT"/>
        </w:rPr>
        <w:t>prevenirea, depistarea şi corectarea neregularitãţilor comise în România</w:t>
      </w:r>
    </w:p>
    <w:p w:rsidR="004C762C" w:rsidRPr="006C6828" w:rsidRDefault="004C762C" w:rsidP="004C762C">
      <w:pPr>
        <w:pStyle w:val="ListParagraph"/>
        <w:numPr>
          <w:ilvl w:val="0"/>
          <w:numId w:val="45"/>
        </w:numPr>
        <w:rPr>
          <w:lang w:val="it-IT"/>
        </w:rPr>
      </w:pPr>
      <w:r w:rsidRPr="006C6828">
        <w:rPr>
          <w:lang w:val="it-IT"/>
        </w:rPr>
        <w:t>coordonarea activitãţilor cu privire la implementarea programului delegate cãtre secretariatul comun</w:t>
      </w:r>
    </w:p>
    <w:p w:rsidR="004C762C" w:rsidRDefault="004C762C" w:rsidP="004C762C">
      <w:pPr>
        <w:pStyle w:val="ListParagraph"/>
        <w:numPr>
          <w:ilvl w:val="0"/>
          <w:numId w:val="45"/>
        </w:numPr>
      </w:pPr>
      <w:r>
        <w:t>efectuarea corecţiilor financiare în conformitate cu prevederile art 143 din regulamentul 1303/2013 (CPR)</w:t>
      </w:r>
    </w:p>
    <w:p w:rsidR="004C762C" w:rsidRDefault="004C762C" w:rsidP="004C762C">
      <w:pPr>
        <w:pStyle w:val="ListParagraph"/>
        <w:numPr>
          <w:ilvl w:val="0"/>
          <w:numId w:val="45"/>
        </w:numPr>
      </w:pPr>
      <w:r>
        <w:t>asigurarea unei înregistrãri rapide şi actualizãri a informaţiilor în sistemul electronic, fiind responsabilã pentru exactitatea, integritatea şi completitudinea datelor cu privire la Programul gestionat</w:t>
      </w:r>
    </w:p>
    <w:p w:rsidR="004C762C" w:rsidRDefault="004C762C" w:rsidP="004C762C">
      <w:pPr>
        <w:pStyle w:val="ListParagraph"/>
        <w:numPr>
          <w:ilvl w:val="0"/>
          <w:numId w:val="45"/>
        </w:numPr>
      </w:pPr>
      <w:r>
        <w:t>asigurarea fondur</w:t>
      </w:r>
      <w:r w:rsidR="001C0D4D">
        <w:t>ilor necesare în cazul dezangajă</w:t>
      </w:r>
      <w:r>
        <w:t>rii de fonduri la nivel de program, proporţional cu bugetul aprobat al proiectelor şi activitãţile derulate de cãtre beneficiarii români</w:t>
      </w:r>
    </w:p>
    <w:p w:rsidR="004C762C" w:rsidRDefault="004C762C" w:rsidP="004C762C">
      <w:pPr>
        <w:rPr>
          <w:lang w:val="fr-FR"/>
        </w:rPr>
      </w:pPr>
      <w:r>
        <w:rPr>
          <w:lang w:val="fr-FR"/>
        </w:rPr>
        <w:t>Autoritatea de management se va asigura cã principiul tratamentului egal este pus în aplicare în verificarea partenerilor români şi bulgari.</w:t>
      </w:r>
    </w:p>
    <w:p w:rsidR="004C762C" w:rsidRDefault="004C762C" w:rsidP="004C762C">
      <w:pPr>
        <w:rPr>
          <w:lang w:val="fr-FR"/>
        </w:rPr>
      </w:pPr>
    </w:p>
    <w:p w:rsidR="004C762C" w:rsidRPr="00B04B06" w:rsidRDefault="004C762C" w:rsidP="004C762C">
      <w:pPr>
        <w:rPr>
          <w:b/>
          <w:lang w:val="fr-FR"/>
        </w:rPr>
      </w:pPr>
      <w:r w:rsidRPr="00B04B06">
        <w:rPr>
          <w:b/>
          <w:lang w:val="fr-FR"/>
        </w:rPr>
        <w:t>Autoritatea Naţionalã</w:t>
      </w:r>
    </w:p>
    <w:p w:rsidR="004C762C" w:rsidRDefault="004C762C" w:rsidP="004C762C">
      <w:pPr>
        <w:rPr>
          <w:lang w:val="fr-FR"/>
        </w:rPr>
      </w:pPr>
      <w:r>
        <w:rPr>
          <w:lang w:val="fr-FR"/>
        </w:rPr>
        <w:t xml:space="preserve"> Atribuţiile şi responsabilitãţile autoritãţii naţionale bulgare sunt:</w:t>
      </w:r>
    </w:p>
    <w:p w:rsidR="004C762C" w:rsidRPr="00800D5B" w:rsidRDefault="004C762C" w:rsidP="004C762C">
      <w:pPr>
        <w:pStyle w:val="ListParagraph"/>
        <w:numPr>
          <w:ilvl w:val="0"/>
          <w:numId w:val="46"/>
        </w:numPr>
        <w:rPr>
          <w:lang w:val="fr-FR"/>
        </w:rPr>
      </w:pPr>
      <w:r>
        <w:rPr>
          <w:lang w:val="fr-FR"/>
        </w:rPr>
        <w:t>sprijinul</w:t>
      </w:r>
      <w:r w:rsidRPr="00800D5B">
        <w:rPr>
          <w:lang w:val="fr-FR"/>
        </w:rPr>
        <w:t xml:space="preserve"> acordat autoritãţii de management în implementarea Programului;</w:t>
      </w:r>
    </w:p>
    <w:p w:rsidR="004C762C" w:rsidRPr="00800D5B" w:rsidRDefault="004C762C" w:rsidP="004C762C">
      <w:pPr>
        <w:pStyle w:val="ListParagraph"/>
        <w:numPr>
          <w:ilvl w:val="0"/>
          <w:numId w:val="46"/>
        </w:numPr>
        <w:rPr>
          <w:lang w:val="fr-FR"/>
        </w:rPr>
      </w:pPr>
      <w:r w:rsidRPr="00800D5B">
        <w:rPr>
          <w:lang w:val="fr-FR"/>
        </w:rPr>
        <w:t xml:space="preserve">semnarea contractelor privind co-finanţarea naţionalã de la bugetul de stat cu beneficiarii din Bulgaria </w:t>
      </w:r>
    </w:p>
    <w:p w:rsidR="004C762C" w:rsidRPr="00800D5B" w:rsidRDefault="004C762C" w:rsidP="004C762C">
      <w:pPr>
        <w:pStyle w:val="ListParagraph"/>
        <w:numPr>
          <w:ilvl w:val="0"/>
          <w:numId w:val="46"/>
        </w:numPr>
        <w:rPr>
          <w:lang w:val="fr-FR"/>
        </w:rPr>
      </w:pPr>
      <w:r w:rsidRPr="00800D5B">
        <w:rPr>
          <w:lang w:val="fr-FR"/>
        </w:rPr>
        <w:t xml:space="preserve">asigurarea transferului co-finanţãrii naţionale de la bugetul de stat cãtre beneficiarii din Bulgaria </w:t>
      </w:r>
    </w:p>
    <w:p w:rsidR="004C762C" w:rsidRPr="006C6828" w:rsidRDefault="004C762C" w:rsidP="004C762C">
      <w:pPr>
        <w:pStyle w:val="ListParagraph"/>
        <w:numPr>
          <w:ilvl w:val="0"/>
          <w:numId w:val="46"/>
        </w:numPr>
        <w:rPr>
          <w:lang w:val="it-IT"/>
        </w:rPr>
      </w:pPr>
      <w:r w:rsidRPr="006C6828">
        <w:rPr>
          <w:lang w:val="it-IT"/>
        </w:rPr>
        <w:t>asigurarea valabilitãţii sumelor provenite din co-finanţarea naţionalã pentru bugetul axei prioritare de asistenţã tehnicã</w:t>
      </w:r>
    </w:p>
    <w:p w:rsidR="004C762C" w:rsidRPr="00800D5B" w:rsidRDefault="004C762C" w:rsidP="004C762C">
      <w:pPr>
        <w:pStyle w:val="ListParagraph"/>
        <w:numPr>
          <w:ilvl w:val="0"/>
          <w:numId w:val="46"/>
        </w:numPr>
        <w:rPr>
          <w:lang w:val="fr-FR"/>
        </w:rPr>
      </w:pPr>
      <w:r w:rsidRPr="00800D5B">
        <w:rPr>
          <w:lang w:val="fr-FR"/>
        </w:rPr>
        <w:t xml:space="preserve">asigurarea accesului </w:t>
      </w:r>
      <w:proofErr w:type="gramStart"/>
      <w:r w:rsidRPr="00800D5B">
        <w:rPr>
          <w:lang w:val="fr-FR"/>
        </w:rPr>
        <w:t>la informaţii</w:t>
      </w:r>
      <w:proofErr w:type="gramEnd"/>
      <w:r w:rsidRPr="00800D5B">
        <w:rPr>
          <w:lang w:val="fr-FR"/>
        </w:rPr>
        <w:t xml:space="preserve"> pentru A</w:t>
      </w:r>
      <w:r>
        <w:rPr>
          <w:lang w:val="fr-FR"/>
        </w:rPr>
        <w:t>M</w:t>
      </w:r>
      <w:r w:rsidRPr="00800D5B">
        <w:rPr>
          <w:lang w:val="fr-FR"/>
        </w:rPr>
        <w:t xml:space="preserve"> şi AA cu scopul de a îndeplini sarcinile lor specifice</w:t>
      </w:r>
    </w:p>
    <w:p w:rsidR="004C762C" w:rsidRPr="00800D5B" w:rsidRDefault="004C762C" w:rsidP="004C762C">
      <w:pPr>
        <w:pStyle w:val="ListParagraph"/>
        <w:numPr>
          <w:ilvl w:val="0"/>
          <w:numId w:val="46"/>
        </w:numPr>
        <w:rPr>
          <w:lang w:val="fr-FR"/>
        </w:rPr>
      </w:pPr>
      <w:r w:rsidRPr="00800D5B">
        <w:rPr>
          <w:lang w:val="fr-FR"/>
        </w:rPr>
        <w:t>asigurarea conformitãţii cheltuielilor cu regulile Programului, regulile Comunitãţii şi cu procedurile programului printr-un sistem adecvat de control</w:t>
      </w:r>
    </w:p>
    <w:p w:rsidR="004C762C" w:rsidRPr="00800D5B" w:rsidRDefault="004C762C" w:rsidP="004C762C">
      <w:pPr>
        <w:pStyle w:val="ListParagraph"/>
        <w:numPr>
          <w:ilvl w:val="0"/>
          <w:numId w:val="46"/>
        </w:numPr>
        <w:rPr>
          <w:lang w:val="fr-FR"/>
        </w:rPr>
      </w:pPr>
      <w:r w:rsidRPr="00800D5B">
        <w:rPr>
          <w:lang w:val="fr-FR"/>
        </w:rPr>
        <w:lastRenderedPageBreak/>
        <w:t xml:space="preserve">asigurarea conformitãţii cu legislaţia specificã din Republica Bulgaria sau cu procedurile specifice cu privire la contractele </w:t>
      </w:r>
      <w:proofErr w:type="gramStart"/>
      <w:r w:rsidRPr="00800D5B">
        <w:rPr>
          <w:lang w:val="fr-FR"/>
        </w:rPr>
        <w:t>de achiziţie</w:t>
      </w:r>
      <w:proofErr w:type="gramEnd"/>
      <w:r w:rsidRPr="00800D5B">
        <w:rPr>
          <w:lang w:val="fr-FR"/>
        </w:rPr>
        <w:t xml:space="preserve"> atribuite</w:t>
      </w:r>
    </w:p>
    <w:p w:rsidR="004C762C" w:rsidRPr="00800D5B" w:rsidRDefault="004C762C" w:rsidP="004C762C">
      <w:pPr>
        <w:pStyle w:val="ListParagraph"/>
        <w:numPr>
          <w:ilvl w:val="0"/>
          <w:numId w:val="46"/>
        </w:numPr>
        <w:rPr>
          <w:lang w:val="fr-FR"/>
        </w:rPr>
      </w:pPr>
      <w:r w:rsidRPr="00800D5B">
        <w:rPr>
          <w:lang w:val="fr-FR"/>
        </w:rPr>
        <w:t xml:space="preserve">desemnarea controlorilor responsabili cu îndeplinirea </w:t>
      </w:r>
      <w:r>
        <w:rPr>
          <w:lang w:val="fr-FR"/>
        </w:rPr>
        <w:t>controlului de prim nivel</w:t>
      </w:r>
      <w:r w:rsidRPr="00800D5B">
        <w:rPr>
          <w:lang w:val="fr-FR"/>
        </w:rPr>
        <w:t xml:space="preserve"> pentru partenerii situaţi în Republica Bulgaria</w:t>
      </w:r>
    </w:p>
    <w:p w:rsidR="004C762C" w:rsidRPr="006C6828" w:rsidRDefault="004C762C" w:rsidP="004C762C">
      <w:pPr>
        <w:pStyle w:val="ListParagraph"/>
        <w:numPr>
          <w:ilvl w:val="0"/>
          <w:numId w:val="46"/>
        </w:numPr>
        <w:rPr>
          <w:lang w:val="it-IT"/>
        </w:rPr>
      </w:pPr>
      <w:r w:rsidRPr="006C6828">
        <w:rPr>
          <w:lang w:val="it-IT"/>
        </w:rPr>
        <w:t>numirea reprezentanţilor din Republica Bulgaria în CM</w:t>
      </w:r>
    </w:p>
    <w:p w:rsidR="004C762C" w:rsidRPr="006C6828" w:rsidRDefault="004C762C" w:rsidP="004C762C">
      <w:pPr>
        <w:pStyle w:val="ListParagraph"/>
        <w:numPr>
          <w:ilvl w:val="0"/>
          <w:numId w:val="46"/>
        </w:numPr>
        <w:rPr>
          <w:lang w:val="it-IT"/>
        </w:rPr>
      </w:pPr>
      <w:r w:rsidRPr="006C6828">
        <w:rPr>
          <w:lang w:val="it-IT"/>
        </w:rPr>
        <w:t>asigurarea unei procedure adecvate de audit pentru întregul sistem de implementare a programului</w:t>
      </w:r>
    </w:p>
    <w:p w:rsidR="004C762C" w:rsidRPr="006C6828" w:rsidRDefault="004C762C" w:rsidP="004C762C">
      <w:pPr>
        <w:pStyle w:val="ListParagraph"/>
        <w:numPr>
          <w:ilvl w:val="0"/>
          <w:numId w:val="46"/>
        </w:numPr>
        <w:rPr>
          <w:lang w:val="it-IT"/>
        </w:rPr>
      </w:pPr>
      <w:r w:rsidRPr="006C6828">
        <w:rPr>
          <w:lang w:val="it-IT"/>
        </w:rPr>
        <w:t>prevenirea, depistarea şi corectarea neregularitãţilor comise în Republica Bulgaria</w:t>
      </w:r>
    </w:p>
    <w:p w:rsidR="004C762C" w:rsidRPr="006C6828" w:rsidRDefault="004C762C" w:rsidP="004C762C">
      <w:pPr>
        <w:pStyle w:val="ListParagraph"/>
        <w:numPr>
          <w:ilvl w:val="0"/>
          <w:numId w:val="46"/>
        </w:numPr>
        <w:rPr>
          <w:lang w:val="it-IT"/>
        </w:rPr>
      </w:pPr>
      <w:r w:rsidRPr="006C6828">
        <w:rPr>
          <w:lang w:val="it-IT"/>
        </w:rPr>
        <w:t>informarea autoritãţii de management în decursul unei perioade de 15 zile despre orice neregularitate descoperitã sau presupusã cã a fost comisã pe teritoriul Republicii Bulgaria cu privire la program</w:t>
      </w:r>
    </w:p>
    <w:p w:rsidR="004C762C" w:rsidRPr="006C6828" w:rsidRDefault="004C762C" w:rsidP="004C762C">
      <w:pPr>
        <w:pStyle w:val="ListParagraph"/>
        <w:numPr>
          <w:ilvl w:val="0"/>
          <w:numId w:val="46"/>
        </w:numPr>
        <w:rPr>
          <w:lang w:val="it-IT"/>
        </w:rPr>
      </w:pPr>
      <w:r w:rsidRPr="006C6828">
        <w:rPr>
          <w:lang w:val="it-IT"/>
        </w:rPr>
        <w:t xml:space="preserve">Accesarea sistemului electronic al Programului (acces doar citire) cu atentie strictã la limitãrile tehnice ale conectivitãţii </w:t>
      </w:r>
    </w:p>
    <w:p w:rsidR="004C762C" w:rsidRPr="006C6828" w:rsidRDefault="004C762C" w:rsidP="004C762C">
      <w:pPr>
        <w:pStyle w:val="ListParagraph"/>
        <w:numPr>
          <w:ilvl w:val="0"/>
          <w:numId w:val="46"/>
        </w:numPr>
        <w:rPr>
          <w:lang w:val="it-IT"/>
        </w:rPr>
      </w:pPr>
      <w:r w:rsidRPr="006C6828">
        <w:rPr>
          <w:lang w:val="it-IT"/>
        </w:rPr>
        <w:t>asigurarea fondurilor necesare în cazul degrevãrii de rãspunder</w:t>
      </w:r>
      <w:r w:rsidR="00BD7A55" w:rsidRPr="006C6828">
        <w:rPr>
          <w:lang w:val="it-IT"/>
        </w:rPr>
        <w:t xml:space="preserve">ea </w:t>
      </w:r>
      <w:r w:rsidRPr="006C6828">
        <w:rPr>
          <w:lang w:val="it-IT"/>
        </w:rPr>
        <w:t>dezangajarii de fonduri la nivel de program proporţional cu bugetul aprobat al proiectelor şi cu activitãţile derulate de cãtre beneficiarii bulgari</w:t>
      </w:r>
    </w:p>
    <w:p w:rsidR="004C762C" w:rsidRPr="006C6828" w:rsidRDefault="004C762C" w:rsidP="004C762C">
      <w:pPr>
        <w:pStyle w:val="ListParagraph"/>
        <w:numPr>
          <w:ilvl w:val="0"/>
          <w:numId w:val="46"/>
        </w:numPr>
        <w:rPr>
          <w:lang w:val="it-IT"/>
        </w:rPr>
      </w:pPr>
      <w:r w:rsidRPr="006C6828">
        <w:rPr>
          <w:lang w:val="it-IT"/>
        </w:rPr>
        <w:t xml:space="preserve">asigurarea faptului cã beneficiarii implicaţi în </w:t>
      </w:r>
      <w:r w:rsidRPr="00800D5B">
        <w:rPr>
          <w:lang w:val="fr-FR"/>
        </w:rPr>
        <w:t>operaţiuni rambursa</w:t>
      </w:r>
      <w:r>
        <w:rPr>
          <w:lang w:val="fr-FR"/>
        </w:rPr>
        <w:t>te</w:t>
      </w:r>
      <w:r w:rsidR="00BD7A55">
        <w:rPr>
          <w:lang w:val="fr-FR"/>
        </w:rPr>
        <w:t xml:space="preserve"> </w:t>
      </w:r>
      <w:r>
        <w:rPr>
          <w:lang w:val="fr-FR"/>
        </w:rPr>
        <w:t>pe</w:t>
      </w:r>
      <w:r w:rsidRPr="00800D5B">
        <w:rPr>
          <w:lang w:val="fr-FR"/>
        </w:rPr>
        <w:t xml:space="preserve"> baz</w:t>
      </w:r>
      <w:r>
        <w:rPr>
          <w:lang w:val="fr-FR"/>
        </w:rPr>
        <w:t>a principiului costurilor eligibile</w:t>
      </w:r>
      <w:r w:rsidRPr="00800D5B">
        <w:rPr>
          <w:lang w:val="fr-FR"/>
        </w:rPr>
        <w:t xml:space="preserve"> efectiv</w:t>
      </w:r>
      <w:r w:rsidR="00BD7A55">
        <w:rPr>
          <w:lang w:val="fr-FR"/>
        </w:rPr>
        <w:t xml:space="preserve"> suportate, deţin şi utilizează</w:t>
      </w:r>
      <w:r w:rsidRPr="00800D5B">
        <w:rPr>
          <w:lang w:val="fr-FR"/>
        </w:rPr>
        <w:t xml:space="preserve"> fie un sistem separat de contabilitate, fie un cod adecvat de contabil</w:t>
      </w:r>
      <w:r>
        <w:rPr>
          <w:lang w:val="fr-FR"/>
        </w:rPr>
        <w:t xml:space="preserve">itate pentru toate tranzacţiile legate de aceste </w:t>
      </w:r>
      <w:r w:rsidRPr="00800D5B">
        <w:rPr>
          <w:lang w:val="fr-FR"/>
        </w:rPr>
        <w:t>operaţiun</w:t>
      </w:r>
      <w:r>
        <w:rPr>
          <w:lang w:val="fr-FR"/>
        </w:rPr>
        <w:t>i</w:t>
      </w:r>
    </w:p>
    <w:p w:rsidR="004C762C" w:rsidRPr="006C6828" w:rsidRDefault="004C762C" w:rsidP="004C762C">
      <w:pPr>
        <w:pStyle w:val="ListParagraph"/>
        <w:numPr>
          <w:ilvl w:val="0"/>
          <w:numId w:val="46"/>
        </w:numPr>
        <w:rPr>
          <w:lang w:val="it-IT"/>
        </w:rPr>
      </w:pPr>
      <w:r w:rsidRPr="006C6828">
        <w:rPr>
          <w:lang w:val="it-IT"/>
        </w:rPr>
        <w:t xml:space="preserve">punerea în aplicare a unor mãsuri anti-fraudã eficiente şi proporţionate luând în considerare riscurile identificate </w:t>
      </w:r>
    </w:p>
    <w:p w:rsidR="004C762C" w:rsidRPr="006C6828" w:rsidRDefault="004C762C" w:rsidP="004C762C">
      <w:pPr>
        <w:pStyle w:val="ListParagraph"/>
        <w:numPr>
          <w:ilvl w:val="0"/>
          <w:numId w:val="46"/>
        </w:numPr>
        <w:rPr>
          <w:lang w:val="it-IT"/>
        </w:rPr>
      </w:pPr>
      <w:r w:rsidRPr="006C6828">
        <w:rPr>
          <w:lang w:val="it-IT"/>
        </w:rPr>
        <w:t>stabilirea de proceduri pentru a se asigura cã toate documentele cu privire la cheltuieli şi audit necesare derularii unei procedurii de audit adecvate sunt pastrate conform cerinţelor punctului g) din art 72 al Regulamentului (UE) nr. 1303/2003.</w:t>
      </w:r>
    </w:p>
    <w:p w:rsidR="004C762C" w:rsidRPr="006C6828" w:rsidRDefault="004C762C" w:rsidP="004C762C">
      <w:pPr>
        <w:rPr>
          <w:lang w:val="it-IT"/>
        </w:rPr>
      </w:pPr>
    </w:p>
    <w:p w:rsidR="004C762C" w:rsidRPr="00B04B06" w:rsidRDefault="004C762C" w:rsidP="004C762C">
      <w:pPr>
        <w:rPr>
          <w:b/>
          <w:lang w:val="fr-FR"/>
        </w:rPr>
      </w:pPr>
      <w:r>
        <w:rPr>
          <w:b/>
          <w:lang w:val="fr-FR"/>
        </w:rPr>
        <w:t>Comitetul</w:t>
      </w:r>
      <w:r w:rsidRPr="00B04B06">
        <w:rPr>
          <w:b/>
          <w:lang w:val="fr-FR"/>
        </w:rPr>
        <w:t xml:space="preserve"> de Monitorizare</w:t>
      </w:r>
    </w:p>
    <w:p w:rsidR="004C762C" w:rsidRDefault="004C762C" w:rsidP="004C762C">
      <w:pPr>
        <w:rPr>
          <w:lang w:val="fr-FR"/>
        </w:rPr>
      </w:pPr>
      <w:r>
        <w:rPr>
          <w:lang w:val="fr-FR"/>
        </w:rPr>
        <w:t>Conform art 47 din Regulamentul UE nr. 1303/2013 statele membre vor stabili un comitet de monitorizare în decurs de 3 luni de la notificarea aprobãrii de cãtre Comisie a Programului de Cooperare.</w:t>
      </w:r>
    </w:p>
    <w:p w:rsidR="004C762C" w:rsidRDefault="004C762C" w:rsidP="004C762C">
      <w:pPr>
        <w:rPr>
          <w:lang w:val="fr-FR"/>
        </w:rPr>
      </w:pPr>
      <w:r>
        <w:rPr>
          <w:lang w:val="fr-FR"/>
        </w:rPr>
        <w:t xml:space="preserve">Membrii comitetului de monitorizare vor reprezenta statele membre participante la nivel politic şi administrativ şi astfel vor asigura o abordare transparentã respectând principiile parteneriatului şi guvernãrii pe mai multe niveluri. Membrii numiţi în cadrul comitetului de monitorizare vor fi, în principiu, aceiaşi cu membrii Grupului Comun de Lucru al Programului, acolo unde reprezentativitatea la nivel naţional, regional şi local era asiguratã. În acelaşi mod, reprezentanţii societãţii civile au fost aleşi printr-o procedurã transparentã. Procedurile comitetului de monitorizare (inclusiv Codul de Conduitã), metodologia şi criteriile de selecţie ale operaţiunilor, precum şi regulile </w:t>
      </w:r>
      <w:proofErr w:type="gramStart"/>
      <w:r>
        <w:rPr>
          <w:lang w:val="fr-FR"/>
        </w:rPr>
        <w:t>de eligibilitate</w:t>
      </w:r>
      <w:proofErr w:type="gramEnd"/>
      <w:r>
        <w:rPr>
          <w:lang w:val="fr-FR"/>
        </w:rPr>
        <w:t xml:space="preserve"> ale Programului vor fi adoptate într-o perioadã de maxim 12 luni de la adoptarea Programului de cãtre Comisia Europeanã.</w:t>
      </w:r>
    </w:p>
    <w:p w:rsidR="004C762C" w:rsidRDefault="004C762C" w:rsidP="004C762C">
      <w:pPr>
        <w:rPr>
          <w:lang w:val="fr-FR"/>
        </w:rPr>
      </w:pPr>
      <w:r>
        <w:rPr>
          <w:lang w:val="fr-FR"/>
        </w:rPr>
        <w:t>Atribuţiile comitetului de monitorizare sunt:</w:t>
      </w:r>
    </w:p>
    <w:p w:rsidR="004C762C" w:rsidRDefault="004C762C" w:rsidP="004C762C">
      <w:pPr>
        <w:rPr>
          <w:lang w:val="en-US"/>
        </w:rPr>
      </w:pPr>
      <w:r>
        <w:t>1. Sã verifice în mod special:</w:t>
      </w:r>
    </w:p>
    <w:p w:rsidR="004C762C" w:rsidRPr="006C6828" w:rsidRDefault="004C762C" w:rsidP="004C762C">
      <w:pPr>
        <w:pStyle w:val="ListParagraph"/>
        <w:numPr>
          <w:ilvl w:val="0"/>
          <w:numId w:val="47"/>
        </w:numPr>
        <w:rPr>
          <w:lang w:val="it-IT"/>
        </w:rPr>
      </w:pPr>
      <w:r w:rsidRPr="006C6828">
        <w:rPr>
          <w:lang w:val="it-IT"/>
        </w:rPr>
        <w:t>orice chestiuni în legãturã cu execuţia programului operaţional</w:t>
      </w:r>
    </w:p>
    <w:p w:rsidR="004C762C" w:rsidRDefault="004C762C" w:rsidP="004C762C">
      <w:pPr>
        <w:pStyle w:val="ListParagraph"/>
        <w:numPr>
          <w:ilvl w:val="0"/>
          <w:numId w:val="47"/>
        </w:numPr>
      </w:pPr>
      <w:r>
        <w:lastRenderedPageBreak/>
        <w:t>progresul în implementarea planului de evaluare şi follow-up-ul acordat rezultatelor evaluãrilor</w:t>
      </w:r>
    </w:p>
    <w:p w:rsidR="004C762C" w:rsidRDefault="004C762C" w:rsidP="004C762C">
      <w:pPr>
        <w:pStyle w:val="ListParagraph"/>
        <w:numPr>
          <w:ilvl w:val="0"/>
          <w:numId w:val="47"/>
        </w:numPr>
      </w:pPr>
      <w:r>
        <w:t>implementarea strategiei de comunicare</w:t>
      </w:r>
    </w:p>
    <w:p w:rsidR="004C762C" w:rsidRDefault="004C762C" w:rsidP="004C762C">
      <w:pPr>
        <w:pStyle w:val="ListParagraph"/>
        <w:numPr>
          <w:ilvl w:val="0"/>
          <w:numId w:val="47"/>
        </w:numPr>
      </w:pPr>
      <w:r>
        <w:t>implementarea planului de acţiune comunã</w:t>
      </w:r>
    </w:p>
    <w:p w:rsidR="004C762C" w:rsidRPr="00800D5B" w:rsidRDefault="004C762C" w:rsidP="004C762C">
      <w:pPr>
        <w:pStyle w:val="ListParagraph"/>
        <w:numPr>
          <w:ilvl w:val="0"/>
          <w:numId w:val="47"/>
        </w:numPr>
        <w:rPr>
          <w:lang w:val="fr-FR"/>
        </w:rPr>
      </w:pPr>
      <w:r w:rsidRPr="00800D5B">
        <w:rPr>
          <w:lang w:val="fr-FR"/>
        </w:rPr>
        <w:t>acţiunile de promovare a egalitãţii între sexe, oportunitãţilor egale, non-discriminãrii şi accesibilitãţii pentru persoanele cu handicap</w:t>
      </w:r>
    </w:p>
    <w:p w:rsidR="004C762C" w:rsidRPr="006C6828" w:rsidRDefault="004C762C" w:rsidP="004C762C">
      <w:pPr>
        <w:rPr>
          <w:lang w:val="it-IT"/>
        </w:rPr>
      </w:pPr>
      <w:r w:rsidRPr="006C6828">
        <w:rPr>
          <w:lang w:val="it-IT"/>
        </w:rPr>
        <w:t>2. Sã verifice şi sã aprobe:</w:t>
      </w:r>
    </w:p>
    <w:p w:rsidR="004C762C" w:rsidRPr="00800D5B" w:rsidRDefault="004C762C" w:rsidP="004C762C">
      <w:pPr>
        <w:pStyle w:val="ListParagraph"/>
        <w:numPr>
          <w:ilvl w:val="0"/>
          <w:numId w:val="48"/>
        </w:numPr>
        <w:rPr>
          <w:lang w:val="fr-FR"/>
        </w:rPr>
      </w:pPr>
      <w:r w:rsidRPr="00800D5B">
        <w:rPr>
          <w:lang w:val="fr-FR"/>
        </w:rPr>
        <w:t>metodologia şi criteriile de selecţie a operaţiunilor</w:t>
      </w:r>
    </w:p>
    <w:p w:rsidR="004C762C" w:rsidRPr="00800D5B" w:rsidRDefault="004C762C" w:rsidP="004C762C">
      <w:pPr>
        <w:pStyle w:val="ListParagraph"/>
        <w:numPr>
          <w:ilvl w:val="0"/>
          <w:numId w:val="48"/>
        </w:numPr>
        <w:rPr>
          <w:lang w:val="fr-FR"/>
        </w:rPr>
      </w:pPr>
      <w:r w:rsidRPr="00800D5B">
        <w:rPr>
          <w:lang w:val="fr-FR"/>
        </w:rPr>
        <w:t xml:space="preserve">rapoartele anuale şi finale </w:t>
      </w:r>
      <w:proofErr w:type="gramStart"/>
      <w:r w:rsidRPr="00800D5B">
        <w:rPr>
          <w:lang w:val="fr-FR"/>
        </w:rPr>
        <w:t>de implementare</w:t>
      </w:r>
      <w:proofErr w:type="gramEnd"/>
    </w:p>
    <w:p w:rsidR="004C762C" w:rsidRPr="00800D5B" w:rsidRDefault="004C762C" w:rsidP="004C762C">
      <w:pPr>
        <w:pStyle w:val="ListParagraph"/>
        <w:numPr>
          <w:ilvl w:val="0"/>
          <w:numId w:val="48"/>
        </w:numPr>
        <w:rPr>
          <w:lang w:val="fr-FR"/>
        </w:rPr>
      </w:pPr>
      <w:r w:rsidRPr="00800D5B">
        <w:rPr>
          <w:lang w:val="fr-FR"/>
        </w:rPr>
        <w:t xml:space="preserve">planul </w:t>
      </w:r>
      <w:proofErr w:type="gramStart"/>
      <w:r w:rsidRPr="00800D5B">
        <w:rPr>
          <w:lang w:val="fr-FR"/>
        </w:rPr>
        <w:t>de evaluare</w:t>
      </w:r>
      <w:proofErr w:type="gramEnd"/>
      <w:r w:rsidRPr="00800D5B">
        <w:rPr>
          <w:lang w:val="fr-FR"/>
        </w:rPr>
        <w:t xml:space="preserve"> a programului şi orice modificãri aduse acestuia</w:t>
      </w:r>
    </w:p>
    <w:p w:rsidR="004C762C" w:rsidRPr="00800D5B" w:rsidRDefault="004C762C" w:rsidP="004C762C">
      <w:pPr>
        <w:pStyle w:val="ListParagraph"/>
        <w:numPr>
          <w:ilvl w:val="0"/>
          <w:numId w:val="48"/>
        </w:numPr>
        <w:rPr>
          <w:lang w:val="fr-FR"/>
        </w:rPr>
      </w:pPr>
      <w:r w:rsidRPr="00800D5B">
        <w:rPr>
          <w:lang w:val="fr-FR"/>
        </w:rPr>
        <w:t>strategia de comunicare din cadrul programului şi orice modificãri aduse</w:t>
      </w:r>
    </w:p>
    <w:p w:rsidR="004C762C" w:rsidRPr="00800D5B" w:rsidRDefault="004C762C" w:rsidP="004C762C">
      <w:pPr>
        <w:pStyle w:val="ListParagraph"/>
        <w:numPr>
          <w:ilvl w:val="0"/>
          <w:numId w:val="48"/>
        </w:numPr>
        <w:rPr>
          <w:lang w:val="fr-FR"/>
        </w:rPr>
      </w:pPr>
      <w:r w:rsidRPr="00800D5B">
        <w:rPr>
          <w:lang w:val="fr-FR"/>
        </w:rPr>
        <w:t xml:space="preserve">orice propuneri din partea autoritãţii de management legate </w:t>
      </w:r>
      <w:proofErr w:type="gramStart"/>
      <w:r w:rsidRPr="00800D5B">
        <w:rPr>
          <w:lang w:val="fr-FR"/>
        </w:rPr>
        <w:t>de orice</w:t>
      </w:r>
      <w:proofErr w:type="gramEnd"/>
      <w:r w:rsidRPr="00800D5B">
        <w:rPr>
          <w:lang w:val="fr-FR"/>
        </w:rPr>
        <w:t xml:space="preserve"> modificãri aduse programului</w:t>
      </w:r>
    </w:p>
    <w:p w:rsidR="004C762C" w:rsidRPr="00800D5B" w:rsidRDefault="004C762C" w:rsidP="004C762C">
      <w:pPr>
        <w:pStyle w:val="ListParagraph"/>
        <w:numPr>
          <w:ilvl w:val="0"/>
          <w:numId w:val="48"/>
        </w:numPr>
        <w:rPr>
          <w:lang w:val="fr-FR"/>
        </w:rPr>
      </w:pPr>
      <w:r w:rsidRPr="00800D5B">
        <w:rPr>
          <w:lang w:val="fr-FR"/>
        </w:rPr>
        <w:t xml:space="preserve">potrivit Regulamentului UE nr. 1299/2013, art 18, punctul 2, </w:t>
      </w:r>
      <w:r>
        <w:rPr>
          <w:lang w:val="fr-FR"/>
        </w:rPr>
        <w:t>Comitetul</w:t>
      </w:r>
      <w:r w:rsidRPr="00800D5B">
        <w:rPr>
          <w:lang w:val="fr-FR"/>
        </w:rPr>
        <w:t xml:space="preserve"> de monitorizare va stabili reguli suplimentare privi</w:t>
      </w:r>
      <w:r>
        <w:rPr>
          <w:lang w:val="fr-FR"/>
        </w:rPr>
        <w:t>nd eligibilitatea cheltuielilor pentru</w:t>
      </w:r>
      <w:r w:rsidRPr="00800D5B">
        <w:rPr>
          <w:lang w:val="fr-FR"/>
        </w:rPr>
        <w:t xml:space="preserve"> întregul program de cooperare</w:t>
      </w:r>
    </w:p>
    <w:p w:rsidR="004C762C" w:rsidRPr="00800D5B" w:rsidRDefault="004C762C" w:rsidP="004C762C">
      <w:pPr>
        <w:pStyle w:val="ListParagraph"/>
        <w:numPr>
          <w:ilvl w:val="0"/>
          <w:numId w:val="48"/>
        </w:numPr>
        <w:rPr>
          <w:lang w:val="fr-FR"/>
        </w:rPr>
      </w:pPr>
      <w:r w:rsidRPr="00800D5B">
        <w:rPr>
          <w:lang w:val="fr-FR"/>
        </w:rPr>
        <w:t xml:space="preserve">schimbãrile majore aduse structurii de implementare </w:t>
      </w:r>
      <w:proofErr w:type="gramStart"/>
      <w:r w:rsidRPr="00800D5B">
        <w:rPr>
          <w:lang w:val="fr-FR"/>
        </w:rPr>
        <w:t>a</w:t>
      </w:r>
      <w:proofErr w:type="gramEnd"/>
      <w:r w:rsidRPr="00800D5B">
        <w:rPr>
          <w:lang w:val="fr-FR"/>
        </w:rPr>
        <w:t xml:space="preserve"> programului, cu impact asupra implementãrii programului</w:t>
      </w:r>
    </w:p>
    <w:p w:rsidR="004C762C" w:rsidRDefault="004C762C" w:rsidP="004C762C">
      <w:pPr>
        <w:rPr>
          <w:lang w:val="fr-FR"/>
        </w:rPr>
      </w:pPr>
    </w:p>
    <w:p w:rsidR="004C762C" w:rsidRPr="00B04B06" w:rsidRDefault="004C762C" w:rsidP="004C762C">
      <w:pPr>
        <w:rPr>
          <w:b/>
          <w:lang w:val="fr-FR"/>
        </w:rPr>
      </w:pPr>
      <w:r w:rsidRPr="00B04B06">
        <w:rPr>
          <w:b/>
          <w:lang w:val="fr-FR"/>
        </w:rPr>
        <w:t xml:space="preserve">Autoritatea </w:t>
      </w:r>
      <w:proofErr w:type="gramStart"/>
      <w:r w:rsidRPr="00B04B06">
        <w:rPr>
          <w:b/>
          <w:lang w:val="fr-FR"/>
        </w:rPr>
        <w:t>de Audit</w:t>
      </w:r>
      <w:proofErr w:type="gramEnd"/>
    </w:p>
    <w:p w:rsidR="004C762C" w:rsidRDefault="004C762C" w:rsidP="004C762C">
      <w:pPr>
        <w:rPr>
          <w:lang w:val="fr-FR"/>
        </w:rPr>
      </w:pPr>
      <w:r>
        <w:rPr>
          <w:lang w:val="fr-FR"/>
        </w:rPr>
        <w:t xml:space="preserve">Conform art 127 (4) din regulamentul UE nr. 1303/2013 o singurã autoritate </w:t>
      </w:r>
      <w:proofErr w:type="gramStart"/>
      <w:r>
        <w:rPr>
          <w:lang w:val="fr-FR"/>
        </w:rPr>
        <w:t>de audit</w:t>
      </w:r>
      <w:proofErr w:type="gramEnd"/>
      <w:r>
        <w:rPr>
          <w:lang w:val="fr-FR"/>
        </w:rPr>
        <w:t xml:space="preserve"> va fi numitã de statele membre. Prevederile art 125 din regulamentul UE nr 1299/2013 cu privire </w:t>
      </w:r>
      <w:proofErr w:type="gramStart"/>
      <w:r>
        <w:rPr>
          <w:lang w:val="fr-FR"/>
        </w:rPr>
        <w:t>la</w:t>
      </w:r>
      <w:proofErr w:type="gramEnd"/>
      <w:r>
        <w:rPr>
          <w:lang w:val="fr-FR"/>
        </w:rPr>
        <w:t xml:space="preserve"> art 127 al regulamentului UE nr 1303/2013, referitoare la grupul de auditori, se vor aplica. </w:t>
      </w:r>
    </w:p>
    <w:p w:rsidR="004C762C" w:rsidRDefault="004C762C" w:rsidP="004C762C">
      <w:pPr>
        <w:rPr>
          <w:lang w:val="fr-FR"/>
        </w:rPr>
      </w:pPr>
      <w:r>
        <w:rPr>
          <w:lang w:val="fr-FR"/>
        </w:rPr>
        <w:t xml:space="preserve">Strategia </w:t>
      </w:r>
      <w:proofErr w:type="gramStart"/>
      <w:r>
        <w:rPr>
          <w:lang w:val="fr-FR"/>
        </w:rPr>
        <w:t>de audit</w:t>
      </w:r>
      <w:proofErr w:type="gramEnd"/>
      <w:r>
        <w:rPr>
          <w:lang w:val="fr-FR"/>
        </w:rPr>
        <w:t xml:space="preserve"> va stabili ce atribuţii ale autoritãţii de audit în baza art 127 al regulamentului UE nr. 1303/2013 şi art 125 din regulamentul UE nr 1299/2013 sunt externalizate (audituri privind buna func</w:t>
      </w:r>
      <w:r>
        <w:rPr>
          <w:rFonts w:ascii="Cambria Math" w:hAnsi="Cambria Math" w:cs="Cambria Math"/>
          <w:lang w:val="fr-FR"/>
        </w:rPr>
        <w:t>ț</w:t>
      </w:r>
      <w:r>
        <w:rPr>
          <w:lang w:val="fr-FR"/>
        </w:rPr>
        <w:t xml:space="preserve">ionare a sistemului de management </w:t>
      </w:r>
      <w:r>
        <w:rPr>
          <w:rFonts w:ascii="Cambria Math" w:hAnsi="Cambria Math" w:cs="Cambria Math"/>
          <w:lang w:val="fr-FR"/>
        </w:rPr>
        <w:t>ș</w:t>
      </w:r>
      <w:r>
        <w:rPr>
          <w:lang w:val="fr-FR"/>
        </w:rPr>
        <w:t>i control al programului opera</w:t>
      </w:r>
      <w:r>
        <w:rPr>
          <w:rFonts w:ascii="Cambria Math" w:hAnsi="Cambria Math" w:cs="Cambria Math"/>
          <w:lang w:val="fr-FR"/>
        </w:rPr>
        <w:t>ț</w:t>
      </w:r>
      <w:r>
        <w:rPr>
          <w:lang w:val="fr-FR"/>
        </w:rPr>
        <w:t xml:space="preserve">ional în Bulgaria </w:t>
      </w:r>
      <w:r>
        <w:rPr>
          <w:rFonts w:ascii="Cambria Math" w:hAnsi="Cambria Math" w:cs="Cambria Math"/>
          <w:lang w:val="fr-FR"/>
        </w:rPr>
        <w:t>ș</w:t>
      </w:r>
      <w:r>
        <w:rPr>
          <w:lang w:val="fr-FR"/>
        </w:rPr>
        <w:t>i / sau pe un e</w:t>
      </w:r>
      <w:r>
        <w:rPr>
          <w:rFonts w:ascii="Cambria Math" w:hAnsi="Cambria Math" w:cs="Cambria Math"/>
          <w:lang w:val="fr-FR"/>
        </w:rPr>
        <w:t>ș</w:t>
      </w:r>
      <w:r>
        <w:rPr>
          <w:lang w:val="fr-FR"/>
        </w:rPr>
        <w:t>antion adecvat de opera</w:t>
      </w:r>
      <w:r>
        <w:rPr>
          <w:rFonts w:ascii="Cambria Math" w:hAnsi="Cambria Math" w:cs="Cambria Math"/>
          <w:lang w:val="fr-FR"/>
        </w:rPr>
        <w:t>ț</w:t>
      </w:r>
      <w:r>
        <w:rPr>
          <w:lang w:val="fr-FR"/>
        </w:rPr>
        <w:t xml:space="preserve">iuni pe baza cheltuielilor declarate de beneficiarii bulgari). Astfel, autoritatea </w:t>
      </w:r>
      <w:proofErr w:type="gramStart"/>
      <w:r>
        <w:rPr>
          <w:lang w:val="fr-FR"/>
        </w:rPr>
        <w:t>de audit</w:t>
      </w:r>
      <w:proofErr w:type="gramEnd"/>
      <w:r>
        <w:rPr>
          <w:lang w:val="fr-FR"/>
        </w:rPr>
        <w:t xml:space="preserve"> de comun acord cu GoA (şi CM pentru prevederile bugetare) poate decide sã contracteze o firmã externã de audit pentru  a efectua procedura de audit în Bulgaria. </w:t>
      </w:r>
    </w:p>
    <w:p w:rsidR="004C762C" w:rsidRDefault="004C762C" w:rsidP="004C762C">
      <w:pPr>
        <w:rPr>
          <w:lang w:val="fr-FR"/>
        </w:rPr>
      </w:pPr>
      <w:r>
        <w:rPr>
          <w:lang w:val="fr-FR"/>
        </w:rPr>
        <w:t xml:space="preserve">Principalele atribuţii şi responsabilitãţi ale AA, aşa cum sunt prevãzute de regulamentul UE nr. 1303/2013, art 127, sunt: sã asigure cã auditul este efectuat asupra sistemelor de control şi management, pe un eşantion adecvat de operaţiuni şi asupra conturilor anuale; sã pregãteascã o strategie de audit în decurs de opt luni de la adoptarea programului care va stabili metodologia de audit, metodele de audit asupra operaţiunilor şi planificarea auditurilor în conformitate cu anul financiar curent şi doi ani financiari ulteriori. Strategia de audit va fi actualizatã anual, din 2016, pânã, inclusiv, în anul 2024. </w:t>
      </w:r>
    </w:p>
    <w:p w:rsidR="004C762C" w:rsidRDefault="004C762C" w:rsidP="004C762C">
      <w:pPr>
        <w:rPr>
          <w:lang w:val="fr-FR"/>
        </w:rPr>
      </w:pPr>
      <w:r>
        <w:rPr>
          <w:lang w:val="fr-FR"/>
        </w:rPr>
        <w:t xml:space="preserve">Autoritatea de Audit se va asigura printr-un audit al sistemului  ca înainte de depunerea primelor contabilizari AC a instituit procedurile adecvate pentru a contabiliza sumele ce vor fi trase, recuperate sau deduse în urma solicitãrilor de platã în timpul anului financiar, precum şi pentru a urmãri recuperãrile în curs şi sumele ce nu pot fi recuperate ; va redacta un aviz anual de audit în conformitate cu cel de-al doilea subparagraf al art 59(5) din Regulamentul Financiar nr.966/2012; va redacta un </w:t>
      </w:r>
      <w:r>
        <w:rPr>
          <w:lang w:val="fr-FR"/>
        </w:rPr>
        <w:lastRenderedPageBreak/>
        <w:t>raport anual de control ce va stabili principalele concluzii în urma auditului efectuat conform art 127(1) din regulamentul UE 1303/2013 , inclusiv concluziile cu privire la deficienţele întâlnite în sistemul de management şi control, şi acţiunile de corecţie propuse şi implementate.</w:t>
      </w:r>
    </w:p>
    <w:p w:rsidR="004C762C" w:rsidRDefault="004C762C" w:rsidP="004C762C">
      <w:pPr>
        <w:rPr>
          <w:lang w:val="fr-FR"/>
        </w:rPr>
      </w:pPr>
      <w:r>
        <w:rPr>
          <w:lang w:val="fr-FR"/>
        </w:rPr>
        <w:t xml:space="preserve">În îndeplinirea atribuţiilor sale, conform art 25 din regulamentul UE nr. 1299/2013, AA este asistatã de un  GoA compus din câte un reprezentant din fiecare stat membru. Fiecare stat membru va fi responsabil pentru operaţiunile </w:t>
      </w:r>
      <w:proofErr w:type="gramStart"/>
      <w:r>
        <w:rPr>
          <w:lang w:val="fr-FR"/>
        </w:rPr>
        <w:t>de audit</w:t>
      </w:r>
      <w:proofErr w:type="gramEnd"/>
      <w:r>
        <w:rPr>
          <w:lang w:val="fr-FR"/>
        </w:rPr>
        <w:t xml:space="preserve"> efectuate pe teritoriul sãu. Fiecare reprezentant din fiecare stat membru participant </w:t>
      </w:r>
      <w:proofErr w:type="gramStart"/>
      <w:r>
        <w:rPr>
          <w:lang w:val="fr-FR"/>
        </w:rPr>
        <w:t>la</w:t>
      </w:r>
      <w:proofErr w:type="gramEnd"/>
      <w:r>
        <w:rPr>
          <w:lang w:val="fr-FR"/>
        </w:rPr>
        <w:t xml:space="preserve"> program  va fi responsabil pentru furnizarea elementelor factuale cu privire la cheltuielile efectuate pe teritoriul sãu care sunt solicitate de cãtre autoritatea de audit pentru realizarea evaluãrii.</w:t>
      </w:r>
    </w:p>
    <w:p w:rsidR="004C762C" w:rsidRDefault="004C762C" w:rsidP="004C762C">
      <w:pPr>
        <w:rPr>
          <w:lang w:val="fr-FR"/>
        </w:rPr>
      </w:pPr>
      <w:r>
        <w:rPr>
          <w:lang w:val="fr-FR"/>
        </w:rPr>
        <w:t xml:space="preserve">GoA va fi stabilit în decurs de trei luni de </w:t>
      </w:r>
      <w:proofErr w:type="gramStart"/>
      <w:r>
        <w:rPr>
          <w:lang w:val="fr-FR"/>
        </w:rPr>
        <w:t>la aprobarea</w:t>
      </w:r>
      <w:proofErr w:type="gramEnd"/>
      <w:r>
        <w:rPr>
          <w:lang w:val="fr-FR"/>
        </w:rPr>
        <w:t xml:space="preserve"> programului. Va stabili propriile reguli de procedurã, sub conducerea AA. Regulile de procedurã vor include o descriere detaliatã a atribuţiilor şi responsabilitãţilor fiecãruia dintre auditori. </w:t>
      </w:r>
      <w:r w:rsidRPr="006C6828">
        <w:rPr>
          <w:lang w:val="it-IT"/>
        </w:rPr>
        <w:t xml:space="preserve">Aceştia vor fi independenţi din punct de vedere funcţional faţã de CPN/SC/AN/AM. </w:t>
      </w:r>
      <w:r>
        <w:rPr>
          <w:lang w:val="fr-FR"/>
        </w:rPr>
        <w:t xml:space="preserve">GoA va asista AA în stabilirea şi implementarea strategiei </w:t>
      </w:r>
      <w:proofErr w:type="gramStart"/>
      <w:r>
        <w:rPr>
          <w:lang w:val="fr-FR"/>
        </w:rPr>
        <w:t>de audit</w:t>
      </w:r>
      <w:proofErr w:type="gramEnd"/>
      <w:r>
        <w:rPr>
          <w:lang w:val="fr-FR"/>
        </w:rPr>
        <w:t>. Strategia va indica ce mãsuri au fost puse în aplicare de cãtre AA şi GoA pentru a se asigura ca aceeaşi metodologie de audit, conforma standardelor de audit acceptate la nivel internaţional, a fost aplicata de cãtre toţi membrii grupului de auditori.</w:t>
      </w:r>
    </w:p>
    <w:p w:rsidR="004C762C" w:rsidRDefault="004C762C" w:rsidP="004C762C">
      <w:pPr>
        <w:rPr>
          <w:lang w:val="fr-FR"/>
        </w:rPr>
      </w:pPr>
      <w:r>
        <w:rPr>
          <w:lang w:val="fr-FR"/>
        </w:rPr>
        <w:t xml:space="preserve">AA împreunã cu GoA se vor asigura de calitatea şi completitudinea operaţiunii de audit derulate şi/sau documentele emise de cãtre firma externã de audit. Analizele calitative periodice ale metodelor şi procedurilor de lucru vor fi desfãşurate de AA împreunã cu GoA pentru a se asigura cã rapoartele de audit şi concluziile lor sunt total fiabile. Astfel de analize vor viza dosarele </w:t>
      </w:r>
      <w:proofErr w:type="gramStart"/>
      <w:r>
        <w:rPr>
          <w:lang w:val="fr-FR"/>
        </w:rPr>
        <w:t>de audit</w:t>
      </w:r>
      <w:proofErr w:type="gramEnd"/>
      <w:r>
        <w:rPr>
          <w:lang w:val="fr-FR"/>
        </w:rPr>
        <w:t xml:space="preserve">, documentele de lucru şi doveditoare şi sistemele de follow-up. Firma externã de audit va prezenta metodologiile ce vor fi implementate precum şi modelul rapoartelor de audit; aceste metodologii şi modele necesitând aprobarea AA, asistatã de GoA. Cerinţele cheie care vor fi verificate în Bulgaria în timpul auditului asupra sistemelor de control şi management, şi eşantionul cheltuielilor  care vor fi auditate în Bulgaria de cãtre firma externã de audit vor fi stabilite de AA împreunã cu GoA. AA împreunã cu GoA vor avea dreptul de a solicita orice clarificãri necesare din partea firmei externe de audit, precum şi de a obtine dovezile </w:t>
      </w:r>
      <w:proofErr w:type="gramStart"/>
      <w:r>
        <w:rPr>
          <w:lang w:val="fr-FR"/>
        </w:rPr>
        <w:t>de audit</w:t>
      </w:r>
      <w:proofErr w:type="gramEnd"/>
      <w:r>
        <w:rPr>
          <w:lang w:val="fr-FR"/>
        </w:rPr>
        <w:t xml:space="preserve">. </w:t>
      </w:r>
    </w:p>
    <w:p w:rsidR="004C762C" w:rsidRDefault="004C762C" w:rsidP="004C762C">
      <w:pPr>
        <w:rPr>
          <w:lang w:val="fr-FR"/>
        </w:rPr>
      </w:pPr>
    </w:p>
    <w:p w:rsidR="004C762C" w:rsidRPr="00B04B06" w:rsidRDefault="004C762C" w:rsidP="004C762C">
      <w:pPr>
        <w:rPr>
          <w:b/>
          <w:lang w:val="fr-FR"/>
        </w:rPr>
      </w:pPr>
      <w:r w:rsidRPr="00B04B06">
        <w:rPr>
          <w:b/>
          <w:lang w:val="fr-FR"/>
        </w:rPr>
        <w:t>Secretariatul comun</w:t>
      </w:r>
    </w:p>
    <w:p w:rsidR="004C762C" w:rsidRDefault="004C762C" w:rsidP="004C762C">
      <w:pPr>
        <w:rPr>
          <w:lang w:val="fr-FR"/>
        </w:rPr>
      </w:pPr>
      <w:r>
        <w:rPr>
          <w:lang w:val="fr-FR"/>
        </w:rPr>
        <w:t>Secretariatul comun este o entitate independentã, ce garanteazã imparţialitatea implementãrii Programului. Conform prevederilor articolului 23 (2) al Regulame</w:t>
      </w:r>
      <w:r w:rsidR="00C80BF8">
        <w:rPr>
          <w:lang w:val="fr-FR"/>
        </w:rPr>
        <w:t>ntului CTE şi în baza deciziei întâ</w:t>
      </w:r>
      <w:r>
        <w:rPr>
          <w:lang w:val="fr-FR"/>
        </w:rPr>
        <w:t xml:space="preserve">lnirii Grupului Comun de Lucru, un secretariat comun va fi înfiinţat de cãtre autoritatea de management. SC va fi menţinut la </w:t>
      </w:r>
      <w:r w:rsidR="00C036BE">
        <w:rPr>
          <w:lang w:val="fr-FR"/>
        </w:rPr>
        <w:t>Biroul</w:t>
      </w:r>
      <w:r w:rsidR="00A158A9" w:rsidRPr="00A158A9">
        <w:rPr>
          <w:lang w:val="fr-FR"/>
        </w:rPr>
        <w:t xml:space="preserve"> Regional de Cooperare </w:t>
      </w:r>
      <w:r w:rsidR="00C036BE">
        <w:rPr>
          <w:lang w:val="fr-FR"/>
        </w:rPr>
        <w:t xml:space="preserve">Transfrontalieră </w:t>
      </w:r>
      <w:r w:rsidR="00A158A9" w:rsidRPr="00A158A9">
        <w:rPr>
          <w:lang w:val="fr-FR"/>
        </w:rPr>
        <w:t>Călărași pentru Grani</w:t>
      </w:r>
      <w:r w:rsidR="00A158A9" w:rsidRPr="00A158A9">
        <w:rPr>
          <w:lang w:val="ro-RO"/>
        </w:rPr>
        <w:t>ța România-Bulgaria</w:t>
      </w:r>
      <w:r>
        <w:rPr>
          <w:lang w:val="fr-FR"/>
        </w:rPr>
        <w:t xml:space="preserve">, iar o filialã va fi înfiinţatã la Ruse. </w:t>
      </w:r>
    </w:p>
    <w:p w:rsidR="004C762C" w:rsidRDefault="00C036BE" w:rsidP="004C762C">
      <w:pPr>
        <w:rPr>
          <w:lang w:val="fr-FR"/>
        </w:rPr>
      </w:pPr>
      <w:r>
        <w:rPr>
          <w:lang w:val="fr-FR"/>
        </w:rPr>
        <w:t>Potrivit art 23(2) Regulamentul CTE, SC va</w:t>
      </w:r>
      <w:r w:rsidR="004C762C">
        <w:rPr>
          <w:lang w:val="fr-FR"/>
        </w:rPr>
        <w:t xml:space="preserve">: </w:t>
      </w:r>
      <w:r>
        <w:rPr>
          <w:lang w:val="fr-FR"/>
        </w:rPr>
        <w:t xml:space="preserve">acorda </w:t>
      </w:r>
      <w:r w:rsidR="004C762C">
        <w:rPr>
          <w:lang w:val="fr-FR"/>
        </w:rPr>
        <w:t>asistenţ</w:t>
      </w:r>
      <w:r>
        <w:rPr>
          <w:lang w:val="fr-FR"/>
        </w:rPr>
        <w:t>ă</w:t>
      </w:r>
      <w:r w:rsidR="004C762C">
        <w:rPr>
          <w:lang w:val="fr-FR"/>
        </w:rPr>
        <w:t xml:space="preserve"> AM şi CM în derularea funcţiilor lor specifice şi furnizarea informaţiilor relevante cu privire </w:t>
      </w:r>
      <w:proofErr w:type="gramStart"/>
      <w:r w:rsidR="004C762C">
        <w:rPr>
          <w:lang w:val="fr-FR"/>
        </w:rPr>
        <w:t>la</w:t>
      </w:r>
      <w:proofErr w:type="gramEnd"/>
      <w:r w:rsidR="004C762C">
        <w:rPr>
          <w:lang w:val="fr-FR"/>
        </w:rPr>
        <w:t xml:space="preserve"> program cãtre potenţialii beneficiari. Un acord </w:t>
      </w:r>
      <w:proofErr w:type="gramStart"/>
      <w:r w:rsidR="004C762C">
        <w:rPr>
          <w:lang w:val="fr-FR"/>
        </w:rPr>
        <w:t>de implementare</w:t>
      </w:r>
      <w:proofErr w:type="gramEnd"/>
      <w:r w:rsidR="004C762C">
        <w:rPr>
          <w:lang w:val="fr-FR"/>
        </w:rPr>
        <w:t xml:space="preserve"> va fi semnat dupã aprobarea programului de cãtre Comisia Europeanã, delegând atribuţii cãtre secretariatul comun. Atribuţiile nu pot fi delegate mai departe cãtre o altã entitat</w:t>
      </w:r>
      <w:r>
        <w:rPr>
          <w:lang w:val="fr-FR"/>
        </w:rPr>
        <w:t>e</w:t>
      </w:r>
      <w:r w:rsidR="004C762C">
        <w:rPr>
          <w:lang w:val="fr-FR"/>
        </w:rPr>
        <w:t>.</w:t>
      </w:r>
    </w:p>
    <w:p w:rsidR="004C762C" w:rsidRDefault="004C762C" w:rsidP="004C762C">
      <w:pPr>
        <w:rPr>
          <w:lang w:val="fr-FR"/>
        </w:rPr>
      </w:pPr>
      <w:r>
        <w:rPr>
          <w:lang w:val="fr-FR"/>
        </w:rPr>
        <w:t>Atribuţiile secretariatului comun delegate de cãtre autoritatea de management vor fi urmãtoarele:</w:t>
      </w:r>
    </w:p>
    <w:p w:rsidR="004C762C" w:rsidRPr="00B04B06" w:rsidRDefault="004C762C" w:rsidP="004C762C">
      <w:pPr>
        <w:rPr>
          <w:i/>
          <w:u w:val="single"/>
          <w:lang w:val="en-US"/>
        </w:rPr>
      </w:pPr>
      <w:r w:rsidRPr="00B04B06">
        <w:rPr>
          <w:i/>
          <w:lang w:val="fr-FR"/>
        </w:rPr>
        <w:lastRenderedPageBreak/>
        <w:tab/>
      </w:r>
      <w:r w:rsidRPr="00B04B06">
        <w:rPr>
          <w:i/>
          <w:u w:val="single"/>
        </w:rPr>
        <w:t>Atribuţii principale:</w:t>
      </w:r>
    </w:p>
    <w:p w:rsidR="004C762C" w:rsidRPr="006C6828" w:rsidRDefault="004C762C" w:rsidP="004C762C">
      <w:pPr>
        <w:numPr>
          <w:ilvl w:val="0"/>
          <w:numId w:val="28"/>
        </w:numPr>
        <w:spacing w:before="0" w:after="0"/>
        <w:rPr>
          <w:lang w:val="it-IT"/>
        </w:rPr>
      </w:pPr>
      <w:r w:rsidRPr="006C6828">
        <w:rPr>
          <w:lang w:val="it-IT"/>
        </w:rPr>
        <w:t>Gestionarea, sub coordonarea AM, a implementãrii programului, pregãtirea materialelor necesare pentru implementarea programului/proiectelor; efectuarea vizitelor la faţa locului; oferirea de suport şi asistenţã partenerilor de proiect cu privire la implementarea activitãţilor şi managementul financiar;</w:t>
      </w:r>
    </w:p>
    <w:p w:rsidR="004C762C" w:rsidRPr="006C6828" w:rsidRDefault="004C762C" w:rsidP="004C762C">
      <w:pPr>
        <w:numPr>
          <w:ilvl w:val="0"/>
          <w:numId w:val="28"/>
        </w:numPr>
        <w:spacing w:before="0" w:after="0"/>
        <w:rPr>
          <w:lang w:val="it-IT"/>
        </w:rPr>
      </w:pPr>
      <w:r w:rsidRPr="006C6828">
        <w:rPr>
          <w:lang w:val="it-IT"/>
        </w:rPr>
        <w:t>Colaborarea cu beneficiarii actuali sau potenţiali pentru a colecta datele şi informaţiile necesare în procesul de revizuire a documentelor programului, redactarea rapoartelor, şi a altor documente necesare pentru monitorizarea progresului programului</w:t>
      </w:r>
    </w:p>
    <w:p w:rsidR="004C762C" w:rsidRPr="006C6828" w:rsidRDefault="004C762C" w:rsidP="004C762C">
      <w:pPr>
        <w:numPr>
          <w:ilvl w:val="0"/>
          <w:numId w:val="28"/>
        </w:numPr>
        <w:spacing w:before="0" w:after="0"/>
        <w:rPr>
          <w:lang w:val="it-IT"/>
        </w:rPr>
      </w:pPr>
      <w:r w:rsidRPr="006C6828">
        <w:rPr>
          <w:lang w:val="it-IT"/>
        </w:rPr>
        <w:t>Colectarea, procesarea şi centralizarea informaţiilor primite de la beneficiarii principali şi depunerea lor la AM</w:t>
      </w:r>
    </w:p>
    <w:p w:rsidR="004C762C" w:rsidRPr="006C6828" w:rsidRDefault="004C762C" w:rsidP="004C762C">
      <w:pPr>
        <w:numPr>
          <w:ilvl w:val="0"/>
          <w:numId w:val="28"/>
        </w:numPr>
        <w:spacing w:before="0" w:after="0"/>
        <w:rPr>
          <w:lang w:val="it-IT"/>
        </w:rPr>
      </w:pPr>
      <w:r w:rsidRPr="006C6828">
        <w:rPr>
          <w:lang w:val="it-IT"/>
        </w:rPr>
        <w:t>Asigurarea faptului cã beneficiarii au capacitatea administrativã, financiarã şi operaţionalã pentru a îndeplini cerinţele solicitate înainte de aprobarea operaţiunilor</w:t>
      </w:r>
    </w:p>
    <w:p w:rsidR="004C762C" w:rsidRPr="006C6828" w:rsidRDefault="004C762C" w:rsidP="004C762C">
      <w:pPr>
        <w:numPr>
          <w:ilvl w:val="0"/>
          <w:numId w:val="28"/>
        </w:numPr>
        <w:spacing w:before="0" w:after="0"/>
        <w:rPr>
          <w:lang w:val="it-IT"/>
        </w:rPr>
      </w:pPr>
      <w:r w:rsidRPr="006C6828">
        <w:rPr>
          <w:lang w:val="it-IT"/>
        </w:rPr>
        <w:t>Asigurarea faptului cã beneficiarii implicaţi în implementarea operaţiunilor rambursate în baza costurilor eligibile cheltuite efectiv, menţin fie un sistem separat de contabilitate, fie un cod contabil special pentru toate tranzacţiile cu privire la aceste operaţiuni</w:t>
      </w:r>
    </w:p>
    <w:p w:rsidR="004C762C" w:rsidRPr="00B04B06" w:rsidRDefault="004C762C" w:rsidP="004C762C">
      <w:pPr>
        <w:rPr>
          <w:i/>
          <w:u w:val="single"/>
        </w:rPr>
      </w:pPr>
      <w:r w:rsidRPr="00B04B06">
        <w:rPr>
          <w:i/>
          <w:u w:val="single"/>
        </w:rPr>
        <w:t>Mãsuri administrative:</w:t>
      </w:r>
    </w:p>
    <w:p w:rsidR="004C762C" w:rsidRPr="006C6828" w:rsidRDefault="004C762C" w:rsidP="004C762C">
      <w:pPr>
        <w:numPr>
          <w:ilvl w:val="0"/>
          <w:numId w:val="28"/>
        </w:numPr>
        <w:spacing w:before="0" w:after="0"/>
        <w:rPr>
          <w:lang w:val="it-IT"/>
        </w:rPr>
      </w:pPr>
      <w:r w:rsidRPr="006C6828">
        <w:rPr>
          <w:lang w:val="it-IT"/>
        </w:rPr>
        <w:t>Contribuţia adusã manualului de proceduri al programului şi redactarea propriilor proceduri interne conform acestui manual (aprobat de AM)</w:t>
      </w:r>
    </w:p>
    <w:p w:rsidR="004C762C" w:rsidRPr="006C6828" w:rsidRDefault="004C762C" w:rsidP="004C762C">
      <w:pPr>
        <w:numPr>
          <w:ilvl w:val="0"/>
          <w:numId w:val="28"/>
        </w:numPr>
        <w:spacing w:before="0" w:after="0"/>
        <w:rPr>
          <w:lang w:val="it-IT"/>
        </w:rPr>
      </w:pPr>
      <w:r w:rsidRPr="006C6828">
        <w:rPr>
          <w:lang w:val="it-IT"/>
        </w:rPr>
        <w:t>Asigurarea pregãtirii adecvate a personalului pentru a asigura implementarea corectã a programului</w:t>
      </w:r>
    </w:p>
    <w:p w:rsidR="004C762C" w:rsidRDefault="004C762C" w:rsidP="004C762C">
      <w:pPr>
        <w:numPr>
          <w:ilvl w:val="0"/>
          <w:numId w:val="28"/>
        </w:numPr>
        <w:spacing w:before="0" w:after="0"/>
        <w:rPr>
          <w:lang w:val="fr-FR"/>
        </w:rPr>
      </w:pPr>
      <w:r>
        <w:rPr>
          <w:lang w:val="fr-FR"/>
        </w:rPr>
        <w:t>Îndeplinirea atribuţiilor de secretariat pentru CM</w:t>
      </w:r>
    </w:p>
    <w:p w:rsidR="004C762C" w:rsidRPr="006C6828" w:rsidRDefault="004C762C" w:rsidP="004C762C">
      <w:pPr>
        <w:numPr>
          <w:ilvl w:val="0"/>
          <w:numId w:val="28"/>
        </w:numPr>
        <w:spacing w:before="0" w:after="0"/>
        <w:rPr>
          <w:lang w:val="it-IT"/>
        </w:rPr>
      </w:pPr>
      <w:r w:rsidRPr="006C6828">
        <w:rPr>
          <w:lang w:val="it-IT"/>
        </w:rPr>
        <w:t>Asigurarea secretariatului oricãror altor comisii constituite în cadrul programului</w:t>
      </w:r>
    </w:p>
    <w:p w:rsidR="004C762C" w:rsidRPr="006C6828" w:rsidRDefault="004C762C" w:rsidP="004C762C">
      <w:pPr>
        <w:numPr>
          <w:ilvl w:val="0"/>
          <w:numId w:val="28"/>
        </w:numPr>
        <w:spacing w:before="0" w:after="0"/>
        <w:rPr>
          <w:lang w:val="it-IT"/>
        </w:rPr>
      </w:pPr>
      <w:r w:rsidRPr="006C6828">
        <w:rPr>
          <w:lang w:val="it-IT"/>
        </w:rPr>
        <w:t>Organizarea, sub coordonarea AM şi AN şi</w:t>
      </w:r>
      <w:r w:rsidR="00C80BF8" w:rsidRPr="006C6828">
        <w:rPr>
          <w:lang w:val="it-IT"/>
        </w:rPr>
        <w:t xml:space="preserve"> în colaborare cu aceste instanţ</w:t>
      </w:r>
      <w:r w:rsidRPr="006C6828">
        <w:rPr>
          <w:lang w:val="it-IT"/>
        </w:rPr>
        <w:t>e a oric</w:t>
      </w:r>
      <w:r w:rsidR="00C80BF8" w:rsidRPr="006C6828">
        <w:rPr>
          <w:lang w:val="it-IT"/>
        </w:rPr>
        <w:t>ă</w:t>
      </w:r>
      <w:r w:rsidRPr="006C6828">
        <w:rPr>
          <w:lang w:val="it-IT"/>
        </w:rPr>
        <w:t>ror şedinţe, seminarii, conferinţe, etc, cu privire la implementarea programului</w:t>
      </w:r>
    </w:p>
    <w:p w:rsidR="004C762C" w:rsidRDefault="004C762C" w:rsidP="004C762C">
      <w:pPr>
        <w:numPr>
          <w:ilvl w:val="0"/>
          <w:numId w:val="28"/>
        </w:numPr>
        <w:spacing w:before="0" w:after="0"/>
        <w:rPr>
          <w:lang w:val="fr-FR"/>
        </w:rPr>
      </w:pPr>
      <w:r>
        <w:rPr>
          <w:lang w:val="fr-FR"/>
        </w:rPr>
        <w:t xml:space="preserve">Îndeplinirea în interiorul termenelor limitã a oricãror instrucţiuni acordate de AM şi AN cu privire la implementarea programului, instrucţiuni care vor deveni obligatorii de la data comunicãrii lor în scris </w:t>
      </w:r>
    </w:p>
    <w:p w:rsidR="004C762C" w:rsidRPr="006C6828" w:rsidRDefault="004C762C" w:rsidP="004C762C">
      <w:pPr>
        <w:rPr>
          <w:i/>
          <w:u w:val="single"/>
          <w:lang w:val="it-IT"/>
        </w:rPr>
      </w:pPr>
      <w:r w:rsidRPr="006C6828">
        <w:rPr>
          <w:i/>
          <w:u w:val="single"/>
          <w:lang w:val="it-IT"/>
        </w:rPr>
        <w:t>Lansarea apelurilor pentru propuneri, pregãtirea, evaluarea şi selectarea operaţiunilor:</w:t>
      </w:r>
    </w:p>
    <w:p w:rsidR="004C762C" w:rsidRPr="006C6828" w:rsidRDefault="004C762C" w:rsidP="004C762C">
      <w:pPr>
        <w:numPr>
          <w:ilvl w:val="0"/>
          <w:numId w:val="28"/>
        </w:numPr>
        <w:spacing w:before="0" w:after="0"/>
        <w:rPr>
          <w:lang w:val="it-IT"/>
        </w:rPr>
      </w:pPr>
      <w:r w:rsidRPr="006C6828">
        <w:rPr>
          <w:lang w:val="it-IT"/>
        </w:rPr>
        <w:t>Participarea, sub coordonarea AM, la elaborarea eligibilitãţii proiectelor şi a criteriilor de evaluare, la elaborarea Ghidului Aplicantului, precum şi la stabilirea calendarului apelurilor</w:t>
      </w:r>
    </w:p>
    <w:p w:rsidR="004C762C" w:rsidRPr="006C6828" w:rsidRDefault="004C762C" w:rsidP="004C762C">
      <w:pPr>
        <w:numPr>
          <w:ilvl w:val="0"/>
          <w:numId w:val="28"/>
        </w:numPr>
        <w:spacing w:before="0" w:after="0"/>
        <w:rPr>
          <w:lang w:val="it-IT"/>
        </w:rPr>
      </w:pPr>
      <w:r w:rsidRPr="006C6828">
        <w:rPr>
          <w:lang w:val="it-IT"/>
        </w:rPr>
        <w:t>Asistenţa în pregãtirea şi elaborarea proiectelor</w:t>
      </w:r>
    </w:p>
    <w:p w:rsidR="004C762C" w:rsidRPr="006C6828" w:rsidRDefault="004C762C" w:rsidP="004C762C">
      <w:pPr>
        <w:numPr>
          <w:ilvl w:val="0"/>
          <w:numId w:val="28"/>
        </w:numPr>
        <w:spacing w:before="0" w:after="0"/>
        <w:rPr>
          <w:lang w:val="it-IT"/>
        </w:rPr>
      </w:pPr>
      <w:r w:rsidRPr="006C6828">
        <w:rPr>
          <w:lang w:val="it-IT"/>
        </w:rPr>
        <w:t xml:space="preserve">Organizarea evenimentelor cu privire la lansarea apelurilor de proiecte în domeniile eligibile ale programului; asigurând publicitatea apelurilor de proiecte </w:t>
      </w:r>
    </w:p>
    <w:p w:rsidR="004C762C" w:rsidRPr="006C6828" w:rsidRDefault="004C762C" w:rsidP="004C762C">
      <w:pPr>
        <w:numPr>
          <w:ilvl w:val="0"/>
          <w:numId w:val="28"/>
        </w:numPr>
        <w:spacing w:before="0" w:after="0"/>
        <w:rPr>
          <w:lang w:val="it-IT"/>
        </w:rPr>
      </w:pPr>
      <w:r w:rsidRPr="006C6828">
        <w:rPr>
          <w:lang w:val="it-IT"/>
        </w:rPr>
        <w:t>Gestionarea depunerii formularelor de aplicaţii ; participarea în pregãtirea template-ului formularelor de aplicaţii şi al evaluãrii</w:t>
      </w:r>
    </w:p>
    <w:p w:rsidR="004C762C" w:rsidRPr="006C6828" w:rsidRDefault="004C762C" w:rsidP="004C762C">
      <w:pPr>
        <w:numPr>
          <w:ilvl w:val="0"/>
          <w:numId w:val="28"/>
        </w:numPr>
        <w:spacing w:before="0" w:after="0"/>
        <w:rPr>
          <w:lang w:val="it-IT"/>
        </w:rPr>
      </w:pPr>
      <w:r w:rsidRPr="006C6828">
        <w:rPr>
          <w:lang w:val="it-IT"/>
        </w:rPr>
        <w:t>Realizarea evaluãrii şi asigurarea calitãţii sale</w:t>
      </w:r>
    </w:p>
    <w:p w:rsidR="004C762C" w:rsidRDefault="00C80BF8" w:rsidP="004C762C">
      <w:pPr>
        <w:numPr>
          <w:ilvl w:val="0"/>
          <w:numId w:val="28"/>
        </w:numPr>
        <w:spacing w:before="0" w:after="0"/>
      </w:pPr>
      <w:r>
        <w:t>Stimularea parteneriatelor în aria eligibilă</w:t>
      </w:r>
    </w:p>
    <w:p w:rsidR="004C762C" w:rsidRPr="006C6828" w:rsidRDefault="004C762C" w:rsidP="004C762C">
      <w:pPr>
        <w:numPr>
          <w:ilvl w:val="0"/>
          <w:numId w:val="28"/>
        </w:numPr>
        <w:spacing w:before="0" w:after="0"/>
        <w:rPr>
          <w:lang w:val="it-IT"/>
        </w:rPr>
      </w:pPr>
      <w:r w:rsidRPr="006C6828">
        <w:rPr>
          <w:lang w:val="it-IT"/>
        </w:rPr>
        <w:t>Asigurarea notificãrii beneficiarilor cu privire la rezult</w:t>
      </w:r>
      <w:r w:rsidR="00C80BF8" w:rsidRPr="006C6828">
        <w:rPr>
          <w:lang w:val="it-IT"/>
        </w:rPr>
        <w:t>atele procedurilor de evaluare ş</w:t>
      </w:r>
      <w:r w:rsidRPr="006C6828">
        <w:rPr>
          <w:lang w:val="it-IT"/>
        </w:rPr>
        <w:t>i selecţie</w:t>
      </w:r>
    </w:p>
    <w:p w:rsidR="004C762C" w:rsidRPr="00B04B06" w:rsidRDefault="004C762C" w:rsidP="004C762C">
      <w:pPr>
        <w:rPr>
          <w:i/>
          <w:u w:val="single"/>
        </w:rPr>
      </w:pPr>
      <w:r w:rsidRPr="00B04B06">
        <w:rPr>
          <w:i/>
          <w:u w:val="single"/>
        </w:rPr>
        <w:lastRenderedPageBreak/>
        <w:t>Contractarea:</w:t>
      </w:r>
    </w:p>
    <w:p w:rsidR="004C762C" w:rsidRPr="006C6828" w:rsidRDefault="004C762C" w:rsidP="004C762C">
      <w:pPr>
        <w:numPr>
          <w:ilvl w:val="0"/>
          <w:numId w:val="28"/>
        </w:numPr>
        <w:spacing w:before="0" w:after="0"/>
        <w:rPr>
          <w:lang w:val="it-IT"/>
        </w:rPr>
      </w:pPr>
      <w:r w:rsidRPr="006C6828">
        <w:rPr>
          <w:lang w:val="it-IT"/>
        </w:rPr>
        <w:t>Participarea la redactarea template-urilor contractelor</w:t>
      </w:r>
    </w:p>
    <w:p w:rsidR="004C762C" w:rsidRPr="006C6828" w:rsidRDefault="004C762C" w:rsidP="004C762C">
      <w:pPr>
        <w:numPr>
          <w:ilvl w:val="0"/>
          <w:numId w:val="28"/>
        </w:numPr>
        <w:spacing w:before="0" w:after="0"/>
        <w:rPr>
          <w:lang w:val="it-IT"/>
        </w:rPr>
      </w:pPr>
      <w:r w:rsidRPr="006C6828">
        <w:rPr>
          <w:lang w:val="it-IT"/>
        </w:rPr>
        <w:t>Pregãtirea contractelor, colectarea datelor de la beneficiari, şi depunerea lor cãtre AM pentru semnare</w:t>
      </w:r>
    </w:p>
    <w:p w:rsidR="004C762C" w:rsidRDefault="004C762C" w:rsidP="004C762C">
      <w:pPr>
        <w:numPr>
          <w:ilvl w:val="0"/>
          <w:numId w:val="28"/>
        </w:numPr>
        <w:spacing w:before="0" w:after="0"/>
        <w:rPr>
          <w:lang w:val="fr-FR"/>
        </w:rPr>
      </w:pPr>
      <w:r>
        <w:rPr>
          <w:lang w:val="fr-FR"/>
        </w:rPr>
        <w:t>Derularea pre-contractãrii prin vizite la faţa locului pentru fiecare operaţiune selectatã</w:t>
      </w:r>
    </w:p>
    <w:p w:rsidR="004C762C" w:rsidRPr="006C6828" w:rsidRDefault="004C762C" w:rsidP="004C762C">
      <w:pPr>
        <w:numPr>
          <w:ilvl w:val="0"/>
          <w:numId w:val="28"/>
        </w:numPr>
        <w:spacing w:before="0" w:after="0"/>
        <w:rPr>
          <w:lang w:val="it-IT"/>
        </w:rPr>
      </w:pPr>
      <w:r w:rsidRPr="006C6828">
        <w:rPr>
          <w:lang w:val="it-IT"/>
        </w:rPr>
        <w:t>Informarea beneficiarilor cu privire la obligaţiile acestora, stipulate în contractele de finanţare</w:t>
      </w:r>
    </w:p>
    <w:p w:rsidR="004C762C" w:rsidRPr="00B04B06" w:rsidRDefault="004C762C" w:rsidP="004C762C">
      <w:pPr>
        <w:rPr>
          <w:i/>
          <w:u w:val="single"/>
        </w:rPr>
      </w:pPr>
      <w:r w:rsidRPr="00B04B06">
        <w:rPr>
          <w:i/>
          <w:u w:val="single"/>
        </w:rPr>
        <w:t>Managementul financiar:</w:t>
      </w:r>
    </w:p>
    <w:p w:rsidR="004C762C" w:rsidRPr="006C6828" w:rsidRDefault="004C762C" w:rsidP="004C762C">
      <w:pPr>
        <w:numPr>
          <w:ilvl w:val="0"/>
          <w:numId w:val="28"/>
        </w:numPr>
        <w:spacing w:before="0" w:after="0"/>
        <w:rPr>
          <w:lang w:val="it-IT"/>
        </w:rPr>
      </w:pPr>
      <w:r w:rsidRPr="006C6828">
        <w:rPr>
          <w:lang w:val="it-IT"/>
        </w:rPr>
        <w:t>Pãstrarea evidenţei tuturor documentelor cu privire la cheltuielile efectuate în cadrul proiectelor finanţate prin program, potrivit regulamentelor Comisiei Europene</w:t>
      </w:r>
    </w:p>
    <w:p w:rsidR="004C762C" w:rsidRPr="006C6828" w:rsidRDefault="004C762C" w:rsidP="004C762C">
      <w:pPr>
        <w:numPr>
          <w:ilvl w:val="0"/>
          <w:numId w:val="28"/>
        </w:numPr>
        <w:spacing w:before="0" w:after="0"/>
        <w:rPr>
          <w:lang w:val="it-IT"/>
        </w:rPr>
      </w:pPr>
      <w:r w:rsidRPr="006C6828">
        <w:rPr>
          <w:lang w:val="it-IT"/>
        </w:rPr>
        <w:t>Calitatea de punct de contact pentru toţi beneficiarii, primirea documentelor cu privire la operaţiunile implementate, analiza şi depunerea lor la AM, conform procedurilor</w:t>
      </w:r>
    </w:p>
    <w:p w:rsidR="004C762C" w:rsidRDefault="004C762C" w:rsidP="004C762C">
      <w:pPr>
        <w:numPr>
          <w:ilvl w:val="0"/>
          <w:numId w:val="28"/>
        </w:numPr>
        <w:spacing w:before="0" w:after="0"/>
      </w:pPr>
      <w:r>
        <w:t>Notificarea AM în maximum 5 zile lucrãtoare despre orice neregularitate</w:t>
      </w:r>
    </w:p>
    <w:p w:rsidR="004C762C" w:rsidRPr="006C6828" w:rsidRDefault="004C762C" w:rsidP="004C762C">
      <w:pPr>
        <w:numPr>
          <w:ilvl w:val="0"/>
          <w:numId w:val="28"/>
        </w:numPr>
        <w:spacing w:before="0" w:after="0"/>
        <w:rPr>
          <w:lang w:val="it-IT"/>
        </w:rPr>
      </w:pPr>
      <w:r w:rsidRPr="006C6828">
        <w:rPr>
          <w:lang w:val="it-IT"/>
        </w:rPr>
        <w:t>Asigurarea prevenirii neregularitãţilor, depistarea şi monitorizarea mãsurilor aplicate</w:t>
      </w:r>
    </w:p>
    <w:p w:rsidR="004C762C" w:rsidRPr="006C6828" w:rsidRDefault="004C762C" w:rsidP="004C762C">
      <w:pPr>
        <w:numPr>
          <w:ilvl w:val="0"/>
          <w:numId w:val="28"/>
        </w:numPr>
        <w:spacing w:before="0" w:after="0"/>
        <w:rPr>
          <w:lang w:val="it-IT"/>
        </w:rPr>
      </w:pPr>
      <w:r w:rsidRPr="006C6828">
        <w:rPr>
          <w:lang w:val="it-IT"/>
        </w:rPr>
        <w:t>Adoptarea tuturor mãsurilor necesare pentru combaterea fraudei</w:t>
      </w:r>
    </w:p>
    <w:p w:rsidR="004C762C" w:rsidRPr="006C6828" w:rsidRDefault="00C80BF8" w:rsidP="004C762C">
      <w:pPr>
        <w:numPr>
          <w:ilvl w:val="0"/>
          <w:numId w:val="28"/>
        </w:numPr>
        <w:spacing w:before="0" w:after="0"/>
        <w:rPr>
          <w:lang w:val="it-IT"/>
        </w:rPr>
      </w:pPr>
      <w:r w:rsidRPr="006C6828">
        <w:rPr>
          <w:lang w:val="it-IT"/>
        </w:rPr>
        <w:t>Trimiterea că</w:t>
      </w:r>
      <w:r w:rsidR="004C762C" w:rsidRPr="006C6828">
        <w:rPr>
          <w:lang w:val="it-IT"/>
        </w:rPr>
        <w:t xml:space="preserve">tre AM a rapoartelor despre orice </w:t>
      </w:r>
      <w:r w:rsidR="00C036BE">
        <w:rPr>
          <w:lang w:val="it-IT"/>
        </w:rPr>
        <w:t xml:space="preserve">posibilă </w:t>
      </w:r>
      <w:r w:rsidR="004C762C" w:rsidRPr="006C6828">
        <w:rPr>
          <w:lang w:val="it-IT"/>
        </w:rPr>
        <w:t xml:space="preserve">neregularitate </w:t>
      </w:r>
    </w:p>
    <w:p w:rsidR="004C762C" w:rsidRPr="006C6828" w:rsidRDefault="004C762C" w:rsidP="004C762C">
      <w:pPr>
        <w:numPr>
          <w:ilvl w:val="0"/>
          <w:numId w:val="28"/>
        </w:numPr>
        <w:spacing w:before="0" w:after="0"/>
        <w:rPr>
          <w:lang w:val="it-IT"/>
        </w:rPr>
      </w:pPr>
      <w:r w:rsidRPr="006C6828">
        <w:rPr>
          <w:lang w:val="it-IT"/>
        </w:rPr>
        <w:t>Furnizarea oricãrei informaţii sau document cãtre AM cu privire la proiectele finanţate, în termenele limitã stipulate, şi asigurarea faptului cã activitãţile de control şi audit pot fi derulate în mod adecvat</w:t>
      </w:r>
    </w:p>
    <w:p w:rsidR="004C762C" w:rsidRPr="00B04B06" w:rsidRDefault="004C762C" w:rsidP="004C762C">
      <w:pPr>
        <w:numPr>
          <w:ilvl w:val="0"/>
          <w:numId w:val="28"/>
        </w:numPr>
        <w:spacing w:before="0" w:after="0"/>
        <w:rPr>
          <w:lang w:val="fr-FR"/>
        </w:rPr>
      </w:pPr>
      <w:r>
        <w:rPr>
          <w:lang w:val="fr-FR"/>
        </w:rPr>
        <w:t xml:space="preserve">Respectarea şi implementarea tuturor </w:t>
      </w:r>
      <w:r w:rsidR="00C80BF8">
        <w:rPr>
          <w:lang w:val="fr-FR"/>
        </w:rPr>
        <w:t>recomandãrilor din partea direcţ</w:t>
      </w:r>
      <w:r>
        <w:rPr>
          <w:lang w:val="fr-FR"/>
        </w:rPr>
        <w:t xml:space="preserve">iei </w:t>
      </w:r>
      <w:proofErr w:type="gramStart"/>
      <w:r>
        <w:rPr>
          <w:lang w:val="fr-FR"/>
        </w:rPr>
        <w:t>de audit</w:t>
      </w:r>
      <w:proofErr w:type="gramEnd"/>
      <w:r>
        <w:rPr>
          <w:lang w:val="fr-FR"/>
        </w:rPr>
        <w:t xml:space="preserve"> a Comisiei Europene şi din partea autoritãţii de audit din cadrul Curţii de Conturi din România, pana la termenele limitã stabilite de aceste autoritãţi</w:t>
      </w:r>
    </w:p>
    <w:p w:rsidR="004C762C" w:rsidRPr="006C6828" w:rsidRDefault="004C762C" w:rsidP="004C762C">
      <w:pPr>
        <w:rPr>
          <w:i/>
          <w:u w:val="single"/>
          <w:lang w:val="it-IT"/>
        </w:rPr>
      </w:pPr>
      <w:r w:rsidRPr="006C6828">
        <w:rPr>
          <w:i/>
          <w:u w:val="single"/>
          <w:lang w:val="it-IT"/>
        </w:rPr>
        <w:t>Monitorizarea programului şi a proiectelor:</w:t>
      </w:r>
    </w:p>
    <w:p w:rsidR="004C762C" w:rsidRPr="006C6828" w:rsidRDefault="004C762C" w:rsidP="004C762C">
      <w:pPr>
        <w:numPr>
          <w:ilvl w:val="0"/>
          <w:numId w:val="28"/>
        </w:numPr>
        <w:spacing w:before="0" w:after="0"/>
        <w:rPr>
          <w:lang w:val="it-IT"/>
        </w:rPr>
      </w:pPr>
      <w:r w:rsidRPr="006C6828">
        <w:rPr>
          <w:lang w:val="it-IT"/>
        </w:rPr>
        <w:t xml:space="preserve">Monitorizarea progresului operaţiunilor, prin analiza şi verificarea </w:t>
      </w:r>
      <w:r w:rsidR="00445CB4">
        <w:rPr>
          <w:lang w:val="it-IT"/>
        </w:rPr>
        <w:t>documentelor de implementare</w:t>
      </w:r>
      <w:r w:rsidRPr="006C6828">
        <w:rPr>
          <w:lang w:val="it-IT"/>
        </w:rPr>
        <w:t xml:space="preserve">, rezultatele vizitelor la faţa locului, </w:t>
      </w:r>
      <w:r w:rsidR="00445CB4">
        <w:rPr>
          <w:lang w:val="it-IT"/>
        </w:rPr>
        <w:t>făcând recomandări și stabilind termene, dacă este cazul</w:t>
      </w:r>
    </w:p>
    <w:p w:rsidR="004C762C" w:rsidRPr="006C6828" w:rsidRDefault="004C762C" w:rsidP="004C762C">
      <w:pPr>
        <w:numPr>
          <w:ilvl w:val="0"/>
          <w:numId w:val="28"/>
        </w:numPr>
        <w:spacing w:before="0" w:after="0"/>
        <w:rPr>
          <w:lang w:val="it-IT"/>
        </w:rPr>
      </w:pPr>
      <w:r w:rsidRPr="006C6828">
        <w:rPr>
          <w:lang w:val="it-IT"/>
        </w:rPr>
        <w:t>Redactarea şi depunerea oricãror altor rapoarte sau documente solicitate de AM</w:t>
      </w:r>
    </w:p>
    <w:p w:rsidR="004C762C" w:rsidRDefault="004C762C" w:rsidP="004C762C">
      <w:pPr>
        <w:numPr>
          <w:ilvl w:val="0"/>
          <w:numId w:val="28"/>
        </w:numPr>
        <w:spacing w:before="0" w:after="0"/>
      </w:pPr>
      <w:r>
        <w:t xml:space="preserve">Colectarea şi actualizarea datelor tehnice, financiare şi statistice la nivel de proiect, asigurând includerea acestor date în sistemul electronic </w:t>
      </w:r>
    </w:p>
    <w:p w:rsidR="004C762C" w:rsidRPr="00B04B06" w:rsidRDefault="004C762C" w:rsidP="004C762C">
      <w:pPr>
        <w:rPr>
          <w:i/>
          <w:u w:val="single"/>
        </w:rPr>
      </w:pPr>
      <w:r w:rsidRPr="00B04B06">
        <w:rPr>
          <w:i/>
          <w:u w:val="single"/>
        </w:rPr>
        <w:t>Informare şi publicitate:</w:t>
      </w:r>
    </w:p>
    <w:p w:rsidR="004C762C" w:rsidRDefault="004C762C" w:rsidP="004C762C">
      <w:pPr>
        <w:numPr>
          <w:ilvl w:val="0"/>
          <w:numId w:val="28"/>
        </w:numPr>
        <w:spacing w:before="0" w:after="0"/>
        <w:rPr>
          <w:lang w:val="fr-FR"/>
        </w:rPr>
      </w:pPr>
      <w:r>
        <w:rPr>
          <w:lang w:val="fr-FR"/>
        </w:rPr>
        <w:t xml:space="preserve">Implementarea activitãţilor relevante pentru secretariatul comun din cadrul </w:t>
      </w:r>
      <w:r w:rsidR="00445CB4">
        <w:rPr>
          <w:lang w:val="fr-FR"/>
        </w:rPr>
        <w:t>strategiei</w:t>
      </w:r>
      <w:r>
        <w:rPr>
          <w:lang w:val="fr-FR"/>
        </w:rPr>
        <w:t xml:space="preserve"> de comunicare al programului</w:t>
      </w:r>
    </w:p>
    <w:p w:rsidR="004C762C" w:rsidRPr="006C6828" w:rsidRDefault="004C762C" w:rsidP="004C762C">
      <w:pPr>
        <w:numPr>
          <w:ilvl w:val="0"/>
          <w:numId w:val="28"/>
        </w:numPr>
        <w:spacing w:before="0" w:after="0"/>
        <w:rPr>
          <w:lang w:val="it-IT"/>
        </w:rPr>
      </w:pPr>
      <w:r w:rsidRPr="006C6828">
        <w:rPr>
          <w:lang w:val="it-IT"/>
        </w:rPr>
        <w:t>Asistenţa acordatã AM pentru pregãtirea şi furnizarea materialelor de informare pentru beneficiari</w:t>
      </w:r>
    </w:p>
    <w:p w:rsidR="004C762C" w:rsidRPr="006C6828" w:rsidRDefault="004C762C" w:rsidP="004C762C">
      <w:pPr>
        <w:numPr>
          <w:ilvl w:val="0"/>
          <w:numId w:val="28"/>
        </w:numPr>
        <w:spacing w:before="0" w:after="0"/>
        <w:rPr>
          <w:lang w:val="it-IT"/>
        </w:rPr>
      </w:pPr>
      <w:r w:rsidRPr="006C6828">
        <w:rPr>
          <w:lang w:val="it-IT"/>
        </w:rPr>
        <w:t>Actualizarea informaţiilor cu privire la program pe pagina online a programului</w:t>
      </w:r>
    </w:p>
    <w:p w:rsidR="004C762C" w:rsidRPr="006C6828" w:rsidRDefault="004C762C" w:rsidP="004C762C">
      <w:pPr>
        <w:rPr>
          <w:lang w:val="it-IT"/>
        </w:rPr>
      </w:pPr>
    </w:p>
    <w:p w:rsidR="004C762C" w:rsidRPr="00B04B06" w:rsidRDefault="004C762C" w:rsidP="004C762C">
      <w:pPr>
        <w:rPr>
          <w:b/>
          <w:lang w:val="fr-FR"/>
        </w:rPr>
      </w:pPr>
      <w:r w:rsidRPr="00B04B06">
        <w:rPr>
          <w:b/>
          <w:lang w:val="fr-FR"/>
        </w:rPr>
        <w:t>Mãsuri şi proceduri pentru managementul programului, implementare şi control</w:t>
      </w:r>
    </w:p>
    <w:p w:rsidR="004C762C" w:rsidRDefault="004C762C" w:rsidP="004C762C">
      <w:pPr>
        <w:rPr>
          <w:lang w:val="fr-FR"/>
        </w:rPr>
      </w:pPr>
      <w:r>
        <w:rPr>
          <w:lang w:val="fr-FR"/>
        </w:rPr>
        <w:t>Procedurile pentru selectarea, aprobarea, controlul şi managementul proiectelor sunt descrise, pe scurt, mai jos:</w:t>
      </w:r>
    </w:p>
    <w:p w:rsidR="004C762C" w:rsidRDefault="004C762C" w:rsidP="004C762C">
      <w:pPr>
        <w:rPr>
          <w:lang w:val="fr-FR"/>
        </w:rPr>
      </w:pPr>
    </w:p>
    <w:p w:rsidR="004C762C" w:rsidRPr="00B04B06" w:rsidRDefault="004C762C" w:rsidP="004C762C">
      <w:pPr>
        <w:rPr>
          <w:i/>
          <w:lang w:val="fr-FR"/>
        </w:rPr>
      </w:pPr>
      <w:r w:rsidRPr="00B04B06">
        <w:rPr>
          <w:i/>
          <w:lang w:val="fr-FR"/>
        </w:rPr>
        <w:t>Evaluarea şi selecţia proiectului</w:t>
      </w:r>
    </w:p>
    <w:p w:rsidR="004C762C" w:rsidRDefault="004C762C" w:rsidP="004C762C">
      <w:pPr>
        <w:rPr>
          <w:lang w:val="fr-FR"/>
        </w:rPr>
      </w:pPr>
      <w:r w:rsidRPr="00800D5B">
        <w:rPr>
          <w:b/>
          <w:u w:val="single"/>
          <w:lang w:val="fr-FR"/>
        </w:rPr>
        <w:t>Eligibilitate geograficã</w:t>
      </w:r>
      <w:r w:rsidRPr="00800D5B">
        <w:rPr>
          <w:b/>
          <w:lang w:val="fr-FR"/>
        </w:rPr>
        <w:t>:</w:t>
      </w:r>
      <w:r>
        <w:rPr>
          <w:lang w:val="fr-FR"/>
        </w:rPr>
        <w:t xml:space="preserve"> Programul CBC RO-BG 2014-2020 va sprijini activitãţile partenerilor situaţi în cel puţin una dintre unitãţile administrative NUTS III din România şi Bulgaria, definite anterior. Cu toate acestea, FEDR poate finanţa, de asemenea, operaţiunile care sunt implementate în afara “zonei UE a programului” cu condiţia ca termenii art 20 (2) din regulamentul CTE </w:t>
      </w:r>
      <w:r w:rsidR="00C80BF8">
        <w:rPr>
          <w:lang w:val="fr-FR"/>
        </w:rPr>
        <w:t>să</w:t>
      </w:r>
      <w:r>
        <w:rPr>
          <w:lang w:val="fr-FR"/>
        </w:rPr>
        <w:t xml:space="preserve"> fie îndepliniţi.</w:t>
      </w:r>
    </w:p>
    <w:p w:rsidR="004C762C" w:rsidRDefault="004C762C" w:rsidP="004C762C">
      <w:pPr>
        <w:rPr>
          <w:lang w:val="fr-FR"/>
        </w:rPr>
      </w:pPr>
      <w:r>
        <w:rPr>
          <w:lang w:val="fr-FR"/>
        </w:rPr>
        <w:t>Eligibilitatea partenerilor va fi detaliatã în ghidurile aplicantului din cadrul fiecãrui apel.</w:t>
      </w:r>
    </w:p>
    <w:p w:rsidR="004C762C" w:rsidRDefault="004C762C" w:rsidP="004C762C">
      <w:pPr>
        <w:rPr>
          <w:lang w:val="fr-FR"/>
        </w:rPr>
      </w:pPr>
      <w:r>
        <w:rPr>
          <w:lang w:val="fr-FR"/>
        </w:rPr>
        <w:t>Criteriile de eligibilitate vor fi fãcute cunoscute aplicanţilor prin intermediul Ghidului aplicantului elaborat de AM împreunã cu AN, cu sprijinul secretariatului comun, şi care va fi aprobat de cãtre Comitetul de monitorizare a proiectului.</w:t>
      </w:r>
    </w:p>
    <w:p w:rsidR="004C762C" w:rsidRDefault="004C762C" w:rsidP="004C762C">
      <w:pPr>
        <w:rPr>
          <w:lang w:val="fr-FR"/>
        </w:rPr>
      </w:pPr>
      <w:r>
        <w:rPr>
          <w:lang w:val="fr-FR"/>
        </w:rPr>
        <w:t>Evaluarea şi selecţia operaţiunilor şi procedura pentru semnarea documentelor ce stabilesc condiţiile asistenţei financiare vor fi organizate dupã cum urmeazã:</w:t>
      </w:r>
    </w:p>
    <w:p w:rsidR="004C762C" w:rsidRDefault="004C762C" w:rsidP="004C762C">
      <w:pPr>
        <w:rPr>
          <w:lang w:val="fr-FR"/>
        </w:rPr>
      </w:pPr>
      <w:r>
        <w:rPr>
          <w:lang w:val="fr-FR"/>
        </w:rPr>
        <w:t xml:space="preserve">Responsabilitatea evaluãrii aparţine secretariatului comun. Evaluarea va include douã etape: una privind criteriile administrative şi </w:t>
      </w:r>
      <w:proofErr w:type="gramStart"/>
      <w:r>
        <w:rPr>
          <w:lang w:val="fr-FR"/>
        </w:rPr>
        <w:t>de eligibilitate</w:t>
      </w:r>
      <w:proofErr w:type="gramEnd"/>
      <w:r>
        <w:rPr>
          <w:lang w:val="fr-FR"/>
        </w:rPr>
        <w:t>, derulatã în mod direct şi ca unic responsabil de cãtre secretariatul comun, şi una privind evaluarea tehnicã, derulatã cu sprijinul experţilor externi contractaţi în caz de necesitate. Contractarea experţilor externi va fi responsabilitatea secretariatului comun.</w:t>
      </w:r>
    </w:p>
    <w:p w:rsidR="004C762C" w:rsidRDefault="004C762C" w:rsidP="004C762C">
      <w:pPr>
        <w:rPr>
          <w:lang w:val="fr-FR"/>
        </w:rPr>
      </w:pPr>
      <w:r>
        <w:rPr>
          <w:lang w:val="fr-FR"/>
        </w:rPr>
        <w:t>AM şi AN au dreptul de a observa procesul de evaluare prin desemnarea persoanelor care contribuie la acest proces. Dupã ce secretariatul comun clasificã proiectele,</w:t>
      </w:r>
      <w:r w:rsidR="00445CB4">
        <w:rPr>
          <w:lang w:val="fr-FR"/>
        </w:rPr>
        <w:t xml:space="preserve"> pe baza scorurilor date de către evaluatori,</w:t>
      </w:r>
      <w:r>
        <w:rPr>
          <w:lang w:val="fr-FR"/>
        </w:rPr>
        <w:t xml:space="preserve"> lista va fi depusã la comisia de monitorizare pentru o decizie în privinţa selecţiei.</w:t>
      </w:r>
    </w:p>
    <w:p w:rsidR="004C762C" w:rsidRDefault="004C762C" w:rsidP="004C762C">
      <w:pPr>
        <w:rPr>
          <w:lang w:val="fr-FR"/>
        </w:rPr>
      </w:pPr>
      <w:r>
        <w:rPr>
          <w:lang w:val="fr-FR"/>
        </w:rPr>
        <w:t>Calitatea proiectelor, aşa cum este reflectatã de conformitatea lor cu criteriile de selecţie, este foarte importantã pentru certitudinea cã programul livreazã rezultate c</w:t>
      </w:r>
      <w:r w:rsidR="006D0804">
        <w:rPr>
          <w:lang w:val="fr-FR"/>
        </w:rPr>
        <w:t>oncrete şi vizibile care vizează</w:t>
      </w:r>
      <w:r>
        <w:rPr>
          <w:lang w:val="fr-FR"/>
        </w:rPr>
        <w:t xml:space="preserve"> într-o modalitate transfrontalierã, integratã, provocãrile şi necesitãţile zonei eligibile a programului. Proiectele care se focuseazã doar pe cercetare (fãrã nici o abordare aplicativã) includ doar schimburi de experien</w:t>
      </w:r>
      <w:r w:rsidR="006D0804">
        <w:rPr>
          <w:lang w:val="fr-FR"/>
        </w:rPr>
        <w:t>ţã şi nu indicã urmarea concretă şi sustenabilă</w:t>
      </w:r>
      <w:r>
        <w:rPr>
          <w:lang w:val="fr-FR"/>
        </w:rPr>
        <w:t xml:space="preserve"> pentru activitãţile “soft” (studii, sondaje, etc.)  </w:t>
      </w:r>
      <w:proofErr w:type="gramStart"/>
      <w:r>
        <w:rPr>
          <w:lang w:val="fr-FR"/>
        </w:rPr>
        <w:t>nu</w:t>
      </w:r>
      <w:proofErr w:type="gramEnd"/>
      <w:r>
        <w:rPr>
          <w:lang w:val="fr-FR"/>
        </w:rPr>
        <w:t xml:space="preserve"> vor fi sprijinite prin program.</w:t>
      </w:r>
    </w:p>
    <w:p w:rsidR="004C762C" w:rsidRPr="006C6828" w:rsidRDefault="004C762C" w:rsidP="004C762C">
      <w:pPr>
        <w:rPr>
          <w:lang w:val="it-IT"/>
        </w:rPr>
      </w:pPr>
      <w:r w:rsidRPr="006C6828">
        <w:rPr>
          <w:lang w:val="it-IT"/>
        </w:rPr>
        <w:t>Toate proiectele trebuie sã fie în conformitate cu urmãtorul set de cerinţe de calitateorizontale:</w:t>
      </w:r>
    </w:p>
    <w:p w:rsidR="004C762C" w:rsidRDefault="004C762C" w:rsidP="004C762C">
      <w:pPr>
        <w:numPr>
          <w:ilvl w:val="0"/>
          <w:numId w:val="28"/>
        </w:numPr>
        <w:spacing w:before="0" w:after="0"/>
        <w:rPr>
          <w:lang w:val="fr-FR"/>
        </w:rPr>
      </w:pPr>
      <w:r>
        <w:rPr>
          <w:lang w:val="fr-FR"/>
        </w:rPr>
        <w:t>Rezultate concrete şi mãsurabile: rezultatele trebuie sã fie relevante, vizibile şi mãsurabile. Ele trebuie sã</w:t>
      </w:r>
      <w:r w:rsidR="006D0804">
        <w:rPr>
          <w:lang w:val="fr-FR"/>
        </w:rPr>
        <w:t xml:space="preserve"> contribuie, de asemenea, la obţ</w:t>
      </w:r>
      <w:r>
        <w:rPr>
          <w:lang w:val="fr-FR"/>
        </w:rPr>
        <w:t>inerea rezultatelor axelor prioritare relevante ale Programulu</w:t>
      </w:r>
      <w:r w:rsidR="006D0804">
        <w:rPr>
          <w:lang w:val="fr-FR"/>
        </w:rPr>
        <w:t>i, şi trebuie sã fie atinse î</w:t>
      </w:r>
      <w:r>
        <w:rPr>
          <w:lang w:val="fr-FR"/>
        </w:rPr>
        <w:t>ntr-o abordare transfrontalierã prin livrabile care sa fie indicate în formularul de aplicaţie. Atât livrabilele, cât şi rezultatele trebuie sã fie precise şi sã arate cã se bazeazã pe situaţia actualã sau pe cunoştinţele curente pentru a dezvolta noi soluţii;</w:t>
      </w:r>
    </w:p>
    <w:p w:rsidR="004C762C" w:rsidRDefault="004C762C" w:rsidP="004C762C">
      <w:pPr>
        <w:numPr>
          <w:ilvl w:val="0"/>
          <w:numId w:val="28"/>
        </w:numPr>
        <w:spacing w:before="0" w:after="0"/>
        <w:rPr>
          <w:lang w:val="fr-FR"/>
        </w:rPr>
      </w:pPr>
      <w:r>
        <w:rPr>
          <w:lang w:val="fr-FR"/>
        </w:rPr>
        <w:t>Livrabile şi rezultate sustenabile: livrabilele  şi rezultatele proiectelor trebuie sã fie durabile şi sã aibã capacitatea de a deveni resurse în alte iniţiative ( fie faţã de alte politici, planuri , strategii, sau investiţii finanţate din alte surse, inclusiv programele naţionale pe bazã de fonduri europene, BEI, fonduri naţionale, etc.)</w:t>
      </w:r>
    </w:p>
    <w:p w:rsidR="004C762C" w:rsidRDefault="004C762C" w:rsidP="004C762C">
      <w:pPr>
        <w:numPr>
          <w:ilvl w:val="0"/>
          <w:numId w:val="28"/>
        </w:numPr>
        <w:spacing w:before="0" w:after="0"/>
        <w:rPr>
          <w:lang w:val="fr-FR"/>
        </w:rPr>
      </w:pPr>
      <w:r>
        <w:rPr>
          <w:lang w:val="fr-FR"/>
        </w:rPr>
        <w:t xml:space="preserve">Relevanţã transfrontalierã: activitãţile proiectului contribuie  </w:t>
      </w:r>
      <w:proofErr w:type="gramStart"/>
      <w:r>
        <w:rPr>
          <w:lang w:val="fr-FR"/>
        </w:rPr>
        <w:t>la îndeplinirea</w:t>
      </w:r>
      <w:proofErr w:type="gramEnd"/>
      <w:r>
        <w:rPr>
          <w:lang w:val="fr-FR"/>
        </w:rPr>
        <w:t xml:space="preserve"> obiectivelor specifice ale programului (unul sau mai multe) </w:t>
      </w:r>
      <w:r>
        <w:rPr>
          <w:lang w:val="fr-FR"/>
        </w:rPr>
        <w:lastRenderedPageBreak/>
        <w:t>prin rãspunsul la provocãri sau necesitãţi ca</w:t>
      </w:r>
      <w:r w:rsidR="006D0804">
        <w:rPr>
          <w:lang w:val="fr-FR"/>
        </w:rPr>
        <w:t>re sunt împãrtãşite pe ambele părţ</w:t>
      </w:r>
      <w:r>
        <w:rPr>
          <w:lang w:val="fr-FR"/>
        </w:rPr>
        <w:t>i ale frontierei şi nu pot fi în mod suficient abordate de o singurã parte (indiferent de nivelul implicat). Rezultatele proiectului trebuie să afi</w:t>
      </w:r>
      <w:r>
        <w:rPr>
          <w:rFonts w:ascii="Cambria Math" w:hAnsi="Cambria Math" w:cs="Cambria Math"/>
          <w:lang w:val="fr-FR"/>
        </w:rPr>
        <w:t>ș</w:t>
      </w:r>
      <w:r>
        <w:rPr>
          <w:lang w:val="fr-FR"/>
        </w:rPr>
        <w:t xml:space="preserve">eze o valoare adăugată, </w:t>
      </w:r>
      <w:r w:rsidR="006D0804">
        <w:rPr>
          <w:lang w:val="fr-FR"/>
        </w:rPr>
        <w:t>care este mai mare decât adă</w:t>
      </w:r>
      <w:r>
        <w:rPr>
          <w:lang w:val="fr-FR"/>
        </w:rPr>
        <w:t>ugarea de rezultate care ar fi posibil să se ob</w:t>
      </w:r>
      <w:r>
        <w:rPr>
          <w:rFonts w:ascii="Cambria Math" w:hAnsi="Cambria Math" w:cs="Cambria Math"/>
          <w:lang w:val="fr-FR"/>
        </w:rPr>
        <w:t>ț</w:t>
      </w:r>
      <w:r>
        <w:rPr>
          <w:lang w:val="fr-FR"/>
        </w:rPr>
        <w:t>ină în cazul în care fiecare parte na</w:t>
      </w:r>
      <w:r>
        <w:rPr>
          <w:rFonts w:ascii="Cambria Math" w:hAnsi="Cambria Math" w:cs="Cambria Math"/>
          <w:lang w:val="fr-FR"/>
        </w:rPr>
        <w:t>ț</w:t>
      </w:r>
      <w:r>
        <w:rPr>
          <w:lang w:val="fr-FR"/>
        </w:rPr>
        <w:t>ionalã ar ac</w:t>
      </w:r>
      <w:r>
        <w:rPr>
          <w:rFonts w:ascii="Cambria Math" w:hAnsi="Cambria Math" w:cs="Cambria Math"/>
          <w:lang w:val="fr-FR"/>
        </w:rPr>
        <w:t>ț</w:t>
      </w:r>
      <w:r>
        <w:rPr>
          <w:lang w:val="fr-FR"/>
        </w:rPr>
        <w:t>iona în mod independent.</w:t>
      </w:r>
    </w:p>
    <w:p w:rsidR="004C762C" w:rsidRPr="006C6828" w:rsidRDefault="004C762C" w:rsidP="004C762C">
      <w:pPr>
        <w:numPr>
          <w:ilvl w:val="0"/>
          <w:numId w:val="28"/>
        </w:numPr>
        <w:spacing w:before="0" w:after="0"/>
        <w:rPr>
          <w:lang w:val="it-IT"/>
        </w:rPr>
      </w:pPr>
      <w:r>
        <w:rPr>
          <w:lang w:val="fr-FR"/>
        </w:rPr>
        <w:t>Relevanţã partenerialã: parteneriatul implicã cel puţin doi parteneri, cel puţin unul din România şi unul din Bulgaria. Partenerii trebuie sã îşi probeze capacitatea de a implementa activitãţile proiectului, de a</w:t>
      </w:r>
      <w:r w:rsidR="006D0804">
        <w:rPr>
          <w:lang w:val="fr-FR"/>
        </w:rPr>
        <w:t xml:space="preserve"> obţine rezultatele planificate</w:t>
      </w:r>
      <w:r>
        <w:rPr>
          <w:lang w:val="fr-FR"/>
        </w:rPr>
        <w:t xml:space="preserve"> şi de a asigura follow-up-ul. </w:t>
      </w:r>
      <w:r w:rsidRPr="006C6828">
        <w:rPr>
          <w:lang w:val="it-IT"/>
        </w:rPr>
        <w:t>Descrierea activitãţilor trebuie sã demonstreze implementarea comunã a proiectului şi abordarea teritorialã integratã pentru a rãspunde necesitãţilor specifice.</w:t>
      </w:r>
    </w:p>
    <w:p w:rsidR="004C762C" w:rsidRDefault="004C762C" w:rsidP="004C762C">
      <w:pPr>
        <w:numPr>
          <w:ilvl w:val="0"/>
          <w:numId w:val="28"/>
        </w:numPr>
        <w:spacing w:before="0" w:after="0"/>
        <w:rPr>
          <w:lang w:val="fr-FR"/>
        </w:rPr>
      </w:pPr>
      <w:r>
        <w:rPr>
          <w:lang w:val="fr-FR"/>
        </w:rPr>
        <w:t>Management eficient: structura de management şi proceduril</w:t>
      </w:r>
      <w:r w:rsidR="006D0804">
        <w:rPr>
          <w:lang w:val="fr-FR"/>
        </w:rPr>
        <w:t xml:space="preserve">e sale funcţionale sunt descrise </w:t>
      </w:r>
      <w:r>
        <w:rPr>
          <w:lang w:val="fr-FR"/>
        </w:rPr>
        <w:t>clar şi sunt transparente, eficace şi eficiente</w:t>
      </w:r>
    </w:p>
    <w:p w:rsidR="004C762C" w:rsidRDefault="004C762C" w:rsidP="004C762C">
      <w:pPr>
        <w:numPr>
          <w:ilvl w:val="0"/>
          <w:numId w:val="28"/>
        </w:numPr>
        <w:spacing w:before="0" w:after="0"/>
        <w:rPr>
          <w:lang w:val="fr-FR"/>
        </w:rPr>
      </w:pPr>
      <w:r>
        <w:rPr>
          <w:lang w:val="fr-FR"/>
        </w:rPr>
        <w:t>Bugetul solid: bugetul proiectului trebuie să fie în conformitate cu descrierea activită</w:t>
      </w:r>
      <w:r>
        <w:rPr>
          <w:rFonts w:ascii="Cambria Math" w:hAnsi="Cambria Math" w:cs="Cambria Math"/>
          <w:lang w:val="fr-FR"/>
        </w:rPr>
        <w:t>ț</w:t>
      </w:r>
      <w:r>
        <w:rPr>
          <w:lang w:val="fr-FR"/>
        </w:rPr>
        <w:t xml:space="preserve">ilor </w:t>
      </w:r>
      <w:r>
        <w:rPr>
          <w:rFonts w:ascii="Cambria Math" w:hAnsi="Cambria Math" w:cs="Cambria Math"/>
          <w:lang w:val="fr-FR"/>
        </w:rPr>
        <w:t>ș</w:t>
      </w:r>
      <w:r>
        <w:rPr>
          <w:lang w:val="fr-FR"/>
        </w:rPr>
        <w:t>i să demonstreze coeren</w:t>
      </w:r>
      <w:r>
        <w:rPr>
          <w:rFonts w:ascii="Cambria Math" w:hAnsi="Cambria Math" w:cs="Cambria Math"/>
          <w:lang w:val="fr-FR"/>
        </w:rPr>
        <w:t>ț</w:t>
      </w:r>
      <w:r>
        <w:rPr>
          <w:lang w:val="fr-FR"/>
        </w:rPr>
        <w:t xml:space="preserve">ã cu realizările </w:t>
      </w:r>
      <w:r>
        <w:rPr>
          <w:rFonts w:ascii="Cambria Math" w:hAnsi="Cambria Math" w:cs="Cambria Math"/>
          <w:lang w:val="fr-FR"/>
        </w:rPr>
        <w:t>ș</w:t>
      </w:r>
      <w:r w:rsidR="006D0804">
        <w:rPr>
          <w:lang w:val="fr-FR"/>
        </w:rPr>
        <w:t>i rezultatele aş</w:t>
      </w:r>
      <w:r>
        <w:rPr>
          <w:lang w:val="fr-FR"/>
        </w:rPr>
        <w:t>teptate</w:t>
      </w:r>
      <w:r w:rsidR="006D0804">
        <w:rPr>
          <w:lang w:val="fr-FR"/>
        </w:rPr>
        <w:t xml:space="preserve"> în cadrul unei abordãri care să vizeze obţinerea maximului de valoare î</w:t>
      </w:r>
      <w:r>
        <w:rPr>
          <w:lang w:val="fr-FR"/>
        </w:rPr>
        <w:t xml:space="preserve">n urma cheltuirii fondurilor </w:t>
      </w:r>
      <w:r>
        <w:rPr>
          <w:rFonts w:ascii="Cambria Math" w:hAnsi="Cambria Math" w:cs="Cambria Math"/>
          <w:lang w:val="fr-FR"/>
        </w:rPr>
        <w:t>ș</w:t>
      </w:r>
      <w:r>
        <w:rPr>
          <w:lang w:val="fr-FR"/>
        </w:rPr>
        <w:t>i sã respecte plafoanele de pre</w:t>
      </w:r>
      <w:r>
        <w:rPr>
          <w:rFonts w:ascii="Cambria Math" w:hAnsi="Cambria Math" w:cs="Cambria Math"/>
          <w:lang w:val="fr-FR"/>
        </w:rPr>
        <w:t>ț</w:t>
      </w:r>
      <w:r>
        <w:rPr>
          <w:lang w:val="fr-FR"/>
        </w:rPr>
        <w:t>uri pe anumite categorii de achizi</w:t>
      </w:r>
      <w:r>
        <w:rPr>
          <w:rFonts w:ascii="Cambria Math" w:hAnsi="Cambria Math" w:cs="Cambria Math"/>
          <w:lang w:val="fr-FR"/>
        </w:rPr>
        <w:t>ț</w:t>
      </w:r>
      <w:r>
        <w:rPr>
          <w:lang w:val="fr-FR"/>
        </w:rPr>
        <w:t>ii, care sunt prezente în documentatia de apel. Bugetul proiectelor va ilustra principiul bunei gestiuni financiare, iar contribu</w:t>
      </w:r>
      <w:r>
        <w:rPr>
          <w:rFonts w:ascii="Cambria Math" w:hAnsi="Cambria Math" w:cs="Cambria Math"/>
          <w:lang w:val="fr-FR"/>
        </w:rPr>
        <w:t>ț</w:t>
      </w:r>
      <w:r>
        <w:rPr>
          <w:lang w:val="fr-FR"/>
        </w:rPr>
        <w:t>iile partenerilor vor reflecta repartizarea sarcinilor, respectând în acela</w:t>
      </w:r>
      <w:r>
        <w:rPr>
          <w:rFonts w:ascii="Cambria Math" w:hAnsi="Cambria Math" w:cs="Cambria Math"/>
          <w:lang w:val="fr-FR"/>
        </w:rPr>
        <w:t>ș</w:t>
      </w:r>
      <w:r>
        <w:rPr>
          <w:lang w:val="fr-FR"/>
        </w:rPr>
        <w:t>i timp abordarea de</w:t>
      </w:r>
      <w:r w:rsidR="006D0804">
        <w:rPr>
          <w:lang w:val="fr-FR"/>
        </w:rPr>
        <w:t xml:space="preserve"> implementarea in comun/solidară</w:t>
      </w:r>
      <w:r>
        <w:rPr>
          <w:lang w:val="fr-FR"/>
        </w:rPr>
        <w:t>;</w:t>
      </w:r>
    </w:p>
    <w:p w:rsidR="004C762C" w:rsidRDefault="004C762C" w:rsidP="004C762C">
      <w:pPr>
        <w:numPr>
          <w:ilvl w:val="0"/>
          <w:numId w:val="28"/>
        </w:numPr>
        <w:spacing w:before="0" w:after="0"/>
        <w:rPr>
          <w:lang w:val="fr-FR"/>
        </w:rPr>
      </w:pPr>
      <w:r>
        <w:rPr>
          <w:lang w:val="fr-FR"/>
        </w:rPr>
        <w:t>Abordare coerentă: coeren</w:t>
      </w:r>
      <w:r>
        <w:rPr>
          <w:rFonts w:ascii="Cambria Math" w:hAnsi="Cambria Math" w:cs="Cambria Math"/>
          <w:lang w:val="fr-FR"/>
        </w:rPr>
        <w:t>ț</w:t>
      </w:r>
      <w:r>
        <w:rPr>
          <w:lang w:val="fr-FR"/>
        </w:rPr>
        <w:t xml:space="preserve">a internă între resurse pe de o parte, </w:t>
      </w:r>
      <w:r>
        <w:rPr>
          <w:rFonts w:ascii="Cambria Math" w:hAnsi="Cambria Math" w:cs="Cambria Math"/>
          <w:lang w:val="fr-FR"/>
        </w:rPr>
        <w:t>ș</w:t>
      </w:r>
      <w:r>
        <w:rPr>
          <w:lang w:val="fr-FR"/>
        </w:rPr>
        <w:t xml:space="preserve">i  livrabilele </w:t>
      </w:r>
      <w:r>
        <w:rPr>
          <w:rFonts w:ascii="Cambria Math" w:hAnsi="Cambria Math" w:cs="Cambria Math"/>
          <w:lang w:val="fr-FR"/>
        </w:rPr>
        <w:t>ș</w:t>
      </w:r>
      <w:r>
        <w:rPr>
          <w:lang w:val="fr-FR"/>
        </w:rPr>
        <w:t>i rezultatele obţinute pe de altă parte, ar trebui să fie clarã. Coeren</w:t>
      </w:r>
      <w:r>
        <w:rPr>
          <w:rFonts w:ascii="Cambria Math" w:hAnsi="Cambria Math" w:cs="Cambria Math"/>
          <w:lang w:val="fr-FR"/>
        </w:rPr>
        <w:t>ț</w:t>
      </w:r>
      <w:r>
        <w:rPr>
          <w:lang w:val="fr-FR"/>
        </w:rPr>
        <w:t>a acestei rela</w:t>
      </w:r>
      <w:r>
        <w:rPr>
          <w:rFonts w:ascii="Cambria Math" w:hAnsi="Cambria Math" w:cs="Cambria Math"/>
          <w:lang w:val="fr-FR"/>
        </w:rPr>
        <w:t>ț</w:t>
      </w:r>
      <w:r>
        <w:rPr>
          <w:lang w:val="fr-FR"/>
        </w:rPr>
        <w:t>ii ar trebui să fie convingătoare</w:t>
      </w:r>
      <w:r w:rsidR="00FF6119">
        <w:rPr>
          <w:lang w:val="fr-FR"/>
        </w:rPr>
        <w:t xml:space="preserve"> </w:t>
      </w:r>
      <w:r>
        <w:rPr>
          <w:lang w:val="fr-FR"/>
        </w:rPr>
        <w:t>în interiorul unui interval de timp clar prezentat;</w:t>
      </w:r>
    </w:p>
    <w:p w:rsidR="004C762C" w:rsidRDefault="004C762C" w:rsidP="004C762C">
      <w:pPr>
        <w:numPr>
          <w:ilvl w:val="0"/>
          <w:numId w:val="28"/>
        </w:numPr>
        <w:spacing w:before="0" w:after="0"/>
        <w:rPr>
          <w:lang w:val="fr-FR"/>
        </w:rPr>
      </w:pPr>
      <w:r>
        <w:rPr>
          <w:lang w:val="fr-FR"/>
        </w:rPr>
        <w:t>Comunicare clarã: comunicarea trebuie sã fie eficace (sã atingã grupul ţintã) şi adaptatã obiectivelor proiectului pentru a putea asigura diseminarea necesarã a rezultatelor proiectului, follow-up-ul şi sustenabilitatea lor</w:t>
      </w:r>
    </w:p>
    <w:p w:rsidR="004C762C" w:rsidRDefault="004C762C" w:rsidP="004C762C">
      <w:pPr>
        <w:numPr>
          <w:ilvl w:val="0"/>
          <w:numId w:val="28"/>
        </w:numPr>
        <w:spacing w:before="0" w:after="0"/>
        <w:rPr>
          <w:lang w:val="fr-FR"/>
        </w:rPr>
      </w:pPr>
      <w:r>
        <w:rPr>
          <w:lang w:val="fr-FR"/>
        </w:rPr>
        <w:t>Toate proiectele trebuie sã asigure promovarea egalitãţii între sexe, non-discriminarea şi conformitatea cu principiile dezvoltãrii sustenabile</w:t>
      </w:r>
    </w:p>
    <w:p w:rsidR="004C762C" w:rsidRDefault="004C762C" w:rsidP="004C762C">
      <w:pPr>
        <w:rPr>
          <w:lang w:val="fr-FR"/>
        </w:rPr>
      </w:pPr>
    </w:p>
    <w:p w:rsidR="004C762C" w:rsidRDefault="004C762C" w:rsidP="004C762C">
      <w:pPr>
        <w:rPr>
          <w:lang w:val="fr-FR"/>
        </w:rPr>
      </w:pPr>
      <w:r w:rsidRPr="00800D5B">
        <w:rPr>
          <w:b/>
          <w:u w:val="single"/>
          <w:lang w:val="fr-FR"/>
        </w:rPr>
        <w:t>Contractarea</w:t>
      </w:r>
      <w:r w:rsidRPr="00800D5B">
        <w:rPr>
          <w:b/>
          <w:lang w:val="fr-FR"/>
        </w:rPr>
        <w:t>:</w:t>
      </w:r>
      <w:r>
        <w:rPr>
          <w:lang w:val="fr-FR"/>
        </w:rPr>
        <w:t xml:space="preserve"> Dupã aprobarea unei propuneri de proiect de cãtre CM, secretariatul comun va redacta contractul de finanţare pentru FEDR utilizând un format furnizat </w:t>
      </w:r>
      <w:proofErr w:type="gramStart"/>
      <w:r>
        <w:rPr>
          <w:lang w:val="fr-FR"/>
        </w:rPr>
        <w:t>de AM</w:t>
      </w:r>
      <w:proofErr w:type="gramEnd"/>
      <w:r>
        <w:rPr>
          <w:lang w:val="fr-FR"/>
        </w:rPr>
        <w:t>. Contractul de finanţare va include toate informaţiile necesare: cadrul legal, obiectul finanţãrii: activitãţi, planul de lucru/calendarul implementãrii, maximul sumei finanţate de FEDR, condiţii de eligibilitate ale costurilor, limitele schimbãrilor în cadrul flexibilitãţii bugetului;  obligaţiile de raportare şi termenele limitã pentru depunerea rapoartelor de progres; procedura pentru cererile de plata, drepturile şi obligaţiile pentru beneficiarii lead-partners</w:t>
      </w:r>
      <w:r w:rsidRPr="00F03699">
        <w:rPr>
          <w:lang w:val="fr-FR"/>
        </w:rPr>
        <w:t xml:space="preserve">; documentaţia contabilã necesarã şi perioada de timp </w:t>
      </w:r>
      <w:r>
        <w:rPr>
          <w:lang w:val="fr-FR"/>
        </w:rPr>
        <w:t>de</w:t>
      </w:r>
      <w:r w:rsidRPr="00F03699">
        <w:rPr>
          <w:lang w:val="fr-FR"/>
        </w:rPr>
        <w:t xml:space="preserve"> arhivare; documentele doveditoare ale proiectului; procedurile de recuperare; publicitatea, </w:t>
      </w:r>
      <w:r>
        <w:rPr>
          <w:lang w:val="fr-FR"/>
        </w:rPr>
        <w:t>proprietatea</w:t>
      </w:r>
      <w:r w:rsidRPr="00F03699">
        <w:rPr>
          <w:lang w:val="fr-FR"/>
        </w:rPr>
        <w:t xml:space="preserve"> (inclusiv drepturile de diseminare) şi generarea veniturilor; cesiunea, succesiunea legalã</w:t>
      </w:r>
      <w:r>
        <w:rPr>
          <w:lang w:val="fr-FR"/>
        </w:rPr>
        <w:t xml:space="preserve"> şi litigii; clauzele privind rãspunderea.</w:t>
      </w:r>
    </w:p>
    <w:p w:rsidR="004C762C" w:rsidRDefault="004C762C" w:rsidP="004C762C">
      <w:pPr>
        <w:rPr>
          <w:lang w:val="fr-FR"/>
        </w:rPr>
      </w:pPr>
      <w:r>
        <w:rPr>
          <w:lang w:val="fr-FR"/>
        </w:rPr>
        <w:t xml:space="preserve">Documentaţia finalã aprobatã şi aprobarea oficialã </w:t>
      </w:r>
      <w:proofErr w:type="gramStart"/>
      <w:r>
        <w:rPr>
          <w:lang w:val="fr-FR"/>
        </w:rPr>
        <w:t>a</w:t>
      </w:r>
      <w:proofErr w:type="gramEnd"/>
      <w:r>
        <w:rPr>
          <w:lang w:val="fr-FR"/>
        </w:rPr>
        <w:t xml:space="preserve"> proiectului de cãtre CM vor face parte din contractul de finanţare.</w:t>
      </w:r>
    </w:p>
    <w:p w:rsidR="004C762C" w:rsidRPr="00400FE3" w:rsidRDefault="004C762C" w:rsidP="004C762C">
      <w:pPr>
        <w:rPr>
          <w:lang w:val="fr-FR"/>
        </w:rPr>
      </w:pPr>
      <w:r w:rsidRPr="00800D5B">
        <w:rPr>
          <w:b/>
          <w:u w:val="single"/>
          <w:lang w:val="fr-FR"/>
        </w:rPr>
        <w:lastRenderedPageBreak/>
        <w:t>Monitorizarea</w:t>
      </w:r>
      <w:r w:rsidRPr="00800D5B">
        <w:rPr>
          <w:b/>
          <w:lang w:val="fr-FR"/>
        </w:rPr>
        <w:t>:</w:t>
      </w:r>
      <w:r w:rsidRPr="00400FE3">
        <w:rPr>
          <w:lang w:val="fr-FR"/>
        </w:rPr>
        <w:t xml:space="preserve"> monitorizarea programului se va realiza prin intermediul unui nou sistem de management care va furniza informaţiile tehnice şi financiare specifice ale proiectului. Raportarea va fi realizatã </w:t>
      </w:r>
      <w:r>
        <w:rPr>
          <w:lang w:val="fr-FR"/>
        </w:rPr>
        <w:t>de catre b</w:t>
      </w:r>
      <w:r w:rsidRPr="00400FE3">
        <w:rPr>
          <w:lang w:val="fr-FR"/>
        </w:rPr>
        <w:t xml:space="preserve">eneficiarul </w:t>
      </w:r>
      <w:r>
        <w:rPr>
          <w:lang w:val="fr-FR"/>
        </w:rPr>
        <w:t>lead-partner</w:t>
      </w:r>
      <w:r w:rsidRPr="00400FE3">
        <w:rPr>
          <w:lang w:val="fr-FR"/>
        </w:rPr>
        <w:t xml:space="preserve"> în numele întregului parteneriat prin rapoarte periodice sau finale, prezentate secretariatului comun şi autoritãţii de management. SC va verifica conformitatea rapoartelor cu aplicaţia proiectului. Dat</w:t>
      </w:r>
      <w:r>
        <w:rPr>
          <w:lang w:val="fr-FR"/>
        </w:rPr>
        <w:t>ele</w:t>
      </w:r>
      <w:r w:rsidRPr="00400FE3">
        <w:rPr>
          <w:lang w:val="fr-FR"/>
        </w:rPr>
        <w:t xml:space="preserve"> rapoartelor v</w:t>
      </w:r>
      <w:r>
        <w:rPr>
          <w:lang w:val="fr-FR"/>
        </w:rPr>
        <w:t>or</w:t>
      </w:r>
      <w:r w:rsidRPr="00400FE3">
        <w:rPr>
          <w:lang w:val="fr-FR"/>
        </w:rPr>
        <w:t xml:space="preserve"> fi pãstrat</w:t>
      </w:r>
      <w:r>
        <w:rPr>
          <w:lang w:val="fr-FR"/>
        </w:rPr>
        <w:t>e</w:t>
      </w:r>
      <w:r w:rsidRPr="00400FE3">
        <w:rPr>
          <w:lang w:val="fr-FR"/>
        </w:rPr>
        <w:t xml:space="preserve"> în sistemul de management care în schimb va genera, în baza acest</w:t>
      </w:r>
      <w:r>
        <w:rPr>
          <w:lang w:val="fr-FR"/>
        </w:rPr>
        <w:t>ora</w:t>
      </w:r>
      <w:r w:rsidRPr="00400FE3">
        <w:rPr>
          <w:lang w:val="fr-FR"/>
        </w:rPr>
        <w:t xml:space="preserve">, rapoartele </w:t>
      </w:r>
      <w:r>
        <w:rPr>
          <w:lang w:val="fr-FR"/>
        </w:rPr>
        <w:t>care vor</w:t>
      </w:r>
      <w:r w:rsidRPr="00400FE3">
        <w:rPr>
          <w:lang w:val="fr-FR"/>
        </w:rPr>
        <w:t xml:space="preserve"> fi </w:t>
      </w:r>
      <w:r>
        <w:rPr>
          <w:lang w:val="fr-FR"/>
        </w:rPr>
        <w:t>transmise</w:t>
      </w:r>
      <w:r w:rsidRPr="00400FE3">
        <w:rPr>
          <w:lang w:val="fr-FR"/>
        </w:rPr>
        <w:t xml:space="preserve"> Comisiei Europene.</w:t>
      </w:r>
    </w:p>
    <w:p w:rsidR="004C762C" w:rsidRPr="00400FE3" w:rsidRDefault="004C762C" w:rsidP="004C762C">
      <w:pPr>
        <w:rPr>
          <w:lang w:val="fr-FR"/>
        </w:rPr>
      </w:pPr>
      <w:r w:rsidRPr="00800D5B">
        <w:rPr>
          <w:b/>
          <w:u w:val="single"/>
          <w:lang w:val="fr-FR"/>
        </w:rPr>
        <w:t>Verificãrile de management</w:t>
      </w:r>
      <w:r w:rsidRPr="00800D5B">
        <w:rPr>
          <w:b/>
          <w:lang w:val="fr-FR"/>
        </w:rPr>
        <w:t>:</w:t>
      </w:r>
      <w:r>
        <w:rPr>
          <w:lang w:val="fr-FR"/>
        </w:rPr>
        <w:t xml:space="preserve"> Programul de cooperare transfrontalierã România – Bulgaria 2014-2020 a decis sã stabileascã primul nivel al sistemului de control în România şi Bulgaria. În România controlul de prim nivel va fi situat la nivelul biroului regional pentru cooperare transfrontalierã Cãlãraşi</w:t>
      </w:r>
      <w:r w:rsidR="00445CB4">
        <w:rPr>
          <w:lang w:val="fr-FR"/>
        </w:rPr>
        <w:t xml:space="preserve"> pentru granița România-Bulgaria</w:t>
      </w:r>
      <w:r>
        <w:rPr>
          <w:lang w:val="fr-FR"/>
        </w:rPr>
        <w:t xml:space="preserve">, într-o structurã separata de Secretariatul Comun, pentru axele prioritare 1-5, respectiv într-o structurã separatã în cadrul Ministerului Dezvoltãrii Regionale şi Administraţiei Publice pentru axa </w:t>
      </w:r>
      <w:proofErr w:type="gramStart"/>
      <w:r>
        <w:rPr>
          <w:lang w:val="fr-FR"/>
        </w:rPr>
        <w:t>de asistenţã</w:t>
      </w:r>
      <w:proofErr w:type="gramEnd"/>
      <w:r>
        <w:rPr>
          <w:lang w:val="fr-FR"/>
        </w:rPr>
        <w:t xml:space="preserve"> tehnicã. Sistemul de control pentru perio</w:t>
      </w:r>
      <w:r w:rsidR="00FF6119">
        <w:rPr>
          <w:lang w:val="fr-FR"/>
        </w:rPr>
        <w:t>ada 2007-2013 a fost organizat în aceeaşi locaţ</w:t>
      </w:r>
      <w:r>
        <w:rPr>
          <w:lang w:val="fr-FR"/>
        </w:rPr>
        <w:t xml:space="preserve">ie, iar activitatea controlorilor a fost excelentã, sistemul controlului de </w:t>
      </w:r>
      <w:r w:rsidR="00FF6119">
        <w:rPr>
          <w:lang w:val="fr-FR"/>
        </w:rPr>
        <w:t xml:space="preserve">prim nivel în România </w:t>
      </w:r>
      <w:proofErr w:type="gramStart"/>
      <w:r w:rsidR="00FF6119">
        <w:rPr>
          <w:lang w:val="fr-FR"/>
        </w:rPr>
        <w:t>a</w:t>
      </w:r>
      <w:proofErr w:type="gramEnd"/>
      <w:r w:rsidR="00FF6119">
        <w:rPr>
          <w:lang w:val="fr-FR"/>
        </w:rPr>
        <w:t xml:space="preserve"> primit întotdeauna note de 1 î</w:t>
      </w:r>
      <w:r>
        <w:rPr>
          <w:lang w:val="fr-FR"/>
        </w:rPr>
        <w:t xml:space="preserve">n urma auditurilor de sistem. Autoritatea de Management va elabora Ghidul Controlului de prim nivel, inclusiv formularele. Documentul va fi obligatoriu pentru toţi controlorii. Mai mult, autoritatea de management poate efectua verificãri per eşantion, asupra operaţiunilor deja verificate de controlul de prim nivel pentru a se asigura cã sistemul funcţioneazã în mod corect. Controlorii de prim nivel (din cadrul AN în cazul controlorilor bulgari de prim nivel) vor depune cãtre AM, la fiecare 3 luni, rapoarte cu privire la activitatea lor şi cele mai importante probleme întâlnite. Pentru Bulgaria, va fi înfiinţat un sistem FLC descentralizat. Ministerul Dezvoltãrii Regionale sau o persoanã autorizatã de cãtre acesta va atribui sarcinile FLC cãtre controlori conform legislaţiei achiziţiilor publice aplicabile sau în temeiul Codului actual al muncii. </w:t>
      </w:r>
      <w:r w:rsidRPr="00400FE3">
        <w:rPr>
          <w:lang w:val="fr-FR"/>
        </w:rPr>
        <w:t xml:space="preserve">Costurile pentru verificarea FLC vor fi acoperite de cãtre bugetul programului </w:t>
      </w:r>
      <w:r>
        <w:rPr>
          <w:lang w:val="fr-FR"/>
        </w:rPr>
        <w:t>pe baza</w:t>
      </w:r>
      <w:r w:rsidRPr="00400FE3">
        <w:rPr>
          <w:lang w:val="fr-FR"/>
        </w:rPr>
        <w:t xml:space="preserve"> Asistenţei tehnice. </w:t>
      </w:r>
    </w:p>
    <w:p w:rsidR="004C762C" w:rsidRDefault="004C762C" w:rsidP="004C762C">
      <w:pPr>
        <w:rPr>
          <w:lang w:val="fr-FR"/>
        </w:rPr>
      </w:pPr>
      <w:r w:rsidRPr="00800D5B">
        <w:rPr>
          <w:b/>
          <w:u w:val="single"/>
          <w:lang w:val="fr-FR"/>
        </w:rPr>
        <w:t>Rambursarea cãtre beneficiarii principali</w:t>
      </w:r>
      <w:r w:rsidRPr="00800D5B">
        <w:rPr>
          <w:b/>
          <w:lang w:val="fr-FR"/>
        </w:rPr>
        <w:t>:</w:t>
      </w:r>
      <w:r>
        <w:rPr>
          <w:lang w:val="fr-FR"/>
        </w:rPr>
        <w:t xml:space="preserve"> Conform art. 27 (1) din regulamentul 1299/2013, Comisia Europeanã va plãti partea de finanţare FEDR cãtre programele de cooperare într-un singur cont bancar fãrã nici un alt cont adiacent naţional. Potrivit art 20(2) din acelaşi regulament, autoritatea de management va face plãţi cãtre beneficiarul lead-partner conform art 132 din regulamentul 1303/2013 (beneficiarul lead-partner este astfel responsabil pentru transferul finanţãrii FEDR cãtre partenerii de proiect). În acest scop, autoritatea de management va lua mãsurile necesare pentru </w:t>
      </w:r>
      <w:proofErr w:type="gramStart"/>
      <w:r>
        <w:rPr>
          <w:lang w:val="fr-FR"/>
        </w:rPr>
        <w:t>a</w:t>
      </w:r>
      <w:proofErr w:type="gramEnd"/>
      <w:r>
        <w:rPr>
          <w:lang w:val="fr-FR"/>
        </w:rPr>
        <w:t xml:space="preserve"> deschide un cont bancar al programului, în decursul unui termen limitã de 12 luni de la adoptarea programului operaţional de cãtre Comisia Europeanã. Contul v</w:t>
      </w:r>
      <w:r w:rsidR="00FF6119">
        <w:rPr>
          <w:lang w:val="fr-FR"/>
        </w:rPr>
        <w:t>a fi folosit pentru primirea plăţ</w:t>
      </w:r>
      <w:r>
        <w:rPr>
          <w:lang w:val="fr-FR"/>
        </w:rPr>
        <w:t xml:space="preserve">ilor din partea Comisiei Europene şi pentru efectuarea plãţilor cãtre beneficiarii lead-partners şi cãtre beneficiarii </w:t>
      </w:r>
      <w:proofErr w:type="gramStart"/>
      <w:r>
        <w:rPr>
          <w:lang w:val="fr-FR"/>
        </w:rPr>
        <w:t>de asistenţã</w:t>
      </w:r>
      <w:proofErr w:type="gramEnd"/>
      <w:r>
        <w:rPr>
          <w:lang w:val="fr-FR"/>
        </w:rPr>
        <w:t xml:space="preserve"> tehnicã din cadrul programului.</w:t>
      </w:r>
    </w:p>
    <w:p w:rsidR="004C762C" w:rsidRPr="00400FE3" w:rsidRDefault="004C762C" w:rsidP="004C762C">
      <w:pPr>
        <w:rPr>
          <w:lang w:val="fr-FR"/>
        </w:rPr>
      </w:pPr>
      <w:r w:rsidRPr="00800D5B">
        <w:rPr>
          <w:b/>
          <w:u w:val="single"/>
          <w:lang w:val="fr-FR"/>
        </w:rPr>
        <w:t>Evaluarea programului</w:t>
      </w:r>
      <w:r w:rsidRPr="00800D5B">
        <w:rPr>
          <w:b/>
          <w:lang w:val="fr-FR"/>
        </w:rPr>
        <w:t>:</w:t>
      </w:r>
      <w:r w:rsidRPr="00400FE3">
        <w:rPr>
          <w:lang w:val="fr-FR"/>
        </w:rPr>
        <w:t xml:space="preserve"> Programul se supune unei evaluãri </w:t>
      </w:r>
      <w:r>
        <w:rPr>
          <w:lang w:val="fr-FR"/>
        </w:rPr>
        <w:t>ex-ante</w:t>
      </w:r>
      <w:r w:rsidRPr="00400FE3">
        <w:rPr>
          <w:lang w:val="fr-FR"/>
        </w:rPr>
        <w:t xml:space="preserve">, </w:t>
      </w:r>
      <w:r>
        <w:rPr>
          <w:lang w:val="fr-FR"/>
        </w:rPr>
        <w:t>intermediare</w:t>
      </w:r>
      <w:r w:rsidRPr="00400FE3">
        <w:rPr>
          <w:lang w:val="fr-FR"/>
        </w:rPr>
        <w:t xml:space="preserve"> şi </w:t>
      </w:r>
      <w:r>
        <w:rPr>
          <w:lang w:val="fr-FR"/>
        </w:rPr>
        <w:t>ex-</w:t>
      </w:r>
      <w:r w:rsidRPr="00400FE3">
        <w:rPr>
          <w:lang w:val="fr-FR"/>
        </w:rPr>
        <w:t>post de cãtre evaluatori independenţi, cu scopul de a îmbunãtãţi calitatea programului şi de a optimiza alocarea resurselor financiare. Propuner</w:t>
      </w:r>
      <w:r>
        <w:rPr>
          <w:lang w:val="fr-FR"/>
        </w:rPr>
        <w:t>ile</w:t>
      </w:r>
      <w:r w:rsidRPr="00400FE3">
        <w:rPr>
          <w:lang w:val="fr-FR"/>
        </w:rPr>
        <w:t xml:space="preserve"> evaluãri</w:t>
      </w:r>
      <w:r>
        <w:rPr>
          <w:lang w:val="fr-FR"/>
        </w:rPr>
        <w:t>i ex-ante</w:t>
      </w:r>
      <w:r w:rsidRPr="00400FE3">
        <w:rPr>
          <w:lang w:val="fr-FR"/>
        </w:rPr>
        <w:t xml:space="preserve"> v</w:t>
      </w:r>
      <w:r>
        <w:rPr>
          <w:lang w:val="fr-FR"/>
        </w:rPr>
        <w:t>or</w:t>
      </w:r>
      <w:r w:rsidRPr="00400FE3">
        <w:rPr>
          <w:lang w:val="fr-FR"/>
        </w:rPr>
        <w:t xml:space="preserve"> fi luat</w:t>
      </w:r>
      <w:r>
        <w:rPr>
          <w:lang w:val="fr-FR"/>
        </w:rPr>
        <w:t>e</w:t>
      </w:r>
      <w:r w:rsidRPr="00400FE3">
        <w:rPr>
          <w:lang w:val="fr-FR"/>
        </w:rPr>
        <w:t xml:space="preserve"> în considerare în timpul procesului </w:t>
      </w:r>
      <w:proofErr w:type="gramStart"/>
      <w:r w:rsidRPr="00400FE3">
        <w:rPr>
          <w:lang w:val="fr-FR"/>
        </w:rPr>
        <w:t>de elaborare</w:t>
      </w:r>
      <w:proofErr w:type="gramEnd"/>
      <w:r w:rsidRPr="00400FE3">
        <w:rPr>
          <w:lang w:val="fr-FR"/>
        </w:rPr>
        <w:t xml:space="preserve"> a programului.</w:t>
      </w:r>
    </w:p>
    <w:p w:rsidR="004C762C" w:rsidRDefault="004C762C" w:rsidP="004C762C">
      <w:pPr>
        <w:rPr>
          <w:lang w:val="fr-FR"/>
        </w:rPr>
      </w:pPr>
    </w:p>
    <w:p w:rsidR="004C762C" w:rsidRPr="00400FE3" w:rsidRDefault="004C762C" w:rsidP="004C762C">
      <w:pPr>
        <w:pStyle w:val="Heading2"/>
        <w:rPr>
          <w:lang w:val="fr-FR"/>
        </w:rPr>
      </w:pPr>
      <w:bookmarkStart w:id="188" w:name="_Toc394837900"/>
      <w:r w:rsidRPr="00400FE3">
        <w:rPr>
          <w:lang w:val="fr-FR"/>
        </w:rPr>
        <w:lastRenderedPageBreak/>
        <w:t xml:space="preserve">5.4. </w:t>
      </w:r>
      <w:r w:rsidRPr="0034237E">
        <w:rPr>
          <w:lang w:val="fr-FR"/>
        </w:rPr>
        <w:t>Alocarea răspunderii în rândul statelor membre participante, în cazul corecțiilor financiare impuse de autoritatea de management sau de Comisie</w:t>
      </w:r>
      <w:bookmarkEnd w:id="188"/>
    </w:p>
    <w:p w:rsidR="004C762C" w:rsidRPr="006C6828" w:rsidRDefault="004C762C" w:rsidP="004C762C">
      <w:pPr>
        <w:rPr>
          <w:sz w:val="20"/>
          <w:lang w:val="it-IT"/>
        </w:rPr>
      </w:pPr>
      <w:r w:rsidRPr="006C6828">
        <w:rPr>
          <w:sz w:val="20"/>
          <w:lang w:val="it-IT"/>
        </w:rPr>
        <w:t xml:space="preserve">[Referință: articolul 8 alineatul (4) litera (a) punctul (vi) din Regulamentul (UE) nr. 1299/2013] </w:t>
      </w:r>
    </w:p>
    <w:p w:rsidR="004C762C" w:rsidRPr="006C6828" w:rsidRDefault="004C762C" w:rsidP="004C762C">
      <w:pPr>
        <w:rPr>
          <w:lang w:val="it-IT"/>
        </w:rPr>
      </w:pPr>
      <w:r w:rsidRPr="006C6828">
        <w:rPr>
          <w:lang w:val="it-IT"/>
        </w:rPr>
        <w:t>Fiecare stat membru va fi responsabil pentru investigarea neregularitãţilor comise de cãtre beneficiarii situaţi pe teritoriul sãu. În cazul unor neregularitãţi repetate, statul membru îşi va extinde investigaţiile pentru a acoperi toate operaţiunile posibil afectate. Statul membru va face corecţiile financiare în legãturã cu neregularitãţile izolate sau repetate depistate în cazul operaţiunilor sau al programului operaţional. Corecţiile financiare vor include anularea tuturor sau a unei pãrţi din contribuţiile publice pentru o operaţiune sau pentru programul operaţional. Corecţiile financiare vor fi înregistrate în conturile anuale de cãtre autoritatea de management pentru anul financiar în care a fost dispusã anularea.</w:t>
      </w:r>
    </w:p>
    <w:p w:rsidR="004C762C" w:rsidRDefault="004C762C" w:rsidP="004C762C">
      <w:pPr>
        <w:rPr>
          <w:lang w:val="fr-FR"/>
        </w:rPr>
      </w:pPr>
      <w:r>
        <w:rPr>
          <w:lang w:val="fr-FR"/>
        </w:rPr>
        <w:t xml:space="preserve">Autoritatea de management se va asigura cã fiecare sumã plãtitã ca rezultat al vreunei neregularitãţi este recuperatã de la beneficiarul lead-partner. </w:t>
      </w:r>
      <w:r w:rsidRPr="006C6828">
        <w:rPr>
          <w:lang w:val="it-IT"/>
        </w:rPr>
        <w:t>Beneficiarii vor rambursa beneficiarului lead-partner orice suma plãtita în mod necuvenit. Prevederi speciale cu privire la rambursarea sumelor supuse oricãror neregularitãţi trebuie sã fie incluse atât în contractul ce va fi semnat cu b</w:t>
      </w:r>
      <w:r w:rsidR="00FF6119" w:rsidRPr="006C6828">
        <w:rPr>
          <w:lang w:val="it-IT"/>
        </w:rPr>
        <w:t>eneficiarul lead-partner câ</w:t>
      </w:r>
      <w:r w:rsidRPr="006C6828">
        <w:rPr>
          <w:lang w:val="it-IT"/>
        </w:rPr>
        <w:t xml:space="preserve">t şi în acordul de parteneriat ce va fi semnat între beneficiari. </w:t>
      </w:r>
      <w:r>
        <w:rPr>
          <w:lang w:val="fr-FR"/>
        </w:rPr>
        <w:t xml:space="preserve">Programul va furniza beneficiarilor un model de acord de parteneriat. </w:t>
      </w:r>
    </w:p>
    <w:p w:rsidR="004C762C" w:rsidRDefault="004C762C" w:rsidP="004C762C">
      <w:pPr>
        <w:rPr>
          <w:lang w:val="fr-FR"/>
        </w:rPr>
      </w:pPr>
      <w:r>
        <w:rPr>
          <w:lang w:val="fr-FR"/>
        </w:rPr>
        <w:t>Dacã beneficiarul lead-partner nu reuşeşte sã asigure rambursarea din partea altor beneficiari, sau dacã autoritatea de management nu reuşeşte sã asigure rambursarea din partea beneficiarului lead-partner, statul membru pe al cãrui teritoriu este situat beneficiarul în speţã, va rambursa autoritãţii de management sumele plãtite în mod necuvenit beneficiarului. Autoritatea de management este responsabilã pentru rambursarea sumelor în speţã bugetului general al Uniunii, conform repartizãrii responsabilitãţilor între statele membre participante aşa cum este prevãzut de cãtre programul de cooperare.</w:t>
      </w:r>
    </w:p>
    <w:p w:rsidR="004C762C" w:rsidRDefault="004C762C" w:rsidP="004C762C">
      <w:pPr>
        <w:rPr>
          <w:lang w:val="fr-FR"/>
        </w:rPr>
      </w:pPr>
      <w:r>
        <w:rPr>
          <w:lang w:val="fr-FR"/>
        </w:rPr>
        <w:t>Conform art 85 din regulamentul 1303/2013 , Comisia are dreptul de a face corecţiile financiare anulând toate sau o parte din contribuţia financiarã la acest program, şi de a recupera efectiv sumele din partea statelor membre în scopul de a exclude de la finan</w:t>
      </w:r>
      <w:r>
        <w:rPr>
          <w:rFonts w:ascii="Cambria Math" w:hAnsi="Cambria Math" w:cs="Cambria Math"/>
          <w:lang w:val="fr-FR"/>
        </w:rPr>
        <w:t>ț</w:t>
      </w:r>
      <w:r>
        <w:rPr>
          <w:lang w:val="fr-FR"/>
        </w:rPr>
        <w:t xml:space="preserve">area Uniunii cheltuielile care reprezintă o încălcare a legislaţiei aplicabile a Uniunii </w:t>
      </w:r>
      <w:r>
        <w:rPr>
          <w:rFonts w:ascii="Cambria Math" w:hAnsi="Cambria Math" w:cs="Cambria Math"/>
          <w:lang w:val="fr-FR"/>
        </w:rPr>
        <w:t>ș</w:t>
      </w:r>
      <w:r>
        <w:rPr>
          <w:lang w:val="fr-FR"/>
        </w:rPr>
        <w:t>i a legisla</w:t>
      </w:r>
      <w:r>
        <w:rPr>
          <w:rFonts w:ascii="Cambria Math" w:hAnsi="Cambria Math" w:cs="Cambria Math"/>
          <w:lang w:val="fr-FR"/>
        </w:rPr>
        <w:t>ț</w:t>
      </w:r>
      <w:r>
        <w:rPr>
          <w:lang w:val="fr-FR"/>
        </w:rPr>
        <w:t>iei na</w:t>
      </w:r>
      <w:r>
        <w:rPr>
          <w:rFonts w:ascii="Cambria Math" w:hAnsi="Cambria Math" w:cs="Cambria Math"/>
          <w:lang w:val="fr-FR"/>
        </w:rPr>
        <w:t>ț</w:t>
      </w:r>
      <w:r>
        <w:rPr>
          <w:lang w:val="fr-FR"/>
        </w:rPr>
        <w:t>ionale, inclusiv în raport cu deficien</w:t>
      </w:r>
      <w:r>
        <w:rPr>
          <w:rFonts w:ascii="Cambria Math" w:hAnsi="Cambria Math" w:cs="Cambria Math"/>
          <w:lang w:val="fr-FR"/>
        </w:rPr>
        <w:t>ț</w:t>
      </w:r>
      <w:r>
        <w:rPr>
          <w:lang w:val="fr-FR"/>
        </w:rPr>
        <w:t xml:space="preserve">ele sistemelor de management </w:t>
      </w:r>
      <w:r>
        <w:rPr>
          <w:rFonts w:ascii="Cambria Math" w:hAnsi="Cambria Math" w:cs="Cambria Math"/>
          <w:lang w:val="fr-FR"/>
        </w:rPr>
        <w:t>ș</w:t>
      </w:r>
      <w:r>
        <w:rPr>
          <w:lang w:val="fr-FR"/>
        </w:rPr>
        <w:t>i control care au fost detectate de Comisie sau de Curtea de Conturi Europeană.</w:t>
      </w:r>
    </w:p>
    <w:p w:rsidR="004C762C" w:rsidRDefault="004C762C" w:rsidP="004C762C">
      <w:pPr>
        <w:rPr>
          <w:lang w:val="fr-FR"/>
        </w:rPr>
      </w:pPr>
      <w:r>
        <w:rPr>
          <w:lang w:val="fr-FR"/>
        </w:rPr>
        <w:t>În caz de orice corec</w:t>
      </w:r>
      <w:r>
        <w:rPr>
          <w:rFonts w:ascii="Cambria Math" w:hAnsi="Cambria Math" w:cs="Cambria Math"/>
          <w:lang w:val="fr-FR"/>
        </w:rPr>
        <w:t>ț</w:t>
      </w:r>
      <w:r>
        <w:rPr>
          <w:lang w:val="fr-FR"/>
        </w:rPr>
        <w:t>ii financiare operate de către Comisie, cele două state membr</w:t>
      </w:r>
      <w:r w:rsidR="00FF6119">
        <w:rPr>
          <w:lang w:val="fr-FR"/>
        </w:rPr>
        <w:t>e se angajează să împartã suma î</w:t>
      </w:r>
      <w:r>
        <w:rPr>
          <w:lang w:val="fr-FR"/>
        </w:rPr>
        <w:t>ntre cele două state membre, propor</w:t>
      </w:r>
      <w:r>
        <w:rPr>
          <w:rFonts w:ascii="Cambria Math" w:hAnsi="Cambria Math" w:cs="Cambria Math"/>
          <w:lang w:val="fr-FR"/>
        </w:rPr>
        <w:t>ț</w:t>
      </w:r>
      <w:r>
        <w:rPr>
          <w:lang w:val="fr-FR"/>
        </w:rPr>
        <w:t xml:space="preserve">ional cu bugetele de proiect aprobate </w:t>
      </w:r>
      <w:r>
        <w:rPr>
          <w:rFonts w:ascii="Cambria Math" w:hAnsi="Cambria Math" w:cs="Cambria Math"/>
          <w:lang w:val="fr-FR"/>
        </w:rPr>
        <w:t>ș</w:t>
      </w:r>
      <w:r>
        <w:rPr>
          <w:lang w:val="fr-FR"/>
        </w:rPr>
        <w:t>i cu activită</w:t>
      </w:r>
      <w:r>
        <w:rPr>
          <w:rFonts w:ascii="Cambria Math" w:hAnsi="Cambria Math" w:cs="Cambria Math"/>
          <w:lang w:val="fr-FR"/>
        </w:rPr>
        <w:t>ț</w:t>
      </w:r>
      <w:r>
        <w:rPr>
          <w:lang w:val="fr-FR"/>
        </w:rPr>
        <w:t>ile desfă</w:t>
      </w:r>
      <w:r>
        <w:rPr>
          <w:rFonts w:ascii="Cambria Math" w:hAnsi="Cambria Math" w:cs="Cambria Math"/>
          <w:lang w:val="fr-FR"/>
        </w:rPr>
        <w:t>ș</w:t>
      </w:r>
      <w:r>
        <w:rPr>
          <w:lang w:val="fr-FR"/>
        </w:rPr>
        <w:t xml:space="preserve">urate de către beneficiarii români </w:t>
      </w:r>
      <w:r>
        <w:rPr>
          <w:rFonts w:ascii="Cambria Math" w:hAnsi="Cambria Math" w:cs="Cambria Math"/>
          <w:lang w:val="fr-FR"/>
        </w:rPr>
        <w:t>ș</w:t>
      </w:r>
      <w:r>
        <w:rPr>
          <w:lang w:val="fr-FR"/>
        </w:rPr>
        <w:t>i bulgari, afectate de corec</w:t>
      </w:r>
      <w:r>
        <w:rPr>
          <w:rFonts w:ascii="Cambria Math" w:hAnsi="Cambria Math" w:cs="Cambria Math"/>
          <w:lang w:val="fr-FR"/>
        </w:rPr>
        <w:t>ț</w:t>
      </w:r>
      <w:r>
        <w:rPr>
          <w:lang w:val="fr-FR"/>
        </w:rPr>
        <w:t>ia financiară. În caz de corec</w:t>
      </w:r>
      <w:r>
        <w:rPr>
          <w:rFonts w:ascii="Cambria Math" w:hAnsi="Cambria Math" w:cs="Cambria Math"/>
          <w:lang w:val="fr-FR"/>
        </w:rPr>
        <w:t>ț</w:t>
      </w:r>
      <w:r>
        <w:rPr>
          <w:lang w:val="fr-FR"/>
        </w:rPr>
        <w:t>ii financiare efectuate de către Comisie, ca urmare a neregulilor aleatoare sau anormale, cele două state membre se angajează să investigheze de la caz la caz. Corec</w:t>
      </w:r>
      <w:r>
        <w:rPr>
          <w:rFonts w:ascii="Cambria Math" w:hAnsi="Cambria Math" w:cs="Cambria Math"/>
          <w:lang w:val="fr-FR"/>
        </w:rPr>
        <w:t>ț</w:t>
      </w:r>
      <w:r>
        <w:rPr>
          <w:lang w:val="fr-FR"/>
        </w:rPr>
        <w:t>ia financiarã de către Comisie nu aduce atingere obliga</w:t>
      </w:r>
      <w:r>
        <w:rPr>
          <w:rFonts w:ascii="Cambria Math" w:hAnsi="Cambria Math" w:cs="Cambria Math"/>
          <w:lang w:val="fr-FR"/>
        </w:rPr>
        <w:t>ț</w:t>
      </w:r>
      <w:r>
        <w:rPr>
          <w:lang w:val="fr-FR"/>
        </w:rPr>
        <w:t>iei statelor membre de a proceda la recuperarea sumelor în conformitate cu prevederile regulamentelor europene aplicabile.</w:t>
      </w:r>
    </w:p>
    <w:p w:rsidR="004C762C" w:rsidRDefault="004C762C" w:rsidP="004C762C">
      <w:pPr>
        <w:rPr>
          <w:lang w:val="fr-FR"/>
        </w:rPr>
      </w:pPr>
    </w:p>
    <w:p w:rsidR="004C762C" w:rsidRPr="006C6828" w:rsidRDefault="004C762C" w:rsidP="004C762C">
      <w:pPr>
        <w:pStyle w:val="Heading2"/>
        <w:rPr>
          <w:lang w:val="it-IT"/>
        </w:rPr>
      </w:pPr>
      <w:bookmarkStart w:id="189" w:name="_Toc394837901"/>
      <w:r w:rsidRPr="006C6828">
        <w:rPr>
          <w:lang w:val="it-IT"/>
        </w:rPr>
        <w:t>5.5. Utilizarea monedei Euro (după caz)</w:t>
      </w:r>
      <w:bookmarkEnd w:id="189"/>
    </w:p>
    <w:p w:rsidR="004C762C" w:rsidRDefault="004C762C" w:rsidP="004C762C">
      <w:pPr>
        <w:rPr>
          <w:lang w:val="fr-FR"/>
        </w:rPr>
      </w:pPr>
      <w:r>
        <w:rPr>
          <w:lang w:val="fr-FR"/>
        </w:rPr>
        <w:t xml:space="preserve">Conform Regulamentului CTE, art 28, cheltuiala suportatã de partenerii de proiect situaţi în ţãri din afara zonei Euro va fi transformatã în euro. Conversia va fi realizatã </w:t>
      </w:r>
      <w:r>
        <w:rPr>
          <w:lang w:val="fr-FR"/>
        </w:rPr>
        <w:lastRenderedPageBreak/>
        <w:t>de cãtre beneficiari utilizând cursul de schimb contabil al Comisiei Europene</w:t>
      </w:r>
      <w:r w:rsidR="00445CB4">
        <w:rPr>
          <w:lang w:val="fr-FR"/>
        </w:rPr>
        <w:t xml:space="preserve"> (cursul Inforeuro)</w:t>
      </w:r>
      <w:r>
        <w:rPr>
          <w:lang w:val="fr-FR"/>
        </w:rPr>
        <w:t>, din luna</w:t>
      </w:r>
      <w:r w:rsidR="00A32A94">
        <w:rPr>
          <w:lang w:val="fr-FR"/>
        </w:rPr>
        <w:t xml:space="preserve"> </w:t>
      </w:r>
      <w:r w:rsidR="00A32A94">
        <w:rPr>
          <w:lang w:val="ro-RO"/>
        </w:rPr>
        <w:t xml:space="preserve">în care cheltuiala </w:t>
      </w:r>
      <w:proofErr w:type="gramStart"/>
      <w:r w:rsidR="00A32A94">
        <w:rPr>
          <w:lang w:val="ro-RO"/>
        </w:rPr>
        <w:t>a</w:t>
      </w:r>
      <w:proofErr w:type="gramEnd"/>
      <w:r w:rsidR="00A32A94">
        <w:rPr>
          <w:lang w:val="ro-RO"/>
        </w:rPr>
        <w:t xml:space="preserve"> fost transmisă spre verificare la controlul de prim nivel (Regulamentul CTE, Articolul 28, paragraf b)</w:t>
      </w:r>
      <w:r>
        <w:rPr>
          <w:lang w:val="fr-FR"/>
        </w:rPr>
        <w:t>.</w:t>
      </w:r>
    </w:p>
    <w:p w:rsidR="004C762C" w:rsidRPr="00400FE3" w:rsidRDefault="004C762C" w:rsidP="004C762C">
      <w:pPr>
        <w:pStyle w:val="Heading2"/>
        <w:rPr>
          <w:lang w:val="fr-FR"/>
        </w:rPr>
      </w:pPr>
      <w:bookmarkStart w:id="190" w:name="_Toc394837902"/>
      <w:r>
        <w:rPr>
          <w:lang w:val="fr-FR"/>
        </w:rPr>
        <w:t xml:space="preserve">5.6. </w:t>
      </w:r>
      <w:r w:rsidRPr="00B93017">
        <w:rPr>
          <w:lang w:val="fr-FR"/>
        </w:rPr>
        <w:t>Implicarea partenerilor relevanți</w:t>
      </w:r>
      <w:bookmarkEnd w:id="190"/>
    </w:p>
    <w:p w:rsidR="004C762C" w:rsidRDefault="004C762C" w:rsidP="004C762C">
      <w:pPr>
        <w:rPr>
          <w:lang w:val="fr-FR"/>
        </w:rPr>
      </w:pPr>
      <w:r>
        <w:rPr>
          <w:lang w:val="fr-FR"/>
        </w:rPr>
        <w:t xml:space="preserve">Autoritatea de management în colaborare cu autoritatea naţionalã şi grupul comun de lucru au coordonat elaborarea programului. </w:t>
      </w:r>
    </w:p>
    <w:p w:rsidR="004C762C" w:rsidRDefault="004C762C" w:rsidP="004C762C">
      <w:pPr>
        <w:rPr>
          <w:lang w:val="fr-FR"/>
        </w:rPr>
      </w:pPr>
      <w:r>
        <w:rPr>
          <w:lang w:val="fr-FR"/>
        </w:rPr>
        <w:t xml:space="preserve">Statul membru a identificat pentru grupul comun de lucru, toate pãrţile interesate la nivel naţional, regional şi local conform prevederilor Codului de Conduitã. Reprezentarea </w:t>
      </w:r>
      <w:proofErr w:type="gramStart"/>
      <w:r>
        <w:rPr>
          <w:lang w:val="fr-FR"/>
        </w:rPr>
        <w:t>a</w:t>
      </w:r>
      <w:proofErr w:type="gramEnd"/>
      <w:r>
        <w:rPr>
          <w:lang w:val="fr-FR"/>
        </w:rPr>
        <w:t xml:space="preserve"> fost generalã pentru a asigura un nivel mare de participare în procesul de luare a de</w:t>
      </w:r>
      <w:r w:rsidR="00DE7556">
        <w:rPr>
          <w:lang w:val="fr-FR"/>
        </w:rPr>
        <w:t>ciziilor (participare încurajată</w:t>
      </w:r>
      <w:r>
        <w:rPr>
          <w:lang w:val="fr-FR"/>
        </w:rPr>
        <w:t xml:space="preserve"> suplimentar prin rambursarea cheltuielilor cu privire la participarea la evenimentele în cauzã). Lista pãrţilor interesate este conformã cu liniile directoare din codul de conduitã. </w:t>
      </w:r>
    </w:p>
    <w:p w:rsidR="004C762C" w:rsidRDefault="004C762C" w:rsidP="004C762C">
      <w:pPr>
        <w:rPr>
          <w:lang w:val="fr-FR"/>
        </w:rPr>
      </w:pPr>
      <w:r>
        <w:rPr>
          <w:lang w:val="fr-FR"/>
        </w:rPr>
        <w:t>Pentru societatea civilã, autoritatea de management a derulat un proces public de selectare a reprezentanţilor ONG-urilor din trei domenii (protecţia mediului, oportunitãţi egale, mediul de afaceri).</w:t>
      </w:r>
    </w:p>
    <w:p w:rsidR="004C762C" w:rsidRDefault="004C762C" w:rsidP="004C762C">
      <w:pPr>
        <w:rPr>
          <w:lang w:val="fr-FR"/>
        </w:rPr>
      </w:pPr>
      <w:r>
        <w:rPr>
          <w:lang w:val="fr-FR"/>
        </w:rPr>
        <w:t xml:space="preserve">Reprezentanţii JWG sunt prezentaţi la secţiunea 9.3. Toţi participanţii au semnat declaraţii de imparţialitate şi confidenţialitate şi conform regulilor procedurale aceştia au fost solicitaţi sã îşi depunã declaraţiile </w:t>
      </w:r>
      <w:proofErr w:type="gramStart"/>
      <w:r>
        <w:rPr>
          <w:lang w:val="fr-FR"/>
        </w:rPr>
        <w:t>de interese</w:t>
      </w:r>
      <w:proofErr w:type="gramEnd"/>
      <w:r>
        <w:rPr>
          <w:lang w:val="fr-FR"/>
        </w:rPr>
        <w:t xml:space="preserve">. Aceeaşi abordare va fi aplicatã de cãtre Comitetul de monitorizare </w:t>
      </w:r>
      <w:proofErr w:type="gramStart"/>
      <w:r>
        <w:rPr>
          <w:lang w:val="fr-FR"/>
        </w:rPr>
        <w:t>a</w:t>
      </w:r>
      <w:proofErr w:type="gramEnd"/>
      <w:r>
        <w:rPr>
          <w:lang w:val="fr-FR"/>
        </w:rPr>
        <w:t xml:space="preserve"> programului. Grupul comun de lucru pentru programare a fost creat în 2012. Grupul a avut 6 întruniri (21.11.2012, 12.03.2013, 13.06.2013, 17.09.2013, 06.03.2014, 22.07.2014). Documentele au fost depuse în format electronic cu 10 zile lucrãtoare înainte de data întrunirilor, dar au fost actualizate constant pe pagina online a programului pentru consultare publicã.</w:t>
      </w:r>
    </w:p>
    <w:p w:rsidR="004C762C" w:rsidRDefault="004C762C" w:rsidP="004C762C">
      <w:pPr>
        <w:rPr>
          <w:lang w:val="fr-FR"/>
        </w:rPr>
      </w:pPr>
      <w:r>
        <w:rPr>
          <w:lang w:val="fr-FR"/>
        </w:rPr>
        <w:t>Implicarea actorilor cheie a fost vizibilã, prima datã prin comentariile real</w:t>
      </w:r>
      <w:r w:rsidR="00DE7556">
        <w:rPr>
          <w:lang w:val="fr-FR"/>
        </w:rPr>
        <w:t>izate pe marginea documentaţiei</w:t>
      </w:r>
      <w:r>
        <w:rPr>
          <w:lang w:val="fr-FR"/>
        </w:rPr>
        <w:t xml:space="preserve"> şi a doua oarã prin participarea activã în cadrul grupu</w:t>
      </w:r>
      <w:r w:rsidR="00DE7556">
        <w:rPr>
          <w:lang w:val="fr-FR"/>
        </w:rPr>
        <w:t>lui de lucru (ex. aria eligibilă</w:t>
      </w:r>
      <w:r>
        <w:rPr>
          <w:lang w:val="fr-FR"/>
        </w:rPr>
        <w:t xml:space="preserve"> şi locaţia secretariatului comun au stârnit o serie întreagã de discuţii în cadrul grupului comun de lucru, trei întâlniri au fost necesare înaintea luãrii unei decizii finale).</w:t>
      </w:r>
    </w:p>
    <w:p w:rsidR="004C762C" w:rsidRPr="006C6828" w:rsidRDefault="004C762C" w:rsidP="004C762C">
      <w:pPr>
        <w:rPr>
          <w:lang w:val="it-IT"/>
        </w:rPr>
      </w:pPr>
      <w:r>
        <w:rPr>
          <w:lang w:val="fr-FR"/>
        </w:rPr>
        <w:tab/>
      </w:r>
      <w:r w:rsidRPr="006C6828">
        <w:rPr>
          <w:lang w:val="it-IT"/>
        </w:rPr>
        <w:t>Grupul a analizat toate documentele relevante şi a luat decizii importante:</w:t>
      </w:r>
    </w:p>
    <w:p w:rsidR="004C762C" w:rsidRDefault="004C762C" w:rsidP="004C762C">
      <w:pPr>
        <w:numPr>
          <w:ilvl w:val="0"/>
          <w:numId w:val="28"/>
        </w:numPr>
        <w:spacing w:before="0" w:after="0"/>
      </w:pPr>
      <w:r>
        <w:t>Documentul conceptual</w:t>
      </w:r>
    </w:p>
    <w:p w:rsidR="004C762C" w:rsidRDefault="00DE7556" w:rsidP="004C762C">
      <w:pPr>
        <w:numPr>
          <w:ilvl w:val="0"/>
          <w:numId w:val="28"/>
        </w:numPr>
        <w:spacing w:before="0" w:after="0"/>
      </w:pPr>
      <w:r>
        <w:t>Aria eligibilă</w:t>
      </w:r>
    </w:p>
    <w:p w:rsidR="004C762C" w:rsidRDefault="004C762C" w:rsidP="004C762C">
      <w:pPr>
        <w:numPr>
          <w:ilvl w:val="0"/>
          <w:numId w:val="28"/>
        </w:numPr>
        <w:spacing w:before="0" w:after="0"/>
      </w:pPr>
      <w:r>
        <w:t>Locaţia secretariatului comun</w:t>
      </w:r>
    </w:p>
    <w:p w:rsidR="004C762C" w:rsidRDefault="004C762C" w:rsidP="004C762C">
      <w:pPr>
        <w:numPr>
          <w:ilvl w:val="0"/>
          <w:numId w:val="28"/>
        </w:numPr>
        <w:spacing w:before="0" w:after="0"/>
        <w:rPr>
          <w:lang w:val="fr-FR"/>
        </w:rPr>
      </w:pPr>
      <w:r>
        <w:rPr>
          <w:lang w:val="fr-FR"/>
        </w:rPr>
        <w:t>Termenii de referinţã pentru programare, ex-ante şi SEA</w:t>
      </w:r>
    </w:p>
    <w:p w:rsidR="004C762C" w:rsidRPr="006C6828" w:rsidRDefault="004C762C" w:rsidP="004C762C">
      <w:pPr>
        <w:numPr>
          <w:ilvl w:val="0"/>
          <w:numId w:val="28"/>
        </w:numPr>
        <w:spacing w:before="0" w:after="0"/>
        <w:rPr>
          <w:lang w:val="it-IT"/>
        </w:rPr>
      </w:pPr>
      <w:r w:rsidRPr="006C6828">
        <w:rPr>
          <w:lang w:val="it-IT"/>
        </w:rPr>
        <w:t>Procedurile  de implementare între statele membre</w:t>
      </w:r>
    </w:p>
    <w:p w:rsidR="004C762C" w:rsidRDefault="004C762C" w:rsidP="004C762C">
      <w:pPr>
        <w:numPr>
          <w:ilvl w:val="0"/>
          <w:numId w:val="28"/>
        </w:numPr>
        <w:spacing w:before="0" w:after="0"/>
      </w:pPr>
      <w:r>
        <w:t>Analiza teritorialã</w:t>
      </w:r>
    </w:p>
    <w:p w:rsidR="004C762C" w:rsidRDefault="004C762C" w:rsidP="004C762C">
      <w:pPr>
        <w:numPr>
          <w:ilvl w:val="0"/>
          <w:numId w:val="28"/>
        </w:numPr>
        <w:spacing w:before="0" w:after="0"/>
      </w:pPr>
      <w:r>
        <w:t>Selectarea obiectivelor tematice</w:t>
      </w:r>
    </w:p>
    <w:p w:rsidR="004C762C" w:rsidRDefault="004C762C" w:rsidP="004C762C">
      <w:pPr>
        <w:numPr>
          <w:ilvl w:val="0"/>
          <w:numId w:val="28"/>
        </w:numPr>
        <w:spacing w:before="0" w:after="0"/>
      </w:pPr>
      <w:r>
        <w:t>Aprobarea programului operaţional</w:t>
      </w:r>
    </w:p>
    <w:p w:rsidR="004C762C" w:rsidRDefault="00DE7556" w:rsidP="004C762C">
      <w:pPr>
        <w:rPr>
          <w:lang w:val="fr-FR"/>
        </w:rPr>
      </w:pPr>
      <w:r>
        <w:rPr>
          <w:lang w:val="fr-FR"/>
        </w:rPr>
        <w:t>Chestiuni precum aria eligibilă</w:t>
      </w:r>
      <w:r w:rsidR="004C762C">
        <w:rPr>
          <w:lang w:val="fr-FR"/>
        </w:rPr>
        <w:t xml:space="preserve"> şi selecţia obiectivelor tematice au stârnit un viu interes şi au fost dezbãtute pe larg în cadrul reuniunilor grupului comun de lucru. Dupã aprobarea programului, statele membre vor decide de comun acord componenţa comitetului de monitorizare. Recomandarea din partea autoritãţii de management va fi aceea de a pãstra aceeaşi </w:t>
      </w:r>
      <w:r>
        <w:rPr>
          <w:lang w:val="fr-FR"/>
        </w:rPr>
        <w:t>structurã parteneriala ş</w:t>
      </w:r>
      <w:r w:rsidR="004C762C">
        <w:rPr>
          <w:lang w:val="fr-FR"/>
        </w:rPr>
        <w:t>i pentru urmãtoarea perioadã de programare.</w:t>
      </w:r>
    </w:p>
    <w:p w:rsidR="004C762C" w:rsidRPr="00B93017" w:rsidRDefault="004C762C" w:rsidP="004C762C">
      <w:pPr>
        <w:rPr>
          <w:b/>
          <w:u w:val="single"/>
          <w:lang w:val="fr-FR"/>
        </w:rPr>
      </w:pPr>
      <w:r w:rsidRPr="00B93017">
        <w:rPr>
          <w:b/>
          <w:u w:val="single"/>
          <w:lang w:val="fr-FR"/>
        </w:rPr>
        <w:t>Partenerii (pãrţile interesate) implicaţi în procesul de programare</w:t>
      </w:r>
    </w:p>
    <w:p w:rsidR="004C762C" w:rsidRDefault="004C762C" w:rsidP="004C762C">
      <w:pPr>
        <w:rPr>
          <w:lang w:val="fr-FR"/>
        </w:rPr>
      </w:pPr>
      <w:r>
        <w:rPr>
          <w:lang w:val="fr-FR"/>
        </w:rPr>
        <w:lastRenderedPageBreak/>
        <w:t>La o scarã mai largã pãrţile interesate transfrontaliere au fost implicate în timpul unor etape diferite ale procesului de pregãtire a programului şi prin intermediul a mai multor evenimente şi procese de consultare publicã. Primele etape de consultare au avut drept scop consultarea pãrţilor interesate cu privire la provocãrile şi necesitãţile zonei transfrontaliere, prioritizarea strategicã a obiectivelor tematice şi prioritãţile investiţionale asociate, şi în final alegerea rezultatului care trebuie sã fie obţinut prin intermediul fiecãrei axe prioritare.</w:t>
      </w:r>
    </w:p>
    <w:p w:rsidR="004C762C" w:rsidRDefault="004C762C" w:rsidP="004C762C">
      <w:pPr>
        <w:rPr>
          <w:lang w:val="fr-FR"/>
        </w:rPr>
      </w:pPr>
      <w:r>
        <w:rPr>
          <w:lang w:val="fr-FR"/>
        </w:rPr>
        <w:t xml:space="preserve">Autoritatea de management asistatã de secretariatul comun, autoritatea naţionalã şi consultanţii externi </w:t>
      </w:r>
      <w:proofErr w:type="gramStart"/>
      <w:r>
        <w:rPr>
          <w:lang w:val="fr-FR"/>
        </w:rPr>
        <w:t>a</w:t>
      </w:r>
      <w:r w:rsidR="00DE7556">
        <w:rPr>
          <w:lang w:val="fr-FR"/>
        </w:rPr>
        <w:t>u</w:t>
      </w:r>
      <w:r>
        <w:rPr>
          <w:lang w:val="fr-FR"/>
        </w:rPr>
        <w:t xml:space="preserve"> organizat</w:t>
      </w:r>
      <w:proofErr w:type="gramEnd"/>
      <w:r>
        <w:rPr>
          <w:lang w:val="fr-FR"/>
        </w:rPr>
        <w:t xml:space="preserve"> urmãtoarele activitãţi:</w:t>
      </w:r>
    </w:p>
    <w:p w:rsidR="004C762C" w:rsidRDefault="004C762C" w:rsidP="004C762C">
      <w:pPr>
        <w:rPr>
          <w:lang w:val="fr-FR"/>
        </w:rPr>
      </w:pPr>
      <w:r>
        <w:rPr>
          <w:lang w:val="fr-FR"/>
        </w:rPr>
        <w:t>1. Un sondaj de opinie adresat pãrţilor interesate din România şi Bulgaria selectate dintre beneficiarii anteriori ai programului (2007-2013) care a avut loc în iulie 2013, acest lucru oferind un punct de start pentru procesul de programare, care ghideazã analiza teritorialã</w:t>
      </w:r>
    </w:p>
    <w:p w:rsidR="004C762C" w:rsidRDefault="004C762C" w:rsidP="004C762C">
      <w:pPr>
        <w:rPr>
          <w:lang w:val="fr-FR"/>
        </w:rPr>
      </w:pPr>
      <w:r>
        <w:rPr>
          <w:lang w:val="fr-FR"/>
        </w:rPr>
        <w:t>2. Un chestionar online care a fost disponibil pe pagina online a programului (</w:t>
      </w:r>
      <w:hyperlink r:id="rId33" w:history="1">
        <w:r>
          <w:rPr>
            <w:rStyle w:val="Hyperlink"/>
            <w:lang w:val="fr-FR"/>
          </w:rPr>
          <w:t>www.cbcromaniabulgaria.eu</w:t>
        </w:r>
      </w:hyperlink>
      <w:r>
        <w:rPr>
          <w:lang w:val="fr-FR"/>
        </w:rPr>
        <w:t xml:space="preserve">) şi pe pagina online a secretariatului comun şi cãruia i s-a fãcut publicitate printr-o campanie pe e-mail care a avut loc în noiembrie 2013. Chestionarul a fost disponibil în românã, bulgarã şi englezã, şi a fost destinat sã obţinã opinia pãrţilor interesate asupra celor mai importante provocãri şi necesitãţi cu care se confruntã zona transfrontalierã. Chestionarul online a vizat o </w:t>
      </w:r>
      <w:proofErr w:type="gramStart"/>
      <w:r>
        <w:rPr>
          <w:lang w:val="fr-FR"/>
        </w:rPr>
        <w:t>mare</w:t>
      </w:r>
      <w:proofErr w:type="gramEnd"/>
      <w:r>
        <w:rPr>
          <w:lang w:val="fr-FR"/>
        </w:rPr>
        <w:t xml:space="preserve"> parte dintre beneficiarii potenţiali sau actuali ai programului CBC RO-BG 2007-2013 din ambele pãrţi ale frontierei. </w:t>
      </w:r>
    </w:p>
    <w:p w:rsidR="004C762C" w:rsidRDefault="004C762C" w:rsidP="004C762C">
      <w:pPr>
        <w:rPr>
          <w:lang w:val="en-US"/>
        </w:rPr>
      </w:pPr>
      <w:r>
        <w:rPr>
          <w:lang w:val="fr-FR"/>
        </w:rPr>
        <w:tab/>
      </w:r>
      <w:r>
        <w:t>Pãrţile interesate care au fost direct vizate sunt urmãtoarele:</w:t>
      </w:r>
    </w:p>
    <w:p w:rsidR="004C762C" w:rsidRDefault="004C762C" w:rsidP="004C762C">
      <w:pPr>
        <w:pStyle w:val="ListParagraph"/>
        <w:numPr>
          <w:ilvl w:val="0"/>
          <w:numId w:val="32"/>
        </w:numPr>
        <w:spacing w:before="0"/>
        <w:jc w:val="left"/>
      </w:pPr>
      <w:r>
        <w:t>Toate administraţiile judeţene/districtuale</w:t>
      </w:r>
    </w:p>
    <w:p w:rsidR="004C762C" w:rsidRPr="006C6828" w:rsidRDefault="004C762C" w:rsidP="004C762C">
      <w:pPr>
        <w:pStyle w:val="ListParagraph"/>
        <w:numPr>
          <w:ilvl w:val="0"/>
          <w:numId w:val="32"/>
        </w:numPr>
        <w:spacing w:before="0"/>
        <w:jc w:val="left"/>
        <w:rPr>
          <w:lang w:val="it-IT"/>
        </w:rPr>
      </w:pPr>
      <w:r w:rsidRPr="006C6828">
        <w:rPr>
          <w:lang w:val="it-IT"/>
        </w:rPr>
        <w:t>Toate municipiile incluse în lista de beneficiari 2007-2013 dacã nu erau deja incluse:</w:t>
      </w:r>
    </w:p>
    <w:p w:rsidR="004C762C" w:rsidRDefault="004C762C" w:rsidP="004C762C">
      <w:pPr>
        <w:pStyle w:val="ListParagraph"/>
        <w:numPr>
          <w:ilvl w:val="1"/>
          <w:numId w:val="3"/>
        </w:numPr>
        <w:spacing w:before="0"/>
        <w:jc w:val="left"/>
        <w:rPr>
          <w:lang w:val="fr-FR"/>
        </w:rPr>
      </w:pPr>
      <w:r w:rsidRPr="00400FE3">
        <w:rPr>
          <w:lang w:val="fr-FR"/>
        </w:rPr>
        <w:t>Municipiile mici din zona transfrontalierã</w:t>
      </w:r>
    </w:p>
    <w:p w:rsidR="004C762C" w:rsidRDefault="004C762C" w:rsidP="004C762C">
      <w:pPr>
        <w:pStyle w:val="ListParagraph"/>
        <w:numPr>
          <w:ilvl w:val="1"/>
          <w:numId w:val="3"/>
        </w:numPr>
        <w:spacing w:before="0"/>
        <w:jc w:val="left"/>
        <w:rPr>
          <w:lang w:val="fr-FR"/>
        </w:rPr>
      </w:pPr>
      <w:r w:rsidRPr="00400FE3">
        <w:rPr>
          <w:lang w:val="fr-FR"/>
        </w:rPr>
        <w:t>Municipiile de dimensiune micã şi medie din zona transfrontalierã care au putut fi identificate</w:t>
      </w:r>
    </w:p>
    <w:p w:rsidR="004C762C" w:rsidRDefault="004C762C" w:rsidP="004C762C">
      <w:pPr>
        <w:pStyle w:val="ListParagraph"/>
        <w:numPr>
          <w:ilvl w:val="0"/>
          <w:numId w:val="33"/>
        </w:numPr>
        <w:spacing w:before="0"/>
        <w:jc w:val="left"/>
        <w:rPr>
          <w:lang w:val="fr-FR"/>
        </w:rPr>
      </w:pPr>
      <w:r w:rsidRPr="00400FE3">
        <w:rPr>
          <w:lang w:val="fr-FR"/>
        </w:rPr>
        <w:t>Asocierile autoritãţilor publice (municipii şi judeţe/districte)</w:t>
      </w:r>
    </w:p>
    <w:p w:rsidR="004C762C" w:rsidRPr="00400FE3" w:rsidRDefault="004C762C" w:rsidP="004C762C">
      <w:pPr>
        <w:pStyle w:val="ListParagraph"/>
        <w:numPr>
          <w:ilvl w:val="0"/>
          <w:numId w:val="33"/>
        </w:numPr>
        <w:spacing w:before="0"/>
        <w:jc w:val="left"/>
        <w:rPr>
          <w:lang w:val="fr-FR"/>
        </w:rPr>
      </w:pPr>
      <w:r w:rsidRPr="006C6828">
        <w:rPr>
          <w:lang w:val="it-IT"/>
        </w:rPr>
        <w:t>Autoritãţile publice deconcentrate (precum Ministerul Sãnãtãţii, Ministerul Muncii şi Protecţiei Sociale, Ministerul Mediului, etc)</w:t>
      </w:r>
    </w:p>
    <w:p w:rsidR="004C762C" w:rsidRDefault="004C762C" w:rsidP="004C762C">
      <w:pPr>
        <w:pStyle w:val="ListParagraph"/>
        <w:numPr>
          <w:ilvl w:val="0"/>
          <w:numId w:val="33"/>
        </w:numPr>
        <w:spacing w:before="0"/>
        <w:jc w:val="left"/>
        <w:rPr>
          <w:lang w:val="fr-FR"/>
        </w:rPr>
      </w:pPr>
      <w:r w:rsidRPr="00400FE3">
        <w:rPr>
          <w:lang w:val="fr-FR"/>
        </w:rPr>
        <w:t>Poliţia de frontierã şi vãmile</w:t>
      </w:r>
    </w:p>
    <w:p w:rsidR="004C762C" w:rsidRDefault="004C762C" w:rsidP="004C762C">
      <w:pPr>
        <w:pStyle w:val="ListParagraph"/>
        <w:numPr>
          <w:ilvl w:val="0"/>
          <w:numId w:val="33"/>
        </w:numPr>
        <w:spacing w:before="0"/>
        <w:jc w:val="left"/>
        <w:rPr>
          <w:lang w:val="fr-FR"/>
        </w:rPr>
      </w:pPr>
      <w:r w:rsidRPr="00400FE3">
        <w:rPr>
          <w:lang w:val="fr-FR"/>
        </w:rPr>
        <w:t>Camera de Comerţ, Industrie şi Agriculturã</w:t>
      </w:r>
    </w:p>
    <w:p w:rsidR="004C762C" w:rsidRPr="00400FE3" w:rsidRDefault="004C762C" w:rsidP="004C762C">
      <w:pPr>
        <w:pStyle w:val="ListParagraph"/>
        <w:numPr>
          <w:ilvl w:val="0"/>
          <w:numId w:val="33"/>
        </w:numPr>
        <w:spacing w:before="0"/>
        <w:jc w:val="left"/>
        <w:rPr>
          <w:lang w:val="fr-FR"/>
        </w:rPr>
      </w:pPr>
      <w:r>
        <w:t xml:space="preserve">Asociaţiile oamenilor de afaceri </w:t>
      </w:r>
    </w:p>
    <w:p w:rsidR="004C762C" w:rsidRPr="00400FE3" w:rsidRDefault="004C762C" w:rsidP="004C762C">
      <w:pPr>
        <w:pStyle w:val="ListParagraph"/>
        <w:numPr>
          <w:ilvl w:val="0"/>
          <w:numId w:val="33"/>
        </w:numPr>
        <w:spacing w:before="0"/>
        <w:jc w:val="left"/>
        <w:rPr>
          <w:lang w:val="fr-FR"/>
        </w:rPr>
      </w:pPr>
      <w:r w:rsidRPr="006C6828">
        <w:rPr>
          <w:lang w:val="it-IT"/>
        </w:rPr>
        <w:t>Universitãţile şi departamentele lor în domeniu</w:t>
      </w:r>
    </w:p>
    <w:p w:rsidR="004C762C" w:rsidRDefault="004C762C" w:rsidP="004C762C">
      <w:pPr>
        <w:pStyle w:val="ListParagraph"/>
        <w:numPr>
          <w:ilvl w:val="0"/>
          <w:numId w:val="33"/>
        </w:numPr>
        <w:spacing w:before="0"/>
        <w:jc w:val="left"/>
        <w:rPr>
          <w:lang w:val="fr-FR"/>
        </w:rPr>
      </w:pPr>
      <w:r w:rsidRPr="00400FE3">
        <w:rPr>
          <w:lang w:val="fr-FR"/>
        </w:rPr>
        <w:t>Institutele de cercetare şi dezvoltare în domeniu</w:t>
      </w:r>
    </w:p>
    <w:p w:rsidR="004C762C" w:rsidRPr="00400FE3" w:rsidRDefault="004C762C" w:rsidP="004C762C">
      <w:pPr>
        <w:pStyle w:val="ListParagraph"/>
        <w:numPr>
          <w:ilvl w:val="0"/>
          <w:numId w:val="33"/>
        </w:numPr>
        <w:spacing w:before="0"/>
        <w:jc w:val="left"/>
        <w:rPr>
          <w:lang w:val="fr-FR"/>
        </w:rPr>
      </w:pPr>
      <w:r>
        <w:t>ONG-urile active în domeniu</w:t>
      </w:r>
    </w:p>
    <w:p w:rsidR="004C762C" w:rsidRDefault="004C762C" w:rsidP="004C762C">
      <w:pPr>
        <w:rPr>
          <w:lang w:val="fr-FR"/>
        </w:rPr>
      </w:pPr>
      <w:r>
        <w:rPr>
          <w:lang w:val="fr-FR"/>
        </w:rPr>
        <w:t xml:space="preserve">Au fost obţinute 86 de rãspunsuri în zona transfrontalierã, dintre care 51 au fost furnizate de persoanele interesate din România şi 35 de cãtre persoane bulgare. Din toate aceste </w:t>
      </w:r>
      <w:r w:rsidR="00DE7556">
        <w:rPr>
          <w:lang w:val="fr-FR"/>
        </w:rPr>
        <w:t>81 de rãspunsuri au fost valide</w:t>
      </w:r>
      <w:r>
        <w:rPr>
          <w:lang w:val="fr-FR"/>
        </w:rPr>
        <w:t xml:space="preserve"> 49 din România şi 32 din Bulgaria. Autoritãţile publice au oferit în total 29 de rãspunsuri (RO:17, BG:12), în timp </w:t>
      </w:r>
      <w:proofErr w:type="gramStart"/>
      <w:r>
        <w:rPr>
          <w:lang w:val="fr-FR"/>
        </w:rPr>
        <w:t>ce</w:t>
      </w:r>
      <w:proofErr w:type="gramEnd"/>
      <w:r>
        <w:rPr>
          <w:lang w:val="fr-FR"/>
        </w:rPr>
        <w:t xml:space="preserve"> academiile şi institutele de cercetare şi dezvoltare au oferit 25 de rãspunsuri (19 din România şi 6 din Bulgaria). Camerele de comerţ, asociaţiile întreprinderilor mici şi mijlocii şi ONG-urile au completat 27 de chestionare, 13 din România, respectiv 14 din Bulgaria. </w:t>
      </w:r>
    </w:p>
    <w:p w:rsidR="004C762C" w:rsidRDefault="004C762C" w:rsidP="004C762C">
      <w:pPr>
        <w:rPr>
          <w:lang w:val="fr-FR"/>
        </w:rPr>
      </w:pPr>
      <w:r>
        <w:rPr>
          <w:lang w:val="fr-FR"/>
        </w:rPr>
        <w:lastRenderedPageBreak/>
        <w:t xml:space="preserve">3. O campanie de interviuri s-a desfãşurat </w:t>
      </w:r>
      <w:proofErr w:type="gramStart"/>
      <w:r>
        <w:rPr>
          <w:lang w:val="fr-FR"/>
        </w:rPr>
        <w:t>de asemenea</w:t>
      </w:r>
      <w:proofErr w:type="gramEnd"/>
      <w:r>
        <w:rPr>
          <w:lang w:val="fr-FR"/>
        </w:rPr>
        <w:t xml:space="preserve"> în perioada noiembrie-decembrie 2013. 20 interviuri s-au derulat în România şi 20 în Bulgaria. Interviurile s-au derulat în baza chestionarelor online pentru a aborda diverse chestiuni şi pentru a analiza </w:t>
      </w:r>
      <w:r w:rsidR="00DE7556">
        <w:rPr>
          <w:lang w:val="fr-FR"/>
        </w:rPr>
        <w:t>opiniile persoanelor interesate,</w:t>
      </w:r>
      <w:r>
        <w:rPr>
          <w:lang w:val="fr-FR"/>
        </w:rPr>
        <w:t xml:space="preserve"> pe tema provocãrilor şi necesitãţilor din zona transfrontalierã, într-o abordare mai calitativã. Interviurile s-au derulat în cea de-a doua jumãtate a lunii noiembrie şi prima jumãtate a lunii decembrie, perioadã în care primele rezultate ale analizei teritoriale s-au bazat în principal pe cercetarea documentarã (date statistice, documente privind strategiile de dezvoltare localã şi naţionalã, documentaţie naţionalã strategicã, etc) care era deja disponibilã. Astfel, interviurile au adãugat chestionarelor online un plus valoare prin accentul pus pe anumite subiecte cheie care au fost identificate ca atare în timpul analizei teritoriale:</w:t>
      </w:r>
    </w:p>
    <w:p w:rsidR="004C762C" w:rsidRDefault="004C762C" w:rsidP="004C762C">
      <w:pPr>
        <w:pStyle w:val="ListParagraph"/>
        <w:numPr>
          <w:ilvl w:val="0"/>
          <w:numId w:val="34"/>
        </w:numPr>
        <w:rPr>
          <w:lang w:val="fr-FR"/>
        </w:rPr>
      </w:pPr>
      <w:r w:rsidRPr="00400FE3">
        <w:rPr>
          <w:lang w:val="fr-FR"/>
        </w:rPr>
        <w:t>P</w:t>
      </w:r>
      <w:r>
        <w:rPr>
          <w:lang w:val="fr-FR"/>
        </w:rPr>
        <w:t xml:space="preserve">roblema dezvoltãrii mediului </w:t>
      </w:r>
      <w:proofErr w:type="gramStart"/>
      <w:r>
        <w:rPr>
          <w:lang w:val="fr-FR"/>
        </w:rPr>
        <w:t xml:space="preserve">de </w:t>
      </w:r>
      <w:r w:rsidRPr="00400FE3">
        <w:rPr>
          <w:lang w:val="fr-FR"/>
        </w:rPr>
        <w:t>afaceri</w:t>
      </w:r>
      <w:proofErr w:type="gramEnd"/>
      <w:r w:rsidRPr="00400FE3">
        <w:rPr>
          <w:lang w:val="fr-FR"/>
        </w:rPr>
        <w:t xml:space="preserve"> la nivelul zonei transfrontaliere pentru a rezolva problemele de incluziune socialã</w:t>
      </w:r>
    </w:p>
    <w:p w:rsidR="004C762C" w:rsidRDefault="004C762C" w:rsidP="004C762C">
      <w:pPr>
        <w:pStyle w:val="ListParagraph"/>
        <w:numPr>
          <w:ilvl w:val="0"/>
          <w:numId w:val="34"/>
        </w:numPr>
        <w:rPr>
          <w:lang w:val="fr-FR"/>
        </w:rPr>
      </w:pPr>
      <w:r w:rsidRPr="00400FE3">
        <w:rPr>
          <w:lang w:val="fr-FR"/>
        </w:rPr>
        <w:t>transportul, conectivitatea teritorialã, şi problemele accesibilitãţii zonei transfrontaliere</w:t>
      </w:r>
    </w:p>
    <w:p w:rsidR="004C762C" w:rsidRPr="00400FE3" w:rsidRDefault="004C762C" w:rsidP="004C762C">
      <w:pPr>
        <w:pStyle w:val="ListParagraph"/>
        <w:numPr>
          <w:ilvl w:val="0"/>
          <w:numId w:val="34"/>
        </w:numPr>
        <w:rPr>
          <w:lang w:val="fr-FR"/>
        </w:rPr>
      </w:pPr>
      <w:r w:rsidRPr="00400FE3">
        <w:rPr>
          <w:lang w:val="fr-FR"/>
        </w:rPr>
        <w:t>riscurile de mediu şi problemele nerezolvate ale zonei transfrontaliere</w:t>
      </w:r>
    </w:p>
    <w:p w:rsidR="004C762C" w:rsidRDefault="004C762C" w:rsidP="004C762C">
      <w:pPr>
        <w:rPr>
          <w:lang w:val="fr-FR"/>
        </w:rPr>
      </w:pPr>
    </w:p>
    <w:p w:rsidR="004C762C" w:rsidRDefault="004C762C" w:rsidP="004C762C">
      <w:pPr>
        <w:rPr>
          <w:lang w:val="en-US"/>
        </w:rPr>
      </w:pPr>
      <w:r>
        <w:rPr>
          <w:lang w:val="fr-FR"/>
        </w:rPr>
        <w:t xml:space="preserve">4. O primã serie de ateliere de lucru ale persoanelor interesate au fost organizate din zona transfrontalierã organizate în 4 locaţii situate în diferite pãrţi ale acestei zone pentru a permite cea mai reprezentativã participare. </w:t>
      </w:r>
      <w:r>
        <w:t>Data şi locaţiile acestor ateliere de lucru sunt urmãtoarele:</w:t>
      </w:r>
    </w:p>
    <w:p w:rsidR="004C762C" w:rsidRDefault="004C762C" w:rsidP="004C762C">
      <w:pPr>
        <w:numPr>
          <w:ilvl w:val="1"/>
          <w:numId w:val="29"/>
        </w:numPr>
        <w:spacing w:before="0" w:after="0"/>
        <w:jc w:val="left"/>
      </w:pPr>
      <w:r>
        <w:rPr>
          <w:b/>
        </w:rPr>
        <w:t>Ruse 24 Februarie</w:t>
      </w:r>
      <w:r>
        <w:t>;</w:t>
      </w:r>
    </w:p>
    <w:p w:rsidR="004C762C" w:rsidRDefault="004C762C" w:rsidP="004C762C">
      <w:pPr>
        <w:numPr>
          <w:ilvl w:val="1"/>
          <w:numId w:val="29"/>
        </w:numPr>
        <w:spacing w:before="0" w:after="0"/>
        <w:jc w:val="left"/>
      </w:pPr>
      <w:r>
        <w:rPr>
          <w:b/>
        </w:rPr>
        <w:t>Pleven 25 Februarie</w:t>
      </w:r>
      <w:r>
        <w:t>;</w:t>
      </w:r>
    </w:p>
    <w:p w:rsidR="004C762C" w:rsidRDefault="004C762C" w:rsidP="004C762C">
      <w:pPr>
        <w:numPr>
          <w:ilvl w:val="1"/>
          <w:numId w:val="29"/>
        </w:numPr>
        <w:spacing w:before="0" w:after="0"/>
        <w:jc w:val="left"/>
        <w:rPr>
          <w:b/>
          <w:bCs/>
        </w:rPr>
      </w:pPr>
      <w:r>
        <w:rPr>
          <w:b/>
        </w:rPr>
        <w:t>Constanţa 27 Februarie</w:t>
      </w:r>
      <w:r>
        <w:t>;</w:t>
      </w:r>
    </w:p>
    <w:p w:rsidR="004C762C" w:rsidRDefault="004C762C" w:rsidP="004C762C">
      <w:pPr>
        <w:numPr>
          <w:ilvl w:val="1"/>
          <w:numId w:val="29"/>
        </w:numPr>
        <w:spacing w:before="0" w:after="0"/>
        <w:jc w:val="left"/>
        <w:rPr>
          <w:b/>
          <w:bCs/>
        </w:rPr>
      </w:pPr>
      <w:r>
        <w:rPr>
          <w:b/>
        </w:rPr>
        <w:t>Craiova 28 Februarie</w:t>
      </w:r>
    </w:p>
    <w:p w:rsidR="004C762C" w:rsidRDefault="004C762C" w:rsidP="004C762C">
      <w:pPr>
        <w:rPr>
          <w:bCs/>
          <w:lang w:val="fr-FR"/>
        </w:rPr>
      </w:pPr>
      <w:r>
        <w:rPr>
          <w:bCs/>
          <w:lang w:val="fr-FR"/>
        </w:rPr>
        <w:t xml:space="preserve">Împreunã, 91 de participanţi (82 persoane fizice şi 9 reprezentanţi AN sau SC) au fost implicaţi în aceste ateliere de lucru, 28 dintre participanţi au fost din România, iar 63 din Bulgaria. Putem împãrţi persoanele interesate în 3 mari categorii: autoritãţi publice (locale, judeţene/districtuale) şi asociaţiile lor, camere de comerţ şi ONG-uri, Universitãţi şi institute de cercetare şi dezvoltare. 46 autoritãţi publice, 21 Camere de Comerţ şi ONG-uri şi 15 universitãţi şi institute de cercetare şi dezvoltare au luat parte </w:t>
      </w:r>
      <w:proofErr w:type="gramStart"/>
      <w:r>
        <w:rPr>
          <w:bCs/>
          <w:lang w:val="fr-FR"/>
        </w:rPr>
        <w:t>la acest</w:t>
      </w:r>
      <w:proofErr w:type="gramEnd"/>
      <w:r>
        <w:rPr>
          <w:bCs/>
          <w:lang w:val="fr-FR"/>
        </w:rPr>
        <w:t xml:space="preserve"> eveniment.</w:t>
      </w:r>
    </w:p>
    <w:p w:rsidR="004C762C" w:rsidRDefault="004C762C" w:rsidP="004C762C">
      <w:pPr>
        <w:rPr>
          <w:bCs/>
          <w:lang w:val="en-US"/>
        </w:rPr>
      </w:pPr>
      <w:r>
        <w:rPr>
          <w:bCs/>
        </w:rPr>
        <w:t>Fiecare workshop a durat aproximativ 4 ore şi a fost structurat în douã etape:</w:t>
      </w:r>
    </w:p>
    <w:p w:rsidR="004C762C" w:rsidRPr="006C6828" w:rsidRDefault="004C762C" w:rsidP="004C762C">
      <w:pPr>
        <w:rPr>
          <w:bCs/>
          <w:lang w:val="it-IT"/>
        </w:rPr>
      </w:pPr>
      <w:r w:rsidRPr="006C6828">
        <w:rPr>
          <w:bCs/>
          <w:lang w:val="it-IT"/>
        </w:rPr>
        <w:t>A. O prezentare a procesului de programare şi a primelor sale rezultate:</w:t>
      </w:r>
    </w:p>
    <w:p w:rsidR="004C762C" w:rsidRPr="00A65FE1" w:rsidRDefault="004C762C" w:rsidP="004C762C">
      <w:pPr>
        <w:pStyle w:val="ListParagraph"/>
        <w:numPr>
          <w:ilvl w:val="0"/>
          <w:numId w:val="49"/>
        </w:numPr>
        <w:rPr>
          <w:bCs/>
          <w:lang w:val="fr-FR"/>
        </w:rPr>
      </w:pPr>
      <w:r w:rsidRPr="00A65FE1">
        <w:rPr>
          <w:bCs/>
          <w:lang w:val="fr-FR"/>
        </w:rPr>
        <w:t xml:space="preserve">prezentarea procesului de programare: reguli </w:t>
      </w:r>
      <w:r>
        <w:rPr>
          <w:bCs/>
          <w:lang w:val="fr-FR"/>
        </w:rPr>
        <w:t>CTE</w:t>
      </w:r>
      <w:r w:rsidRPr="00A65FE1">
        <w:rPr>
          <w:bCs/>
          <w:lang w:val="fr-FR"/>
        </w:rPr>
        <w:t>, proceduri, calendar;</w:t>
      </w:r>
    </w:p>
    <w:p w:rsidR="004C762C" w:rsidRPr="006C6828" w:rsidRDefault="004C762C" w:rsidP="004C762C">
      <w:pPr>
        <w:pStyle w:val="ListParagraph"/>
        <w:numPr>
          <w:ilvl w:val="0"/>
          <w:numId w:val="49"/>
        </w:numPr>
        <w:rPr>
          <w:bCs/>
          <w:lang w:val="it-IT"/>
        </w:rPr>
      </w:pPr>
      <w:r w:rsidRPr="006C6828">
        <w:rPr>
          <w:bCs/>
          <w:lang w:val="it-IT"/>
        </w:rPr>
        <w:t>prezentarea primelor rezultate ale analizei teritoriale : accent pe provocãrile şi necesitãţile zonei CBC</w:t>
      </w:r>
    </w:p>
    <w:p w:rsidR="004C762C" w:rsidRPr="00A65FE1" w:rsidRDefault="004C762C" w:rsidP="004C762C">
      <w:pPr>
        <w:pStyle w:val="ListParagraph"/>
        <w:numPr>
          <w:ilvl w:val="0"/>
          <w:numId w:val="49"/>
        </w:numPr>
        <w:rPr>
          <w:bCs/>
          <w:lang w:val="en-US"/>
        </w:rPr>
      </w:pPr>
      <w:r w:rsidRPr="00A65FE1">
        <w:rPr>
          <w:bCs/>
          <w:lang w:val="en-US"/>
        </w:rPr>
        <w:t>prezentarea rezultatelor chestionarelor online</w:t>
      </w:r>
    </w:p>
    <w:p w:rsidR="004C762C" w:rsidRPr="006C6828" w:rsidRDefault="004C762C" w:rsidP="004C762C">
      <w:pPr>
        <w:pStyle w:val="ListParagraph"/>
        <w:numPr>
          <w:ilvl w:val="0"/>
          <w:numId w:val="49"/>
        </w:numPr>
        <w:rPr>
          <w:bCs/>
          <w:lang w:val="it-IT"/>
        </w:rPr>
      </w:pPr>
      <w:r w:rsidRPr="006C6828">
        <w:rPr>
          <w:bCs/>
          <w:lang w:val="it-IT"/>
        </w:rPr>
        <w:t>prezentarea concentrãrii tematice prin intermediul prezentãrii detaliate a TO şi IP-urilor</w:t>
      </w:r>
    </w:p>
    <w:p w:rsidR="004C762C" w:rsidRPr="006C6828" w:rsidRDefault="004C762C" w:rsidP="004C762C">
      <w:pPr>
        <w:rPr>
          <w:bCs/>
          <w:lang w:val="it-IT"/>
        </w:rPr>
      </w:pPr>
    </w:p>
    <w:p w:rsidR="004C762C" w:rsidRPr="006C6828" w:rsidRDefault="004C762C" w:rsidP="004C762C">
      <w:pPr>
        <w:rPr>
          <w:bCs/>
          <w:lang w:val="it-IT"/>
        </w:rPr>
      </w:pPr>
      <w:r w:rsidRPr="006C6828">
        <w:rPr>
          <w:bCs/>
          <w:lang w:val="it-IT"/>
        </w:rPr>
        <w:t xml:space="preserve">B. O sesiune interactivã în care feedback-ul şi propunerile pãrţilor interesate asupra provocãrilor şi necesitãţilor zonei CBC şi asupra conformitãţii sale cu obiectivele tematice şi prioritãţile investiţionale au fost colectate. Un accent final pe rãspunderea </w:t>
      </w:r>
      <w:r w:rsidRPr="006C6828">
        <w:rPr>
          <w:bCs/>
          <w:lang w:val="it-IT"/>
        </w:rPr>
        <w:lastRenderedPageBreak/>
        <w:t>administrative şi proiectele strategice a fost pu</w:t>
      </w:r>
      <w:r w:rsidR="00564920" w:rsidRPr="006C6828">
        <w:rPr>
          <w:bCs/>
          <w:lang w:val="it-IT"/>
        </w:rPr>
        <w:t>s în ultima etapã a discuţiilor</w:t>
      </w:r>
      <w:r w:rsidRPr="006C6828">
        <w:rPr>
          <w:bCs/>
          <w:lang w:val="it-IT"/>
        </w:rPr>
        <w:t xml:space="preserve"> de completare şi de colectare a formularelor pentru includerea rezultatelor acestora.</w:t>
      </w:r>
    </w:p>
    <w:p w:rsidR="004C762C" w:rsidRPr="006C6828" w:rsidRDefault="004C762C" w:rsidP="004C762C">
      <w:pPr>
        <w:rPr>
          <w:bCs/>
          <w:lang w:val="it-IT"/>
        </w:rPr>
      </w:pPr>
      <w:r w:rsidRPr="006C6828">
        <w:rPr>
          <w:bCs/>
          <w:lang w:val="it-IT"/>
        </w:rPr>
        <w:tab/>
      </w:r>
    </w:p>
    <w:p w:rsidR="004C762C" w:rsidRDefault="004C762C" w:rsidP="004C762C">
      <w:pPr>
        <w:rPr>
          <w:bCs/>
        </w:rPr>
      </w:pPr>
      <w:r>
        <w:rPr>
          <w:bCs/>
          <w:lang w:val="fr-FR"/>
        </w:rPr>
        <w:t xml:space="preserve">5. O a doua serie de ateliere de lucru pentru zona transfrontalierã unde s-au dezbãtut rezultatele primei variante a programului şi care a oferit idei de proiecte pentru viitoarele axe prioritare, a fost organizatã la începutul lunii mai 2014. Oferirea de idei de proiecte şi scadenţa lor </w:t>
      </w:r>
      <w:proofErr w:type="gramStart"/>
      <w:r>
        <w:rPr>
          <w:bCs/>
          <w:lang w:val="fr-FR"/>
        </w:rPr>
        <w:t>au avut</w:t>
      </w:r>
      <w:proofErr w:type="gramEnd"/>
      <w:r>
        <w:rPr>
          <w:bCs/>
          <w:lang w:val="fr-FR"/>
        </w:rPr>
        <w:t xml:space="preserve"> scopul de a orienta decizia cu privire la alocarea financiarã finalã pentru fiecare axã prioritarã. </w:t>
      </w:r>
      <w:r>
        <w:rPr>
          <w:bCs/>
        </w:rPr>
        <w:t>Atelierele s-au desfãşurat în 3 locaţii:</w:t>
      </w:r>
    </w:p>
    <w:p w:rsidR="004C762C" w:rsidRDefault="004C762C" w:rsidP="004C762C">
      <w:pPr>
        <w:numPr>
          <w:ilvl w:val="0"/>
          <w:numId w:val="30"/>
        </w:numPr>
        <w:spacing w:before="0" w:after="0"/>
        <w:jc w:val="left"/>
        <w:rPr>
          <w:b/>
          <w:bCs/>
        </w:rPr>
      </w:pPr>
      <w:r>
        <w:rPr>
          <w:b/>
          <w:bCs/>
        </w:rPr>
        <w:t xml:space="preserve">Craiova 12 Mai </w:t>
      </w:r>
    </w:p>
    <w:p w:rsidR="004C762C" w:rsidRDefault="004C762C" w:rsidP="004C762C">
      <w:pPr>
        <w:numPr>
          <w:ilvl w:val="0"/>
          <w:numId w:val="30"/>
        </w:numPr>
        <w:spacing w:before="0" w:after="0"/>
        <w:jc w:val="left"/>
        <w:rPr>
          <w:b/>
          <w:bCs/>
        </w:rPr>
      </w:pPr>
      <w:r>
        <w:rPr>
          <w:b/>
          <w:bCs/>
        </w:rPr>
        <w:t xml:space="preserve">Montana 13 Mai </w:t>
      </w:r>
    </w:p>
    <w:p w:rsidR="004C762C" w:rsidRDefault="004C762C" w:rsidP="004C762C">
      <w:pPr>
        <w:numPr>
          <w:ilvl w:val="0"/>
          <w:numId w:val="30"/>
        </w:numPr>
        <w:spacing w:before="0" w:after="0"/>
        <w:jc w:val="left"/>
        <w:rPr>
          <w:b/>
          <w:bCs/>
        </w:rPr>
      </w:pPr>
      <w:r>
        <w:rPr>
          <w:b/>
          <w:bCs/>
        </w:rPr>
        <w:t>Dobrich 16 Mai</w:t>
      </w:r>
    </w:p>
    <w:p w:rsidR="004C762C" w:rsidRDefault="004C762C" w:rsidP="004C762C">
      <w:pPr>
        <w:rPr>
          <w:b/>
          <w:bCs/>
        </w:rPr>
      </w:pPr>
    </w:p>
    <w:p w:rsidR="004C762C" w:rsidRDefault="004C762C" w:rsidP="004C762C">
      <w:pPr>
        <w:rPr>
          <w:bCs/>
          <w:lang w:val="fr-FR"/>
        </w:rPr>
      </w:pPr>
      <w:r>
        <w:rPr>
          <w:bCs/>
          <w:lang w:val="fr-FR"/>
        </w:rPr>
        <w:t xml:space="preserve">Împreunã, 73 de participanţi (66 reprezentanţi ai pãrţilor interesate şi 7 reprezentanţi ai secretariatului comun) au fost implicaţi în aceste ateliere. 45 dintre participanţi au fost din România, iar 28 din Bulgaria.  Aceleaşi trei grupuri principale au fost prezente în cadrul acestei a doua faze de consultare: autoritãţi publice (locale, judeţene/districtuale) şi asociaţiile lor, camere de comerţ şi ONG-uri, Universitãţi şi institute de cercetare şi dezvoltare. 35 autoritãţi publice, 20 Camere de Comerţ şi ONG-uri şi 18 universitãţi şi institute de cercetare şi dezvoltare au luat parte </w:t>
      </w:r>
      <w:proofErr w:type="gramStart"/>
      <w:r>
        <w:rPr>
          <w:bCs/>
          <w:lang w:val="fr-FR"/>
        </w:rPr>
        <w:t>la acest</w:t>
      </w:r>
      <w:proofErr w:type="gramEnd"/>
      <w:r>
        <w:rPr>
          <w:bCs/>
          <w:lang w:val="fr-FR"/>
        </w:rPr>
        <w:t xml:space="preserve"> eveniment.</w:t>
      </w:r>
    </w:p>
    <w:p w:rsidR="004C762C" w:rsidRDefault="004C762C" w:rsidP="004C762C">
      <w:pPr>
        <w:rPr>
          <w:bCs/>
          <w:lang w:val="fr-FR"/>
        </w:rPr>
      </w:pPr>
      <w:r>
        <w:rPr>
          <w:bCs/>
          <w:lang w:val="fr-FR"/>
        </w:rPr>
        <w:t xml:space="preserve">Fiecare atelier din aceastã </w:t>
      </w:r>
      <w:proofErr w:type="gramStart"/>
      <w:r>
        <w:rPr>
          <w:bCs/>
          <w:lang w:val="fr-FR"/>
        </w:rPr>
        <w:t>a</w:t>
      </w:r>
      <w:proofErr w:type="gramEnd"/>
      <w:r>
        <w:rPr>
          <w:bCs/>
          <w:lang w:val="fr-FR"/>
        </w:rPr>
        <w:t xml:space="preserve"> doua rundã a durat aproximativ 4 ore şi a fost structurat în douã etape:</w:t>
      </w:r>
    </w:p>
    <w:p w:rsidR="004C762C" w:rsidRDefault="004C762C" w:rsidP="004C762C">
      <w:pPr>
        <w:rPr>
          <w:bCs/>
          <w:lang w:val="fr-FR"/>
        </w:rPr>
      </w:pPr>
      <w:r>
        <w:rPr>
          <w:bCs/>
          <w:lang w:val="fr-FR"/>
        </w:rPr>
        <w:t xml:space="preserve">A. O prezentare a procesului de programare şi </w:t>
      </w:r>
      <w:proofErr w:type="gramStart"/>
      <w:r>
        <w:rPr>
          <w:bCs/>
          <w:lang w:val="fr-FR"/>
        </w:rPr>
        <w:t>a</w:t>
      </w:r>
      <w:proofErr w:type="gramEnd"/>
      <w:r>
        <w:rPr>
          <w:bCs/>
          <w:lang w:val="fr-FR"/>
        </w:rPr>
        <w:t xml:space="preserve"> primelor sale rezultate:</w:t>
      </w:r>
    </w:p>
    <w:p w:rsidR="004C762C" w:rsidRPr="00A65FE1" w:rsidRDefault="004C762C" w:rsidP="004C762C">
      <w:pPr>
        <w:pStyle w:val="ListParagraph"/>
        <w:numPr>
          <w:ilvl w:val="0"/>
          <w:numId w:val="50"/>
        </w:numPr>
        <w:rPr>
          <w:bCs/>
          <w:lang w:val="fr-FR"/>
        </w:rPr>
      </w:pPr>
      <w:r w:rsidRPr="00A65FE1">
        <w:rPr>
          <w:bCs/>
          <w:lang w:val="fr-FR"/>
        </w:rPr>
        <w:t>prezentarea procesului de programare:conţinut, calendar, etape, rolul pãrţilor interesate;</w:t>
      </w:r>
    </w:p>
    <w:p w:rsidR="004C762C" w:rsidRPr="00A65FE1" w:rsidRDefault="004C762C" w:rsidP="004C762C">
      <w:pPr>
        <w:pStyle w:val="ListParagraph"/>
        <w:numPr>
          <w:ilvl w:val="0"/>
          <w:numId w:val="50"/>
        </w:numPr>
        <w:rPr>
          <w:bCs/>
          <w:lang w:val="fr-FR"/>
        </w:rPr>
      </w:pPr>
      <w:r w:rsidRPr="00A65FE1">
        <w:rPr>
          <w:bCs/>
          <w:lang w:val="fr-FR"/>
        </w:rPr>
        <w:t>prezentarea variantei programului: obiective tematice, prioritãţi investiţionale şi axe prioritare, acţiuni indicative, alocare financiarã</w:t>
      </w:r>
    </w:p>
    <w:p w:rsidR="004C762C" w:rsidRPr="00A65FE1" w:rsidRDefault="004C762C" w:rsidP="004C762C">
      <w:pPr>
        <w:pStyle w:val="ListParagraph"/>
        <w:numPr>
          <w:ilvl w:val="0"/>
          <w:numId w:val="50"/>
        </w:numPr>
        <w:rPr>
          <w:bCs/>
          <w:lang w:val="fr-FR"/>
        </w:rPr>
      </w:pPr>
      <w:r w:rsidRPr="00A65FE1">
        <w:rPr>
          <w:bCs/>
          <w:lang w:val="fr-FR"/>
        </w:rPr>
        <w:t xml:space="preserve">prezentarea ideilor de proiecte rezultatate în urma chestionarelor </w:t>
      </w:r>
    </w:p>
    <w:p w:rsidR="004C762C" w:rsidRDefault="004C762C" w:rsidP="004C762C">
      <w:pPr>
        <w:ind w:firstLine="720"/>
        <w:rPr>
          <w:bCs/>
          <w:lang w:val="fr-FR"/>
        </w:rPr>
      </w:pPr>
    </w:p>
    <w:p w:rsidR="004C762C" w:rsidRDefault="004C762C" w:rsidP="004C762C">
      <w:pPr>
        <w:rPr>
          <w:bCs/>
          <w:lang w:val="fr-FR"/>
        </w:rPr>
      </w:pPr>
      <w:r>
        <w:rPr>
          <w:bCs/>
          <w:lang w:val="fr-FR"/>
        </w:rPr>
        <w:t>B. Mese rotunde ale pãrţilor interesate asupra ideilor de proiecte/concepte pentru programul CBC RO-BG 2014-2020 incluzând oportunitãţile de comunicare în reţea pentru identificarea posibililor viitori parteneri. Mesele rotunde au fost animate şi moderate de consultanţi care au furnizat informaţii suplimentare pãrţilor interesate pentru a facilita manifestarea şi formularea ideilor de proiecte bine structurate. O datã identificate şi articulate, ideile de proiecte au fost colectate utilizând un formular al proiectului care a fost anterior disponibil pe pagina online a programului CBC RO-BG 2007-2014. Pers</w:t>
      </w:r>
      <w:r w:rsidR="00564920">
        <w:rPr>
          <w:bCs/>
          <w:lang w:val="fr-FR"/>
        </w:rPr>
        <w:t>oanele interesate au fost de as</w:t>
      </w:r>
      <w:r>
        <w:rPr>
          <w:bCs/>
          <w:lang w:val="fr-FR"/>
        </w:rPr>
        <w:t>emenea încurajate sã continue procesul de identificare a ideilor de proiecte (adecvate atât pentru organizaţiile lor /necesitãţile teritoriale, cât şi pentru priorit</w:t>
      </w:r>
      <w:r w:rsidR="00564920">
        <w:rPr>
          <w:bCs/>
          <w:lang w:val="fr-FR"/>
        </w:rPr>
        <w:t>ãţile viitoare ale programului)</w:t>
      </w:r>
      <w:r>
        <w:rPr>
          <w:bCs/>
          <w:lang w:val="fr-FR"/>
        </w:rPr>
        <w:t xml:space="preserve"> şi potenţi</w:t>
      </w:r>
      <w:r w:rsidR="00564920">
        <w:rPr>
          <w:bCs/>
          <w:lang w:val="fr-FR"/>
        </w:rPr>
        <w:t>alii parteneri transfrontalieri</w:t>
      </w:r>
      <w:r>
        <w:rPr>
          <w:bCs/>
          <w:lang w:val="fr-FR"/>
        </w:rPr>
        <w:t xml:space="preserve"> şi sã le trimitã secretariatului comun din Cãlãraşi,  în format electronic, în urmãtoarele sãptãmâni.</w:t>
      </w:r>
    </w:p>
    <w:p w:rsidR="004C762C" w:rsidRDefault="004C762C" w:rsidP="004C762C">
      <w:pPr>
        <w:rPr>
          <w:bCs/>
          <w:lang w:val="fr-FR"/>
        </w:rPr>
      </w:pPr>
      <w:r>
        <w:rPr>
          <w:bCs/>
          <w:lang w:val="fr-FR"/>
        </w:rPr>
        <w:t>De asemenea, pagina online a programului (</w:t>
      </w:r>
      <w:hyperlink r:id="rId34" w:history="1">
        <w:r>
          <w:rPr>
            <w:rStyle w:val="Hyperlink"/>
            <w:bCs/>
            <w:lang w:val="fr-FR"/>
          </w:rPr>
          <w:t>www.cbcromaniabulgaria.eu</w:t>
        </w:r>
      </w:hyperlink>
      <w:r>
        <w:rPr>
          <w:bCs/>
          <w:lang w:val="fr-FR"/>
        </w:rPr>
        <w:t xml:space="preserve">) a fost permanent actualizatã cu documentele relevante (pornind de la documentele conceptuale, analiza teritorialã, logica de intervenţie, drafturile programului operaţional, legislaţia relevantã la nivelul UE, adresa de e-mail disponibilã pentru </w:t>
      </w:r>
      <w:r>
        <w:rPr>
          <w:bCs/>
          <w:lang w:val="fr-FR"/>
        </w:rPr>
        <w:lastRenderedPageBreak/>
        <w:t xml:space="preserve">trimiterea propunerilor/comentariilor). Toate comentariile/propunerile primite în timpul procesului de programare şi rãspunsul instantelor programului sunt disponibile </w:t>
      </w:r>
      <w:proofErr w:type="gramStart"/>
      <w:r>
        <w:rPr>
          <w:bCs/>
          <w:lang w:val="fr-FR"/>
        </w:rPr>
        <w:t>la Anexa</w:t>
      </w:r>
      <w:proofErr w:type="gramEnd"/>
      <w:r>
        <w:rPr>
          <w:bCs/>
          <w:lang w:val="fr-FR"/>
        </w:rPr>
        <w:t xml:space="preserve"> 11.</w:t>
      </w:r>
    </w:p>
    <w:bookmarkEnd w:id="183"/>
    <w:p w:rsidR="00DB39AE" w:rsidRDefault="00DB39AE" w:rsidP="00DB39AE">
      <w:pPr>
        <w:ind w:firstLine="720"/>
        <w:rPr>
          <w:bCs/>
          <w:lang w:val="fr-FR"/>
        </w:rPr>
      </w:pPr>
    </w:p>
    <w:p w:rsidR="00DB39AE" w:rsidRDefault="00DB39AE" w:rsidP="00DB39AE">
      <w:pPr>
        <w:ind w:firstLine="720"/>
        <w:rPr>
          <w:bCs/>
          <w:lang w:val="fr-FR"/>
        </w:rPr>
      </w:pPr>
    </w:p>
    <w:p w:rsidR="00DB39AE" w:rsidRDefault="00DB39AE" w:rsidP="00DB39AE">
      <w:pPr>
        <w:ind w:firstLine="720"/>
        <w:rPr>
          <w:bCs/>
          <w:lang w:val="fr-FR"/>
        </w:rPr>
      </w:pPr>
    </w:p>
    <w:p w:rsidR="00DB39AE" w:rsidRDefault="00DB39AE" w:rsidP="00DB39AE">
      <w:pPr>
        <w:ind w:firstLine="720"/>
        <w:rPr>
          <w:bCs/>
          <w:lang w:val="fr-FR"/>
        </w:rPr>
      </w:pPr>
    </w:p>
    <w:p w:rsidR="00DB39AE" w:rsidRDefault="00DB39AE" w:rsidP="00DB39AE">
      <w:pPr>
        <w:rPr>
          <w:bCs/>
          <w:lang w:val="fr-FR"/>
        </w:rPr>
      </w:pPr>
    </w:p>
    <w:p w:rsidR="00B93017" w:rsidRDefault="00B93017" w:rsidP="00B93017">
      <w:pPr>
        <w:pStyle w:val="Heading1"/>
        <w:rPr>
          <w:lang w:val="fr-FR"/>
        </w:rPr>
        <w:sectPr w:rsidR="00B93017" w:rsidSect="00DB39AE">
          <w:pgSz w:w="11900" w:h="16840"/>
          <w:pgMar w:top="1440" w:right="1800" w:bottom="1440" w:left="1800" w:header="340" w:footer="340" w:gutter="0"/>
          <w:cols w:space="720"/>
          <w:docGrid w:linePitch="326"/>
        </w:sectPr>
      </w:pPr>
    </w:p>
    <w:p w:rsidR="00DB39AE" w:rsidRPr="002D1DA6" w:rsidRDefault="00DB39AE" w:rsidP="00B93017">
      <w:pPr>
        <w:pStyle w:val="Heading1"/>
        <w:rPr>
          <w:lang w:val="fr-FR"/>
        </w:rPr>
      </w:pPr>
      <w:bookmarkStart w:id="191" w:name="_Toc394837903"/>
      <w:r w:rsidRPr="002D1DA6">
        <w:rPr>
          <w:lang w:val="fr-FR"/>
        </w:rPr>
        <w:lastRenderedPageBreak/>
        <w:t>SEC</w:t>
      </w:r>
      <w:r w:rsidR="00B93017">
        <w:rPr>
          <w:lang w:val="fr-FR"/>
        </w:rPr>
        <w:t>ŢIUNEA 6. COORDONARE</w:t>
      </w:r>
      <w:bookmarkEnd w:id="191"/>
    </w:p>
    <w:p w:rsidR="00DB39AE" w:rsidRDefault="00DB39AE" w:rsidP="00B93017">
      <w:pPr>
        <w:rPr>
          <w:bCs/>
          <w:lang w:val="fr-FR"/>
        </w:rPr>
      </w:pPr>
      <w:r>
        <w:rPr>
          <w:bCs/>
          <w:lang w:val="fr-FR"/>
        </w:rPr>
        <w:t xml:space="preserve">Implementarea programului CBC RO-BG 2014-2020 va acorda o atenţie deosebitã principiilor coerenţei şi complementaritãţii cu alte fonduri europene structurale şi </w:t>
      </w:r>
      <w:proofErr w:type="gramStart"/>
      <w:r>
        <w:rPr>
          <w:bCs/>
          <w:lang w:val="fr-FR"/>
        </w:rPr>
        <w:t>de investiţii</w:t>
      </w:r>
      <w:proofErr w:type="gramEnd"/>
      <w:r>
        <w:rPr>
          <w:bCs/>
          <w:lang w:val="fr-FR"/>
        </w:rPr>
        <w:t xml:space="preserve">, precum şi cu politicile UE relevante, fonduri naţionale şi cu Banca Europeanã de Investiţii. Programul va fi implementat conform principiilor subsidiaritãţii şi proporţionalitãţii şi într-o formã complementarã şi coordonatã cu instrumentele mai sus menţionate pentru </w:t>
      </w:r>
      <w:proofErr w:type="gramStart"/>
      <w:r>
        <w:rPr>
          <w:bCs/>
          <w:lang w:val="fr-FR"/>
        </w:rPr>
        <w:t>a</w:t>
      </w:r>
      <w:proofErr w:type="gramEnd"/>
      <w:r>
        <w:rPr>
          <w:bCs/>
          <w:lang w:val="fr-FR"/>
        </w:rPr>
        <w:t xml:space="preserve"> evita finanţarea activitãţilor care pot acoperi activitãţile proiectului finanţate de alte fonduri.</w:t>
      </w:r>
    </w:p>
    <w:p w:rsidR="00DB39AE" w:rsidRDefault="00DB39AE" w:rsidP="00B93017">
      <w:pPr>
        <w:rPr>
          <w:bCs/>
          <w:lang w:val="fr-FR"/>
        </w:rPr>
      </w:pPr>
      <w:r>
        <w:rPr>
          <w:bCs/>
          <w:lang w:val="fr-FR"/>
        </w:rPr>
        <w:t>Potrivit prioritãţilor selectate, un mechanism de coordonare trebuie sã existe în special în ceea ce priveşte instrumentele de finanţare UE</w:t>
      </w:r>
      <w:r w:rsidR="00C35DCE">
        <w:rPr>
          <w:bCs/>
          <w:lang w:val="fr-FR"/>
        </w:rPr>
        <w:t>,</w:t>
      </w:r>
      <w:r>
        <w:rPr>
          <w:bCs/>
          <w:lang w:val="fr-FR"/>
        </w:rPr>
        <w:t xml:space="preserve"> precum Fondul European Regional de Dezvoltare, Fondul European Social, programul LIFE, Facilitatea “Conectarea Europei”, programele Erasmus + şi alte instrumente de finanţare sau instrumente BEI.</w:t>
      </w:r>
    </w:p>
    <w:p w:rsidR="00DB39AE" w:rsidRDefault="00DB39AE" w:rsidP="00B93017">
      <w:pPr>
        <w:rPr>
          <w:bCs/>
          <w:lang w:val="fr-FR"/>
        </w:rPr>
      </w:pPr>
      <w:r>
        <w:rPr>
          <w:bCs/>
          <w:lang w:val="fr-FR"/>
        </w:rPr>
        <w:t>În timpul pregãtirii programului au fost organizate întâlniri cu reprezentanţii autoritãţii de management ai diferitelor programe naţionale finanţate de Fondul European de Dezvoltare pentru a evita pe cât posibil eventualele suprapuneri şi</w:t>
      </w:r>
      <w:r w:rsidR="00C35DCE">
        <w:rPr>
          <w:bCs/>
          <w:lang w:val="fr-FR"/>
        </w:rPr>
        <w:t>,</w:t>
      </w:r>
      <w:r>
        <w:rPr>
          <w:bCs/>
          <w:lang w:val="fr-FR"/>
        </w:rPr>
        <w:t xml:space="preserve"> în acelaşi timp</w:t>
      </w:r>
      <w:r w:rsidR="00C35DCE">
        <w:rPr>
          <w:bCs/>
          <w:lang w:val="fr-FR"/>
        </w:rPr>
        <w:t>,</w:t>
      </w:r>
      <w:r>
        <w:rPr>
          <w:bCs/>
          <w:lang w:val="fr-FR"/>
        </w:rPr>
        <w:t xml:space="preserve"> pentru a asigura coordonarea dintre programul transfrontalier RO-BG 2014-2020 şi alte instrumente de finanţare. Protocoalele bilaterale au scopul de a acoperi aceste chestiuni. Într-adevãr, programul transfrontalier RO-BG 2014-2020 va pune accentul pe susţinerea localã şi regionalã a proiectelor cu potenţial în creşterea impactului politicilor UE la nivel naţional şi regional şi</w:t>
      </w:r>
      <w:r w:rsidR="00C35DCE">
        <w:rPr>
          <w:bCs/>
          <w:lang w:val="fr-FR"/>
        </w:rPr>
        <w:t>,</w:t>
      </w:r>
      <w:r>
        <w:rPr>
          <w:bCs/>
          <w:lang w:val="fr-FR"/>
        </w:rPr>
        <w:t xml:space="preserve"> astfel</w:t>
      </w:r>
      <w:r w:rsidR="00C35DCE">
        <w:rPr>
          <w:bCs/>
          <w:lang w:val="fr-FR"/>
        </w:rPr>
        <w:t>,</w:t>
      </w:r>
      <w:r>
        <w:rPr>
          <w:bCs/>
          <w:lang w:val="fr-FR"/>
        </w:rPr>
        <w:t xml:space="preserve"> contribuie la strategia europeanã pentru 2020. Pentru a evita orice riscuri de suprapuneri, mecanismele speciale care sunt detaliate mai jos</w:t>
      </w:r>
      <w:r w:rsidR="00C35DCE">
        <w:rPr>
          <w:bCs/>
          <w:lang w:val="fr-FR"/>
        </w:rPr>
        <w:t>,</w:t>
      </w:r>
      <w:r>
        <w:rPr>
          <w:bCs/>
          <w:lang w:val="fr-FR"/>
        </w:rPr>
        <w:t xml:space="preserve"> vor fi implementate în timpul proceselor de evaluare, selecţie şi implementare. Pentru </w:t>
      </w:r>
      <w:proofErr w:type="gramStart"/>
      <w:r>
        <w:rPr>
          <w:bCs/>
          <w:lang w:val="fr-FR"/>
        </w:rPr>
        <w:t>a</w:t>
      </w:r>
      <w:proofErr w:type="gramEnd"/>
      <w:r>
        <w:rPr>
          <w:bCs/>
          <w:lang w:val="fr-FR"/>
        </w:rPr>
        <w:t xml:space="preserve"> susţine aceste mecanisme, o analizã asupra programelor naţionale finanţate din fonduri UE  din ambele ţãri a fost deja efectuatã (Anexa 8), iar o analizã a politicilor UE este realizatã mai jos.</w:t>
      </w:r>
    </w:p>
    <w:p w:rsidR="00DB39AE" w:rsidRDefault="00DB39AE" w:rsidP="00B93017">
      <w:pPr>
        <w:rPr>
          <w:bCs/>
          <w:lang w:val="fr-FR"/>
        </w:rPr>
      </w:pPr>
      <w:r>
        <w:rPr>
          <w:bCs/>
          <w:lang w:val="fr-FR"/>
        </w:rPr>
        <w:t>Axele prioritare 2 şi 3</w:t>
      </w:r>
      <w:r w:rsidR="00C35DCE">
        <w:rPr>
          <w:bCs/>
          <w:lang w:val="fr-FR"/>
        </w:rPr>
        <w:t>,</w:t>
      </w:r>
      <w:r>
        <w:rPr>
          <w:bCs/>
          <w:lang w:val="fr-FR"/>
        </w:rPr>
        <w:t xml:space="preserve"> dedicate protecţiei şi gestionãrii resurselor mediului, eficienţei resurselor, şi atenuãrii şi adaptãrii schimbãrii de climat, au completat acţiunile diferitelor programe de finanţare precum LIFE</w:t>
      </w:r>
      <w:r w:rsidR="00C35DCE">
        <w:rPr>
          <w:bCs/>
          <w:lang w:val="fr-FR"/>
        </w:rPr>
        <w:t>,</w:t>
      </w:r>
      <w:r>
        <w:rPr>
          <w:bCs/>
          <w:lang w:val="fr-FR"/>
        </w:rPr>
        <w:t xml:space="preserve"> pe de o parte</w:t>
      </w:r>
      <w:r w:rsidR="00C35DCE">
        <w:rPr>
          <w:bCs/>
          <w:lang w:val="fr-FR"/>
        </w:rPr>
        <w:t>,</w:t>
      </w:r>
      <w:r>
        <w:rPr>
          <w:bCs/>
          <w:lang w:val="fr-FR"/>
        </w:rPr>
        <w:t xml:space="preserve"> şi Fondul European Agricol pentru Dezvoltare Ruralã, sau Fondul European de </w:t>
      </w:r>
      <w:proofErr w:type="gramStart"/>
      <w:r>
        <w:rPr>
          <w:bCs/>
          <w:lang w:val="fr-FR"/>
        </w:rPr>
        <w:t>Pescuit ,</w:t>
      </w:r>
      <w:proofErr w:type="gramEnd"/>
      <w:r>
        <w:rPr>
          <w:bCs/>
          <w:lang w:val="fr-FR"/>
        </w:rPr>
        <w:t xml:space="preserve"> pe de altã parte, care susţin proiectele ce contribuie la creşterea sustenabilã şi în baza eficienţei resurselor în zonele rurale şi de litoral.</w:t>
      </w:r>
    </w:p>
    <w:p w:rsidR="00DB39AE" w:rsidRDefault="00DB39AE" w:rsidP="00B93017">
      <w:pPr>
        <w:rPr>
          <w:bCs/>
          <w:lang w:val="fr-FR"/>
        </w:rPr>
      </w:pPr>
      <w:r>
        <w:rPr>
          <w:bCs/>
          <w:lang w:val="fr-FR"/>
        </w:rPr>
        <w:t>Axa prioritarã 4 finan</w:t>
      </w:r>
      <w:r>
        <w:rPr>
          <w:rFonts w:ascii="Cambria Math" w:hAnsi="Cambria Math" w:cs="Cambria Math"/>
          <w:bCs/>
          <w:lang w:val="fr-FR"/>
        </w:rPr>
        <w:t>ț</w:t>
      </w:r>
      <w:r>
        <w:rPr>
          <w:bCs/>
          <w:lang w:val="fr-FR"/>
        </w:rPr>
        <w:t xml:space="preserve">eazã schemele comune de formare </w:t>
      </w:r>
      <w:r>
        <w:rPr>
          <w:rFonts w:ascii="Cambria Math" w:hAnsi="Cambria Math" w:cs="Cambria Math"/>
          <w:bCs/>
          <w:lang w:val="fr-FR"/>
        </w:rPr>
        <w:t>ș</w:t>
      </w:r>
      <w:r>
        <w:rPr>
          <w:bCs/>
          <w:lang w:val="fr-FR"/>
        </w:rPr>
        <w:t>i programele de educa</w:t>
      </w:r>
      <w:r>
        <w:rPr>
          <w:rFonts w:ascii="Cambria Math" w:hAnsi="Cambria Math" w:cs="Cambria Math"/>
          <w:bCs/>
          <w:lang w:val="fr-FR"/>
        </w:rPr>
        <w:t>ț</w:t>
      </w:r>
      <w:r>
        <w:rPr>
          <w:bCs/>
          <w:lang w:val="fr-FR"/>
        </w:rPr>
        <w:t xml:space="preserve">ie </w:t>
      </w:r>
      <w:r>
        <w:rPr>
          <w:rFonts w:ascii="Cambria Math" w:hAnsi="Cambria Math" w:cs="Cambria Math"/>
          <w:bCs/>
          <w:lang w:val="fr-FR"/>
        </w:rPr>
        <w:t>ș</w:t>
      </w:r>
      <w:r>
        <w:rPr>
          <w:bCs/>
          <w:lang w:val="fr-FR"/>
        </w:rPr>
        <w:t>i formare profesională în completarea ac</w:t>
      </w:r>
      <w:r>
        <w:rPr>
          <w:rFonts w:ascii="Cambria Math" w:hAnsi="Cambria Math" w:cs="Cambria Math"/>
          <w:bCs/>
          <w:lang w:val="fr-FR"/>
        </w:rPr>
        <w:t>ț</w:t>
      </w:r>
      <w:r>
        <w:rPr>
          <w:bCs/>
          <w:lang w:val="fr-FR"/>
        </w:rPr>
        <w:t>iunilor "Erasmus +", dar concentrându-se pe crearea unei pie</w:t>
      </w:r>
      <w:r>
        <w:rPr>
          <w:rFonts w:ascii="Cambria Math" w:hAnsi="Cambria Math" w:cs="Cambria Math"/>
          <w:bCs/>
          <w:lang w:val="fr-FR"/>
        </w:rPr>
        <w:t>ț</w:t>
      </w:r>
      <w:r>
        <w:rPr>
          <w:bCs/>
          <w:lang w:val="fr-FR"/>
        </w:rPr>
        <w:t>e integrate a muncii în zona transfrontalierã. Axa prioritarã 1 “regiun</w:t>
      </w:r>
      <w:r w:rsidR="00C35DCE">
        <w:rPr>
          <w:bCs/>
          <w:lang w:val="fr-FR"/>
        </w:rPr>
        <w:t>ea bine conectatã” poate stimula</w:t>
      </w:r>
      <w:r>
        <w:rPr>
          <w:bCs/>
          <w:lang w:val="fr-FR"/>
        </w:rPr>
        <w:t xml:space="preserve"> investiţiile în conectivitatea regionalã, acoperind golurile care afecteazã regiunile izolate în accesarea culoarelor TEN-T şi astfel completeazã acţiunile facilitãţii “Conectare Europeanã”.</w:t>
      </w:r>
    </w:p>
    <w:p w:rsidR="00DB39AE" w:rsidRDefault="00DB39AE" w:rsidP="00B93017">
      <w:pPr>
        <w:rPr>
          <w:bCs/>
          <w:lang w:val="fr-FR"/>
        </w:rPr>
      </w:pPr>
      <w:r>
        <w:rPr>
          <w:bCs/>
          <w:lang w:val="fr-FR"/>
        </w:rPr>
        <w:t>În ceea ce prive</w:t>
      </w:r>
      <w:r>
        <w:rPr>
          <w:rFonts w:ascii="Cambria Math" w:hAnsi="Cambria Math" w:cs="Cambria Math"/>
          <w:bCs/>
          <w:lang w:val="fr-FR"/>
        </w:rPr>
        <w:t>ș</w:t>
      </w:r>
      <w:r>
        <w:rPr>
          <w:bCs/>
          <w:lang w:val="fr-FR"/>
        </w:rPr>
        <w:t>te mecanismul de coordonare, programul transfrontalier RO-BG 2014-2020 poate fi utilizat pentru a finan</w:t>
      </w:r>
      <w:r>
        <w:rPr>
          <w:rFonts w:ascii="Cambria Math" w:hAnsi="Cambria Math" w:cs="Cambria Math"/>
          <w:bCs/>
          <w:lang w:val="fr-FR"/>
        </w:rPr>
        <w:t>ț</w:t>
      </w:r>
      <w:r>
        <w:rPr>
          <w:bCs/>
          <w:lang w:val="fr-FR"/>
        </w:rPr>
        <w:t>a studii tehnice preliminare, dar, de asemenea, pentru a oferi cuno</w:t>
      </w:r>
      <w:r>
        <w:rPr>
          <w:rFonts w:ascii="Cambria Math" w:hAnsi="Cambria Math" w:cs="Cambria Math"/>
          <w:bCs/>
          <w:lang w:val="fr-FR"/>
        </w:rPr>
        <w:t>ș</w:t>
      </w:r>
      <w:r>
        <w:rPr>
          <w:bCs/>
          <w:lang w:val="fr-FR"/>
        </w:rPr>
        <w:t>tin</w:t>
      </w:r>
      <w:r>
        <w:rPr>
          <w:rFonts w:ascii="Cambria Math" w:hAnsi="Cambria Math" w:cs="Cambria Math"/>
          <w:bCs/>
          <w:lang w:val="fr-FR"/>
        </w:rPr>
        <w:t>ț</w:t>
      </w:r>
      <w:r>
        <w:rPr>
          <w:bCs/>
          <w:lang w:val="fr-FR"/>
        </w:rPr>
        <w:t xml:space="preserve">ele </w:t>
      </w:r>
      <w:r>
        <w:rPr>
          <w:rFonts w:ascii="Cambria Math" w:hAnsi="Cambria Math" w:cs="Cambria Math"/>
          <w:bCs/>
          <w:lang w:val="fr-FR"/>
        </w:rPr>
        <w:t>ș</w:t>
      </w:r>
      <w:r>
        <w:rPr>
          <w:bCs/>
          <w:lang w:val="fr-FR"/>
        </w:rPr>
        <w:t>i capacitatea necesarã pentru a ajunge la un numãr suficient de păr</w:t>
      </w:r>
      <w:r>
        <w:rPr>
          <w:rFonts w:ascii="Cambria Math" w:hAnsi="Cambria Math" w:cs="Cambria Math"/>
          <w:bCs/>
          <w:lang w:val="fr-FR"/>
        </w:rPr>
        <w:t>ț</w:t>
      </w:r>
      <w:r>
        <w:rPr>
          <w:bCs/>
          <w:lang w:val="fr-FR"/>
        </w:rPr>
        <w:t>i interesate relevante, în scopul de a pregăti proiecte de amploare medie-mare care ar putea fi finan</w:t>
      </w:r>
      <w:r>
        <w:rPr>
          <w:rFonts w:ascii="Cambria Math" w:hAnsi="Cambria Math" w:cs="Cambria Math"/>
          <w:bCs/>
          <w:lang w:val="fr-FR"/>
        </w:rPr>
        <w:t>ț</w:t>
      </w:r>
      <w:r>
        <w:rPr>
          <w:bCs/>
          <w:lang w:val="fr-FR"/>
        </w:rPr>
        <w:t xml:space="preserve">ate în continuare prin alte fonduri, cum ar fi ESI, BEI </w:t>
      </w:r>
      <w:r>
        <w:rPr>
          <w:rFonts w:ascii="Cambria Math" w:hAnsi="Cambria Math" w:cs="Cambria Math"/>
          <w:bCs/>
          <w:lang w:val="fr-FR"/>
        </w:rPr>
        <w:t>ș</w:t>
      </w:r>
      <w:r>
        <w:rPr>
          <w:bCs/>
          <w:lang w:val="fr-FR"/>
        </w:rPr>
        <w:t>i fonduri na</w:t>
      </w:r>
      <w:r>
        <w:rPr>
          <w:rFonts w:ascii="Cambria Math" w:hAnsi="Cambria Math" w:cs="Cambria Math"/>
          <w:bCs/>
          <w:lang w:val="fr-FR"/>
        </w:rPr>
        <w:t>ț</w:t>
      </w:r>
      <w:r>
        <w:rPr>
          <w:bCs/>
          <w:lang w:val="fr-FR"/>
        </w:rPr>
        <w:t>ionale. Prin urmare, programul transfrontalier RO-BG 2014-2020 ar putea contribui la elaborarea de proiecte mature ("bancabile") care ar putea beneficia de finan</w:t>
      </w:r>
      <w:r>
        <w:rPr>
          <w:rFonts w:ascii="Cambria Math" w:hAnsi="Cambria Math" w:cs="Cambria Math"/>
          <w:bCs/>
          <w:lang w:val="fr-FR"/>
        </w:rPr>
        <w:t>ț</w:t>
      </w:r>
      <w:r>
        <w:rPr>
          <w:bCs/>
          <w:lang w:val="fr-FR"/>
        </w:rPr>
        <w:t>are prin Banca Europeană de Investi</w:t>
      </w:r>
      <w:r>
        <w:rPr>
          <w:rFonts w:ascii="Cambria Math" w:hAnsi="Cambria Math" w:cs="Cambria Math"/>
          <w:bCs/>
          <w:lang w:val="fr-FR"/>
        </w:rPr>
        <w:t>ț</w:t>
      </w:r>
      <w:r>
        <w:rPr>
          <w:bCs/>
          <w:lang w:val="fr-FR"/>
        </w:rPr>
        <w:t>ii, ini</w:t>
      </w:r>
      <w:r>
        <w:rPr>
          <w:rFonts w:ascii="Cambria Math" w:hAnsi="Cambria Math" w:cs="Cambria Math"/>
          <w:bCs/>
          <w:lang w:val="fr-FR"/>
        </w:rPr>
        <w:t>ț</w:t>
      </w:r>
      <w:r>
        <w:rPr>
          <w:bCs/>
          <w:lang w:val="fr-FR"/>
        </w:rPr>
        <w:t>iative precum "Asisten</w:t>
      </w:r>
      <w:r>
        <w:rPr>
          <w:rFonts w:ascii="Cambria Math" w:hAnsi="Cambria Math" w:cs="Cambria Math"/>
          <w:bCs/>
          <w:lang w:val="fr-FR"/>
        </w:rPr>
        <w:t>ț</w:t>
      </w:r>
      <w:r>
        <w:rPr>
          <w:bCs/>
          <w:lang w:val="fr-FR"/>
        </w:rPr>
        <w:t>ă comună pentru sus</w:t>
      </w:r>
      <w:r>
        <w:rPr>
          <w:rFonts w:ascii="Cambria Math" w:hAnsi="Cambria Math" w:cs="Cambria Math"/>
          <w:bCs/>
          <w:lang w:val="fr-FR"/>
        </w:rPr>
        <w:t>ț</w:t>
      </w:r>
      <w:r>
        <w:rPr>
          <w:bCs/>
          <w:lang w:val="fr-FR"/>
        </w:rPr>
        <w:t>inerea proiectelor în regiunile europene" (JASPERS), un instrument ce susţine investi</w:t>
      </w:r>
      <w:r>
        <w:rPr>
          <w:rFonts w:ascii="Cambria Math" w:hAnsi="Cambria Math" w:cs="Cambria Math"/>
          <w:bCs/>
          <w:lang w:val="fr-FR"/>
        </w:rPr>
        <w:t>ț</w:t>
      </w:r>
      <w:r>
        <w:rPr>
          <w:bCs/>
          <w:lang w:val="fr-FR"/>
        </w:rPr>
        <w:t xml:space="preserve">iile la scară largă elaborate de proiecte de cooperare </w:t>
      </w:r>
      <w:r>
        <w:rPr>
          <w:bCs/>
          <w:lang w:val="fr-FR"/>
        </w:rPr>
        <w:lastRenderedPageBreak/>
        <w:t xml:space="preserve">în special în sectoarele de transport. Coordonarea cu BEI poate fi promovată prin asigurarea unui suport unu-la-unu pentru proiecte cu realizări </w:t>
      </w:r>
      <w:r>
        <w:rPr>
          <w:rFonts w:ascii="Cambria Math" w:hAnsi="Cambria Math" w:cs="Cambria Math"/>
          <w:bCs/>
          <w:lang w:val="fr-FR"/>
        </w:rPr>
        <w:t>ș</w:t>
      </w:r>
      <w:r>
        <w:rPr>
          <w:bCs/>
          <w:lang w:val="fr-FR"/>
        </w:rPr>
        <w:t xml:space="preserve">i rezultate, potrivite pentru a fi puse în aplicare cu sprijinul BEI, ajutând în primele etape de contactare </w:t>
      </w:r>
      <w:r>
        <w:rPr>
          <w:rFonts w:ascii="Cambria Math" w:hAnsi="Cambria Math" w:cs="Cambria Math"/>
          <w:bCs/>
          <w:lang w:val="fr-FR"/>
        </w:rPr>
        <w:t>ș</w:t>
      </w:r>
      <w:r>
        <w:rPr>
          <w:bCs/>
          <w:lang w:val="fr-FR"/>
        </w:rPr>
        <w:t>i schimb cu birourile BEI. În orice caz, informa</w:t>
      </w:r>
      <w:r>
        <w:rPr>
          <w:rFonts w:ascii="Cambria Math" w:hAnsi="Cambria Math" w:cs="Cambria Math"/>
          <w:bCs/>
          <w:lang w:val="fr-FR"/>
        </w:rPr>
        <w:t>ț</w:t>
      </w:r>
      <w:r>
        <w:rPr>
          <w:bCs/>
          <w:lang w:val="fr-FR"/>
        </w:rPr>
        <w:t>iile cu privire la oportunită</w:t>
      </w:r>
      <w:r>
        <w:rPr>
          <w:rFonts w:ascii="Cambria Math" w:hAnsi="Cambria Math" w:cs="Cambria Math"/>
          <w:bCs/>
          <w:lang w:val="fr-FR"/>
        </w:rPr>
        <w:t>ț</w:t>
      </w:r>
      <w:r>
        <w:rPr>
          <w:bCs/>
          <w:lang w:val="fr-FR"/>
        </w:rPr>
        <w:t>ile oferite de BEI pentru finan</w:t>
      </w:r>
      <w:r>
        <w:rPr>
          <w:rFonts w:ascii="Cambria Math" w:hAnsi="Cambria Math" w:cs="Cambria Math"/>
          <w:bCs/>
          <w:lang w:val="fr-FR"/>
        </w:rPr>
        <w:t>ț</w:t>
      </w:r>
      <w:r>
        <w:rPr>
          <w:bCs/>
          <w:lang w:val="fr-FR"/>
        </w:rPr>
        <w:t>area de proiecte de mari dimensiuni, pot fi furnizate în timpul evenimentelor informa</w:t>
      </w:r>
      <w:r>
        <w:rPr>
          <w:rFonts w:ascii="Cambria Math" w:hAnsi="Cambria Math" w:cs="Cambria Math"/>
          <w:bCs/>
          <w:lang w:val="fr-FR"/>
        </w:rPr>
        <w:t>tiveș</w:t>
      </w:r>
      <w:r>
        <w:rPr>
          <w:bCs/>
          <w:lang w:val="fr-FR"/>
        </w:rPr>
        <w:t>i prin materiale de comunicare. Într-adevăr, pregătirea investi</w:t>
      </w:r>
      <w:r>
        <w:rPr>
          <w:rFonts w:ascii="Cambria Math" w:hAnsi="Cambria Math" w:cs="Cambria Math"/>
          <w:bCs/>
          <w:lang w:val="fr-FR"/>
        </w:rPr>
        <w:t>ț</w:t>
      </w:r>
      <w:r>
        <w:rPr>
          <w:bCs/>
          <w:lang w:val="fr-FR"/>
        </w:rPr>
        <w:t>iilor la scară medie-mare ar putea reprezenta un rezultat important al Programului transfrontalier  RO-BG 2014-2020.</w:t>
      </w:r>
    </w:p>
    <w:p w:rsidR="00DB39AE" w:rsidRDefault="00DB39AE" w:rsidP="00B93017">
      <w:pPr>
        <w:rPr>
          <w:lang w:val="fr-FR"/>
        </w:rPr>
      </w:pPr>
      <w:r>
        <w:rPr>
          <w:lang w:val="fr-FR"/>
        </w:rPr>
        <w:t>Mai mult</w:t>
      </w:r>
      <w:r w:rsidR="00C35DCE">
        <w:rPr>
          <w:lang w:val="fr-FR"/>
        </w:rPr>
        <w:t>,</w:t>
      </w:r>
      <w:r>
        <w:rPr>
          <w:lang w:val="fr-FR"/>
        </w:rPr>
        <w:t xml:space="preserve"> la nivel global, Autoritatea de Management, împreună cu autorită</w:t>
      </w:r>
      <w:r>
        <w:rPr>
          <w:rFonts w:ascii="Cambria Math" w:hAnsi="Cambria Math" w:cs="Cambria Math"/>
          <w:lang w:val="fr-FR"/>
        </w:rPr>
        <w:t>ț</w:t>
      </w:r>
      <w:r>
        <w:rPr>
          <w:lang w:val="fr-FR"/>
        </w:rPr>
        <w:t>ile na</w:t>
      </w:r>
      <w:r>
        <w:rPr>
          <w:rFonts w:ascii="Cambria Math" w:hAnsi="Cambria Math" w:cs="Cambria Math"/>
          <w:lang w:val="fr-FR"/>
        </w:rPr>
        <w:t>ț</w:t>
      </w:r>
      <w:r>
        <w:rPr>
          <w:lang w:val="fr-FR"/>
        </w:rPr>
        <w:t xml:space="preserve">ionale române </w:t>
      </w:r>
      <w:r>
        <w:rPr>
          <w:rFonts w:ascii="Cambria Math" w:hAnsi="Cambria Math" w:cs="Cambria Math"/>
          <w:lang w:val="fr-FR"/>
        </w:rPr>
        <w:t>ș</w:t>
      </w:r>
      <w:r>
        <w:rPr>
          <w:lang w:val="fr-FR"/>
        </w:rPr>
        <w:t xml:space="preserve">i bulgare competente, va fi responsabilã de asigurarea mecanismului de comunicare </w:t>
      </w:r>
      <w:r>
        <w:rPr>
          <w:rFonts w:ascii="Cambria Math" w:hAnsi="Cambria Math" w:cs="Cambria Math"/>
          <w:lang w:val="fr-FR"/>
        </w:rPr>
        <w:t>ș</w:t>
      </w:r>
      <w:r>
        <w:rPr>
          <w:lang w:val="fr-FR"/>
        </w:rPr>
        <w:t>i coordonare cu institu</w:t>
      </w:r>
      <w:r>
        <w:rPr>
          <w:rFonts w:ascii="Cambria Math" w:hAnsi="Cambria Math" w:cs="Cambria Math"/>
          <w:lang w:val="fr-FR"/>
        </w:rPr>
        <w:t>ț</w:t>
      </w:r>
      <w:r>
        <w:rPr>
          <w:lang w:val="fr-FR"/>
        </w:rPr>
        <w:t>iile similare care gestioneazã alte instrumente de finan</w:t>
      </w:r>
      <w:r>
        <w:rPr>
          <w:rFonts w:ascii="Cambria Math" w:hAnsi="Cambria Math" w:cs="Cambria Math"/>
          <w:lang w:val="fr-FR"/>
        </w:rPr>
        <w:t>ț</w:t>
      </w:r>
      <w:r>
        <w:rPr>
          <w:lang w:val="fr-FR"/>
        </w:rPr>
        <w:t>are, în timp ce evaluarea poten</w:t>
      </w:r>
      <w:r>
        <w:rPr>
          <w:rFonts w:ascii="Cambria Math" w:hAnsi="Cambria Math" w:cs="Cambria Math"/>
          <w:lang w:val="fr-FR"/>
        </w:rPr>
        <w:t>ț</w:t>
      </w:r>
      <w:r>
        <w:rPr>
          <w:lang w:val="fr-FR"/>
        </w:rPr>
        <w:t xml:space="preserve">ialelor suprapuneri / sinergii vor fi analizate în cadrul fazei de evaluare a proiectului de cãtre </w:t>
      </w:r>
      <w:r w:rsidR="00C35DCE">
        <w:rPr>
          <w:lang w:val="fr-FR"/>
        </w:rPr>
        <w:t>S</w:t>
      </w:r>
      <w:r>
        <w:rPr>
          <w:lang w:val="fr-FR"/>
        </w:rPr>
        <w:t xml:space="preserve">ecretariatul </w:t>
      </w:r>
      <w:r w:rsidR="00C35DCE">
        <w:rPr>
          <w:lang w:val="fr-FR"/>
        </w:rPr>
        <w:t xml:space="preserve">Comun. Opinia </w:t>
      </w:r>
      <w:r>
        <w:rPr>
          <w:lang w:val="fr-FR"/>
        </w:rPr>
        <w:t>autorită</w:t>
      </w:r>
      <w:r>
        <w:rPr>
          <w:rFonts w:ascii="Cambria Math" w:hAnsi="Cambria Math" w:cs="Cambria Math"/>
          <w:lang w:val="fr-FR"/>
        </w:rPr>
        <w:t>ț</w:t>
      </w:r>
      <w:r>
        <w:rPr>
          <w:lang w:val="fr-FR"/>
        </w:rPr>
        <w:t>ilor de management / autorită</w:t>
      </w:r>
      <w:r>
        <w:rPr>
          <w:rFonts w:ascii="Cambria Math" w:hAnsi="Cambria Math" w:cs="Cambria Math"/>
          <w:lang w:val="fr-FR"/>
        </w:rPr>
        <w:t>ț</w:t>
      </w:r>
      <w:r>
        <w:rPr>
          <w:lang w:val="fr-FR"/>
        </w:rPr>
        <w:t>ilor na</w:t>
      </w:r>
      <w:r>
        <w:rPr>
          <w:rFonts w:ascii="Cambria Math" w:hAnsi="Cambria Math" w:cs="Cambria Math"/>
          <w:lang w:val="fr-FR"/>
        </w:rPr>
        <w:t>ț</w:t>
      </w:r>
      <w:r>
        <w:rPr>
          <w:lang w:val="fr-FR"/>
        </w:rPr>
        <w:t xml:space="preserve">ionale relevante </w:t>
      </w:r>
      <w:proofErr w:type="gramStart"/>
      <w:r>
        <w:rPr>
          <w:lang w:val="fr-FR"/>
        </w:rPr>
        <w:t>ce</w:t>
      </w:r>
      <w:proofErr w:type="gramEnd"/>
      <w:r>
        <w:rPr>
          <w:lang w:val="fr-FR"/>
        </w:rPr>
        <w:t xml:space="preserve"> implementeazã programe / scheme de finan</w:t>
      </w:r>
      <w:r>
        <w:rPr>
          <w:rFonts w:ascii="Cambria Math" w:hAnsi="Cambria Math" w:cs="Cambria Math"/>
          <w:lang w:val="fr-FR"/>
        </w:rPr>
        <w:t>ț</w:t>
      </w:r>
      <w:r>
        <w:rPr>
          <w:lang w:val="fr-FR"/>
        </w:rPr>
        <w:t>are în domenii legate de cele finan</w:t>
      </w:r>
      <w:r>
        <w:rPr>
          <w:rFonts w:ascii="Cambria Math" w:hAnsi="Cambria Math" w:cs="Cambria Math"/>
          <w:lang w:val="fr-FR"/>
        </w:rPr>
        <w:t>ț</w:t>
      </w:r>
      <w:r>
        <w:rPr>
          <w:lang w:val="fr-FR"/>
        </w:rPr>
        <w:t>ate de cãtre Program se solicită ori de câte ori se consideră necesar, în scopul de a evita posibile suprapuneri. Ca o regulă, toate aceste avize se pun la dispozi</w:t>
      </w:r>
      <w:r>
        <w:rPr>
          <w:rFonts w:ascii="Cambria Math" w:hAnsi="Cambria Math" w:cs="Cambria Math"/>
          <w:lang w:val="fr-FR"/>
        </w:rPr>
        <w:t>ț</w:t>
      </w:r>
      <w:r>
        <w:rPr>
          <w:lang w:val="fr-FR"/>
        </w:rPr>
        <w:t>ia comisiei responsabilã cu luarea deciziei de finan</w:t>
      </w:r>
      <w:r>
        <w:rPr>
          <w:rFonts w:ascii="Cambria Math" w:hAnsi="Cambria Math" w:cs="Cambria Math"/>
          <w:lang w:val="fr-FR"/>
        </w:rPr>
        <w:t>ț</w:t>
      </w:r>
      <w:r>
        <w:rPr>
          <w:lang w:val="fr-FR"/>
        </w:rPr>
        <w:t>are sau de monitorizare a unei opera</w:t>
      </w:r>
      <w:r>
        <w:rPr>
          <w:rFonts w:ascii="Cambria Math" w:hAnsi="Cambria Math" w:cs="Cambria Math"/>
          <w:lang w:val="fr-FR"/>
        </w:rPr>
        <w:t>ț</w:t>
      </w:r>
      <w:r>
        <w:rPr>
          <w:lang w:val="fr-FR"/>
        </w:rPr>
        <w:t>iuni</w:t>
      </w:r>
      <w:r w:rsidR="000A456B">
        <w:rPr>
          <w:lang w:val="fr-FR"/>
        </w:rPr>
        <w:t>,</w:t>
      </w:r>
      <w:r>
        <w:rPr>
          <w:lang w:val="fr-FR"/>
        </w:rPr>
        <w:t xml:space="preserve"> înainte de momentul deciziei sau ori de câte ori apare o suspiciune de suprapunere.</w:t>
      </w:r>
    </w:p>
    <w:p w:rsidR="00DB39AE" w:rsidRDefault="00DB39AE" w:rsidP="00DB39AE">
      <w:pPr>
        <w:rPr>
          <w:lang w:val="fr-FR"/>
        </w:rPr>
      </w:pPr>
      <w:r>
        <w:rPr>
          <w:lang w:val="fr-FR"/>
        </w:rPr>
        <w:t>În cadrul de lucru al programului transfrontalier RO-BG 2014-2020, urmãtoarele mecanisme de evitare a suprapunerilor şi de promovare a sinergiilor vor fi stabilite:</w:t>
      </w:r>
    </w:p>
    <w:p w:rsidR="00DB39AE" w:rsidRDefault="00DB39AE" w:rsidP="00DB39AE">
      <w:pPr>
        <w:rPr>
          <w:lang w:val="fr-FR"/>
        </w:rPr>
      </w:pPr>
      <w:r>
        <w:rPr>
          <w:lang w:val="fr-FR"/>
        </w:rPr>
        <w:t>a. Formularul aplicaţiei va include o secţiune specialã unde aplicantul va:</w:t>
      </w:r>
    </w:p>
    <w:p w:rsidR="00DB39AE" w:rsidRPr="00B93017" w:rsidRDefault="00DB39AE" w:rsidP="00EC1DA9">
      <w:pPr>
        <w:pStyle w:val="ListParagraph"/>
        <w:numPr>
          <w:ilvl w:val="0"/>
          <w:numId w:val="37"/>
        </w:numPr>
        <w:rPr>
          <w:lang w:val="fr-FR"/>
        </w:rPr>
      </w:pPr>
      <w:r w:rsidRPr="00B93017">
        <w:rPr>
          <w:lang w:val="fr-FR"/>
        </w:rPr>
        <w:t xml:space="preserve">include informaţii asupra asistenţei trecute şi actuale din partea UE </w:t>
      </w:r>
    </w:p>
    <w:p w:rsidR="00DB39AE" w:rsidRPr="00B93017" w:rsidRDefault="00DB39AE" w:rsidP="00EC1DA9">
      <w:pPr>
        <w:pStyle w:val="ListParagraph"/>
        <w:numPr>
          <w:ilvl w:val="0"/>
          <w:numId w:val="37"/>
        </w:numPr>
        <w:rPr>
          <w:lang w:val="fr-FR"/>
        </w:rPr>
      </w:pPr>
      <w:r w:rsidRPr="00B93017">
        <w:rPr>
          <w:lang w:val="fr-FR"/>
        </w:rPr>
        <w:t>detalia modul în care proiectul este complementar programelor naţionale şi regionale susţinute de fonduri europene, cu alte finanţãri din partea Uniunii şi cu instrumentele şi politicile naţionale de finanţare</w:t>
      </w:r>
    </w:p>
    <w:p w:rsidR="00DB39AE" w:rsidRPr="00B93017" w:rsidRDefault="00DB39AE" w:rsidP="00EC1DA9">
      <w:pPr>
        <w:pStyle w:val="ListParagraph"/>
        <w:numPr>
          <w:ilvl w:val="0"/>
          <w:numId w:val="37"/>
        </w:numPr>
        <w:rPr>
          <w:lang w:val="fr-FR"/>
        </w:rPr>
      </w:pPr>
      <w:r w:rsidRPr="00B93017">
        <w:rPr>
          <w:lang w:val="fr-FR"/>
        </w:rPr>
        <w:t>descrie care este valoarea adãugatã specificã a proiectului la nivel transfrontalier</w:t>
      </w:r>
    </w:p>
    <w:p w:rsidR="00DB39AE" w:rsidRDefault="00DB39AE" w:rsidP="00DB39AE">
      <w:pPr>
        <w:rPr>
          <w:lang w:val="fr-FR"/>
        </w:rPr>
      </w:pPr>
      <w:r>
        <w:rPr>
          <w:lang w:val="fr-FR"/>
        </w:rPr>
        <w:t>Aplicanţii care vor propune proiecte cu accent pe studii relevante de pregãtire a investiţiilor vor solicita explicaţii cu privire la eficienţa implementãrii investiţiei realizatã într-o anumitã perioadã de timp dupã finalul activitãţilor finanţate de RO-BG 2014-2020. Comisia comunã</w:t>
      </w:r>
      <w:r w:rsidR="000A456B">
        <w:rPr>
          <w:lang w:val="fr-FR"/>
        </w:rPr>
        <w:t>,</w:t>
      </w:r>
      <w:r>
        <w:rPr>
          <w:lang w:val="fr-FR"/>
        </w:rPr>
        <w:t xml:space="preserve"> care va fi creatã la nivelul programului conform art 47 din regulamentul 1303/2013</w:t>
      </w:r>
      <w:r w:rsidR="000A456B">
        <w:rPr>
          <w:lang w:val="fr-FR"/>
        </w:rPr>
        <w:t>,</w:t>
      </w:r>
      <w:r>
        <w:rPr>
          <w:lang w:val="fr-FR"/>
        </w:rPr>
        <w:t xml:space="preserve"> va beneficia de prezenţa reprezentanţilor autoritãţii de management relevante şi a ministerelor/autoritãţilor ce gestioneazã programele/schemele naţionale de finanţare în domenii cu legãturã faţã de cele finanţate de Program. De asemenea, reprezentanţii structurilor naţionale ce gestioneazã coordonarea finanţãrii – Ministerul Fondurilor Europene din România şi Consiliul Miniştrilor din Bulgaria – vor fi întotdeauna invitaţi sã ia parte la întâlnirile </w:t>
      </w:r>
      <w:r w:rsidR="000A456B">
        <w:rPr>
          <w:lang w:val="fr-FR"/>
        </w:rPr>
        <w:t>comisiilor</w:t>
      </w:r>
      <w:r>
        <w:rPr>
          <w:lang w:val="fr-FR"/>
        </w:rPr>
        <w:t xml:space="preserve"> comune ale programului. Astfel, oricând este luatã o decizie financiarã cu privire la o operaţiune, suspiciunile cu privire la suprapuneri pot fi semnalate şi prevenite la timp. Aceastã mãsurã şi-a dovedit eficienţa</w:t>
      </w:r>
      <w:r w:rsidR="000A456B">
        <w:rPr>
          <w:lang w:val="fr-FR"/>
        </w:rPr>
        <w:t>,</w:t>
      </w:r>
      <w:r>
        <w:rPr>
          <w:lang w:val="fr-FR"/>
        </w:rPr>
        <w:t xml:space="preserve"> de asemenea</w:t>
      </w:r>
      <w:r w:rsidR="000A456B">
        <w:rPr>
          <w:lang w:val="fr-FR"/>
        </w:rPr>
        <w:t>,</w:t>
      </w:r>
      <w:r>
        <w:rPr>
          <w:lang w:val="fr-FR"/>
        </w:rPr>
        <w:t xml:space="preserve"> pentru RO-BG 2007-2013</w:t>
      </w:r>
    </w:p>
    <w:p w:rsidR="00DB39AE" w:rsidRDefault="00DB39AE" w:rsidP="00DB39AE">
      <w:pPr>
        <w:rPr>
          <w:lang w:val="fr-FR"/>
        </w:rPr>
      </w:pPr>
      <w:r>
        <w:rPr>
          <w:lang w:val="fr-FR"/>
        </w:rPr>
        <w:t>Acordurile vor fi stabilite împreună cu celelalte autorită</w:t>
      </w:r>
      <w:r>
        <w:rPr>
          <w:rFonts w:ascii="Cambria Math" w:hAnsi="Cambria Math" w:cs="Cambria Math"/>
          <w:lang w:val="fr-FR"/>
        </w:rPr>
        <w:t>ț</w:t>
      </w:r>
      <w:r>
        <w:rPr>
          <w:lang w:val="fr-FR"/>
        </w:rPr>
        <w:t>i de management / autorită</w:t>
      </w:r>
      <w:r>
        <w:rPr>
          <w:rFonts w:ascii="Cambria Math" w:hAnsi="Cambria Math" w:cs="Cambria Math"/>
          <w:lang w:val="fr-FR"/>
        </w:rPr>
        <w:t>ț</w:t>
      </w:r>
      <w:r>
        <w:rPr>
          <w:lang w:val="fr-FR"/>
        </w:rPr>
        <w:t>i na</w:t>
      </w:r>
      <w:r>
        <w:rPr>
          <w:rFonts w:ascii="Cambria Math" w:hAnsi="Cambria Math" w:cs="Cambria Math"/>
          <w:lang w:val="fr-FR"/>
        </w:rPr>
        <w:t>ț</w:t>
      </w:r>
      <w:r>
        <w:rPr>
          <w:lang w:val="fr-FR"/>
        </w:rPr>
        <w:t>ionale relevante pentru gestionarea  programelor / schemelor de finanţare, cu scopul de a obţine punctul de v</w:t>
      </w:r>
      <w:r w:rsidR="000A456B">
        <w:rPr>
          <w:lang w:val="fr-FR"/>
        </w:rPr>
        <w:t xml:space="preserve">edere al secretariatului comun </w:t>
      </w:r>
      <w:r>
        <w:rPr>
          <w:lang w:val="fr-FR"/>
        </w:rPr>
        <w:t>/ acces la sistemele de monitorizare electronice respective (read-only, atunci când finan</w:t>
      </w:r>
      <w:r>
        <w:rPr>
          <w:rFonts w:ascii="Cambria Math" w:hAnsi="Cambria Math" w:cs="Cambria Math"/>
          <w:lang w:val="fr-FR"/>
        </w:rPr>
        <w:t>ț</w:t>
      </w:r>
      <w:r>
        <w:rPr>
          <w:lang w:val="fr-FR"/>
        </w:rPr>
        <w:t xml:space="preserve">area unor norme specifice </w:t>
      </w:r>
      <w:r>
        <w:rPr>
          <w:rFonts w:ascii="Cambria Math" w:hAnsi="Cambria Math" w:cs="Cambria Math"/>
          <w:lang w:val="fr-FR"/>
        </w:rPr>
        <w:t>ș</w:t>
      </w:r>
      <w:r>
        <w:rPr>
          <w:lang w:val="fr-FR"/>
        </w:rPr>
        <w:t xml:space="preserve">i sisteme electronice permite punerea în aplicare a unor astfel de măsuri). </w:t>
      </w:r>
      <w:r>
        <w:rPr>
          <w:lang w:val="fr-FR"/>
        </w:rPr>
        <w:lastRenderedPageBreak/>
        <w:t>Astfel, o analiză poate fi efectuată ori de câte ori apare o suspiciune de suprapunere cu alte instrumente de finan</w:t>
      </w:r>
      <w:r>
        <w:rPr>
          <w:rFonts w:ascii="Cambria Math" w:hAnsi="Cambria Math" w:cs="Cambria Math"/>
          <w:lang w:val="fr-FR"/>
        </w:rPr>
        <w:t>ț</w:t>
      </w:r>
      <w:r>
        <w:rPr>
          <w:lang w:val="fr-FR"/>
        </w:rPr>
        <w:t>are. Ca o regulă, rezultatele acestor analize vor fi puse la dispozi</w:t>
      </w:r>
      <w:r>
        <w:rPr>
          <w:rFonts w:ascii="Cambria Math" w:hAnsi="Cambria Math" w:cs="Cambria Math"/>
          <w:lang w:val="fr-FR"/>
        </w:rPr>
        <w:t>ț</w:t>
      </w:r>
      <w:r>
        <w:rPr>
          <w:lang w:val="fr-FR"/>
        </w:rPr>
        <w:t>ia comitetului responsabil cu luarea deciziei de finan</w:t>
      </w:r>
      <w:r>
        <w:rPr>
          <w:rFonts w:ascii="Cambria Math" w:hAnsi="Cambria Math" w:cs="Cambria Math"/>
          <w:lang w:val="fr-FR"/>
        </w:rPr>
        <w:t>ț</w:t>
      </w:r>
      <w:r>
        <w:rPr>
          <w:lang w:val="fr-FR"/>
        </w:rPr>
        <w:t>are sau de monitorizare a unei opera</w:t>
      </w:r>
      <w:r>
        <w:rPr>
          <w:rFonts w:ascii="Cambria Math" w:hAnsi="Cambria Math" w:cs="Cambria Math"/>
          <w:lang w:val="fr-FR"/>
        </w:rPr>
        <w:t>ț</w:t>
      </w:r>
      <w:r>
        <w:rPr>
          <w:lang w:val="fr-FR"/>
        </w:rPr>
        <w:t>iuni înainte de momentul deciziei sau ori de câte ori apare o suspiciune de suprapunere.</w:t>
      </w:r>
    </w:p>
    <w:p w:rsidR="00DB39AE" w:rsidRDefault="00DB39AE" w:rsidP="00DB39AE">
      <w:pPr>
        <w:rPr>
          <w:lang w:val="fr-FR"/>
        </w:rPr>
      </w:pPr>
      <w:r>
        <w:rPr>
          <w:lang w:val="fr-FR"/>
        </w:rPr>
        <w:t xml:space="preserve">Schimbul de informaţii dintre serviciile comisiei UE şi alte entitãţi europene şi naţionale implicate în gestiunea instrumentelor Uniunii, autoritãţii de management şi secretariatului comun, pentru a schimba bune practici şi pentru </w:t>
      </w:r>
      <w:proofErr w:type="gramStart"/>
      <w:r>
        <w:rPr>
          <w:lang w:val="fr-FR"/>
        </w:rPr>
        <w:t>a</w:t>
      </w:r>
      <w:proofErr w:type="gramEnd"/>
      <w:r>
        <w:rPr>
          <w:lang w:val="fr-FR"/>
        </w:rPr>
        <w:t xml:space="preserve"> împãrtãşi informaţii comune pãrţilor interesate relevante.</w:t>
      </w:r>
    </w:p>
    <w:p w:rsidR="00DB39AE" w:rsidRDefault="00DB39AE" w:rsidP="00DB39AE">
      <w:pPr>
        <w:rPr>
          <w:lang w:val="fr-FR"/>
        </w:rPr>
      </w:pPr>
      <w:r>
        <w:rPr>
          <w:lang w:val="fr-FR"/>
        </w:rPr>
        <w:t>Diseminarea rezultatelor programului transfrontalier RO-BG la nivel naţional, transfrontalier şi al UE prin intermediul strategiei de comunicare a programului.</w:t>
      </w:r>
    </w:p>
    <w:p w:rsidR="00DB39AE" w:rsidRPr="000A456B" w:rsidRDefault="00DB39AE" w:rsidP="00DB39AE">
      <w:pPr>
        <w:rPr>
          <w:lang w:val="fr-FR"/>
        </w:rPr>
      </w:pPr>
      <w:r>
        <w:rPr>
          <w:lang w:val="fr-FR"/>
        </w:rPr>
        <w:t>O atenţie specialã va fi acordatã posibilitãţii de a colabora cu alte programe CET</w:t>
      </w:r>
      <w:r w:rsidR="000A456B">
        <w:rPr>
          <w:lang w:val="fr-FR"/>
        </w:rPr>
        <w:t>,</w:t>
      </w:r>
      <w:r>
        <w:rPr>
          <w:lang w:val="fr-FR"/>
        </w:rPr>
        <w:t xml:space="preserve"> precum programele transnaţionale sau alte programe de cooperare transfrontalierã</w:t>
      </w:r>
      <w:r w:rsidR="000A456B">
        <w:rPr>
          <w:lang w:val="fr-FR"/>
        </w:rPr>
        <w:t>,</w:t>
      </w:r>
      <w:r>
        <w:rPr>
          <w:lang w:val="fr-FR"/>
        </w:rPr>
        <w:t xml:space="preserve"> împãrtãşind sau fiind strâns legate de domeniile eligibile</w:t>
      </w:r>
      <w:r w:rsidR="000A456B">
        <w:rPr>
          <w:lang w:val="fr-FR"/>
        </w:rPr>
        <w:t>,</w:t>
      </w:r>
      <w:r>
        <w:rPr>
          <w:lang w:val="fr-FR"/>
        </w:rPr>
        <w:t xml:space="preserve"> precum: programul Dunãrea 2014-2020, programul operaţional comun Marea Neagrã, programul transfrontalier România-Serbia</w:t>
      </w:r>
      <w:r w:rsidR="000A456B">
        <w:rPr>
          <w:lang w:val="fr-FR"/>
        </w:rPr>
        <w:t>,</w:t>
      </w:r>
      <w:r>
        <w:rPr>
          <w:lang w:val="fr-FR"/>
        </w:rPr>
        <w:t xml:space="preserve"> ce include regiunea NUTS III Mehedinţi şi programul transfrontalier Bulgaria-Serbia</w:t>
      </w:r>
      <w:r w:rsidR="000A456B">
        <w:rPr>
          <w:lang w:val="fr-FR"/>
        </w:rPr>
        <w:t>,</w:t>
      </w:r>
      <w:r>
        <w:rPr>
          <w:lang w:val="fr-FR"/>
        </w:rPr>
        <w:t xml:space="preserve"> care include regiunea NUTS III din Vidin Montana şi Vratsa (ca regiuni suplimentare). Un mecanism de coordonare va fi stabilit pentru </w:t>
      </w:r>
      <w:proofErr w:type="gramStart"/>
      <w:r>
        <w:rPr>
          <w:lang w:val="fr-FR"/>
        </w:rPr>
        <w:t>a</w:t>
      </w:r>
      <w:proofErr w:type="gramEnd"/>
      <w:r>
        <w:rPr>
          <w:lang w:val="fr-FR"/>
        </w:rPr>
        <w:t xml:space="preserve"> depista şi evita posibile suprapuneri şi duplicate</w:t>
      </w:r>
      <w:r w:rsidR="000A456B">
        <w:rPr>
          <w:lang w:val="fr-FR"/>
        </w:rPr>
        <w:t>,</w:t>
      </w:r>
      <w:r>
        <w:rPr>
          <w:lang w:val="fr-FR"/>
        </w:rPr>
        <w:t xml:space="preserve"> precum şi pentru a promova sinergiile dintre proiectele complementare care sunt implementate în domeniile de cooperare înrudite. </w:t>
      </w:r>
      <w:r w:rsidRPr="000A456B">
        <w:rPr>
          <w:lang w:val="fr-FR"/>
        </w:rPr>
        <w:t>Acest mecanism de coordonare va include în principal:</w:t>
      </w:r>
    </w:p>
    <w:p w:rsidR="00DB39AE" w:rsidRDefault="00DB39AE" w:rsidP="00EC1DA9">
      <w:pPr>
        <w:numPr>
          <w:ilvl w:val="0"/>
          <w:numId w:val="28"/>
        </w:numPr>
        <w:spacing w:before="0" w:after="0"/>
        <w:rPr>
          <w:lang w:val="fr-FR"/>
        </w:rPr>
      </w:pPr>
      <w:r>
        <w:rPr>
          <w:lang w:val="fr-FR"/>
        </w:rPr>
        <w:t xml:space="preserve">Schimbul </w:t>
      </w:r>
      <w:proofErr w:type="gramStart"/>
      <w:r>
        <w:rPr>
          <w:lang w:val="fr-FR"/>
        </w:rPr>
        <w:t>de informaţii</w:t>
      </w:r>
      <w:proofErr w:type="gramEnd"/>
      <w:r>
        <w:rPr>
          <w:lang w:val="fr-FR"/>
        </w:rPr>
        <w:t xml:space="preserve"> în timpul selecţiei aplicanţilor</w:t>
      </w:r>
    </w:p>
    <w:p w:rsidR="00DB39AE" w:rsidRDefault="00DB39AE" w:rsidP="00EC1DA9">
      <w:pPr>
        <w:numPr>
          <w:ilvl w:val="0"/>
          <w:numId w:val="28"/>
        </w:numPr>
        <w:spacing w:before="0" w:after="0"/>
        <w:rPr>
          <w:lang w:val="fr-FR"/>
        </w:rPr>
      </w:pPr>
      <w:r>
        <w:rPr>
          <w:lang w:val="fr-FR"/>
        </w:rPr>
        <w:t>Schimbul de informaţii în timp</w:t>
      </w:r>
      <w:r w:rsidR="000A456B">
        <w:rPr>
          <w:lang w:val="fr-FR"/>
        </w:rPr>
        <w:t>ul implementãrii, monitorizãrii</w:t>
      </w:r>
      <w:r>
        <w:rPr>
          <w:lang w:val="fr-FR"/>
        </w:rPr>
        <w:t xml:space="preserve"> proiectelor aprobate pentru a disemina rezultatele proiectelor care rãspund unor provocãri şi necesitãţi similare şi pentru </w:t>
      </w:r>
      <w:proofErr w:type="gramStart"/>
      <w:r>
        <w:rPr>
          <w:lang w:val="fr-FR"/>
        </w:rPr>
        <w:t>a</w:t>
      </w:r>
      <w:proofErr w:type="gramEnd"/>
      <w:r>
        <w:rPr>
          <w:lang w:val="fr-FR"/>
        </w:rPr>
        <w:t xml:space="preserve"> crea sinergii între acestea</w:t>
      </w:r>
    </w:p>
    <w:p w:rsidR="00DB39AE" w:rsidRDefault="00DB39AE" w:rsidP="00EC1DA9">
      <w:pPr>
        <w:numPr>
          <w:ilvl w:val="0"/>
          <w:numId w:val="28"/>
        </w:numPr>
        <w:spacing w:before="0" w:after="0"/>
        <w:rPr>
          <w:lang w:val="fr-FR"/>
        </w:rPr>
      </w:pPr>
      <w:r>
        <w:rPr>
          <w:lang w:val="fr-FR"/>
        </w:rPr>
        <w:t>Uzul flexibilitãţii geografice, aşa cum este prevãzut de art 20 (2) al regulamentului CET</w:t>
      </w:r>
      <w:r w:rsidR="000A456B">
        <w:rPr>
          <w:lang w:val="fr-FR"/>
        </w:rPr>
        <w:t>,</w:t>
      </w:r>
      <w:r>
        <w:rPr>
          <w:lang w:val="fr-FR"/>
        </w:rPr>
        <w:t xml:space="preserve"> pentru a susţine proiectele cu rezultate de impact, dacã o parte dintre activitãţi sunt implementate dincolo de domeniul programului, în special în decursul Dunãrii sau în zona de coastã a Mãrii Negre</w:t>
      </w:r>
    </w:p>
    <w:p w:rsidR="00DB39AE" w:rsidRDefault="00DB39AE" w:rsidP="00DB39AE">
      <w:pPr>
        <w:rPr>
          <w:lang w:val="fr-FR"/>
        </w:rPr>
      </w:pPr>
      <w:r>
        <w:rPr>
          <w:lang w:val="fr-FR"/>
        </w:rPr>
        <w:t>Programul INTERACT va rãmâne un instrument important de coordonare dintre programele CET. Va susţine schimbul de experienţã dintre entitãţile programului şi va colecta informaţiile despre proiectele finanţa</w:t>
      </w:r>
      <w:r w:rsidR="00D31B8E">
        <w:rPr>
          <w:lang w:val="fr-FR"/>
        </w:rPr>
        <w:t>te în întreaga Europã, care vor</w:t>
      </w:r>
      <w:r>
        <w:rPr>
          <w:lang w:val="fr-FR"/>
        </w:rPr>
        <w:t xml:space="preserve"> permite aplicanţilor şi factorilor de decizie sã investigheze proiectele anterioare şi cele în curs de derulare, de cooperare pe teme similare. </w:t>
      </w:r>
    </w:p>
    <w:p w:rsidR="00DB39AE" w:rsidRDefault="00DB39AE" w:rsidP="00DB39AE">
      <w:pPr>
        <w:rPr>
          <w:b/>
          <w:lang w:val="fr-FR"/>
        </w:rPr>
      </w:pPr>
    </w:p>
    <w:p w:rsidR="00DB39AE" w:rsidRDefault="00DB39AE" w:rsidP="00DB39AE">
      <w:pPr>
        <w:rPr>
          <w:b/>
          <w:lang w:val="fr-FR"/>
        </w:rPr>
      </w:pPr>
    </w:p>
    <w:p w:rsidR="00DB39AE" w:rsidRDefault="00DB39AE" w:rsidP="00DB39AE">
      <w:pPr>
        <w:rPr>
          <w:b/>
          <w:lang w:val="fr-FR"/>
        </w:rPr>
      </w:pPr>
    </w:p>
    <w:p w:rsidR="00DB39AE" w:rsidRPr="002D1DA6" w:rsidRDefault="00DB39AE" w:rsidP="00DB39AE">
      <w:pPr>
        <w:rPr>
          <w:b/>
          <w:lang w:val="fr-FR"/>
        </w:rPr>
      </w:pPr>
    </w:p>
    <w:p w:rsidR="00B93017" w:rsidRPr="00A77C97" w:rsidRDefault="00B93017" w:rsidP="00DB39AE">
      <w:pPr>
        <w:rPr>
          <w:b/>
          <w:lang w:val="fr-FR"/>
        </w:rPr>
        <w:sectPr w:rsidR="00B93017" w:rsidRPr="00A77C97" w:rsidSect="00DB39AE">
          <w:pgSz w:w="11900" w:h="16840"/>
          <w:pgMar w:top="1440" w:right="1800" w:bottom="1440" w:left="1800" w:header="340" w:footer="340" w:gutter="0"/>
          <w:cols w:space="720"/>
          <w:docGrid w:linePitch="326"/>
        </w:sectPr>
      </w:pPr>
    </w:p>
    <w:p w:rsidR="00DB39AE" w:rsidRPr="006C6828" w:rsidRDefault="00DB39AE" w:rsidP="00B93017">
      <w:pPr>
        <w:pStyle w:val="Heading1"/>
        <w:rPr>
          <w:lang w:val="it-IT"/>
        </w:rPr>
      </w:pPr>
      <w:bookmarkStart w:id="192" w:name="_Toc394837904"/>
      <w:r w:rsidRPr="006C6828">
        <w:rPr>
          <w:lang w:val="it-IT"/>
        </w:rPr>
        <w:lastRenderedPageBreak/>
        <w:t>SECŢIUNEA 7. REDUCEREA SARCINILOR ADMINISTRATIVE PENTRU BENEFICIARI</w:t>
      </w:r>
      <w:bookmarkEnd w:id="192"/>
    </w:p>
    <w:p w:rsidR="00DB39AE" w:rsidRPr="00A65FE1" w:rsidRDefault="00DB39AE" w:rsidP="00DB39AE">
      <w:pPr>
        <w:rPr>
          <w:b/>
          <w:u w:val="single"/>
          <w:lang w:val="fr-FR"/>
        </w:rPr>
      </w:pPr>
      <w:r w:rsidRPr="00A65FE1">
        <w:rPr>
          <w:b/>
          <w:u w:val="single"/>
          <w:lang w:val="fr-FR"/>
        </w:rPr>
        <w:t>Evaluare</w:t>
      </w:r>
    </w:p>
    <w:p w:rsidR="00DB39AE" w:rsidRDefault="00DB39AE" w:rsidP="00DB39AE">
      <w:pPr>
        <w:rPr>
          <w:lang w:val="fr-FR"/>
        </w:rPr>
      </w:pPr>
      <w:r>
        <w:rPr>
          <w:lang w:val="fr-FR"/>
        </w:rPr>
        <w:t>În timpul atelierelor de lucru organizate cu scopul de a discuta viitoarele prioritãţi ale programului, participanţii au rãspuns la o serie de întrebãri</w:t>
      </w:r>
      <w:r w:rsidR="00D31B8E">
        <w:rPr>
          <w:lang w:val="fr-FR"/>
        </w:rPr>
        <w:t>,</w:t>
      </w:r>
      <w:r>
        <w:rPr>
          <w:lang w:val="fr-FR"/>
        </w:rPr>
        <w:t xml:space="preserve"> dintr-un chestionar</w:t>
      </w:r>
      <w:r w:rsidR="00D31B8E">
        <w:rPr>
          <w:lang w:val="fr-FR"/>
        </w:rPr>
        <w:t>,</w:t>
      </w:r>
      <w:r>
        <w:rPr>
          <w:lang w:val="fr-FR"/>
        </w:rPr>
        <w:t xml:space="preserve"> cu privire la sarcinile administrative. Întrebãrile au inclus o serie de recomandãri considerate drept necesare pentru a reduce sarcinile administrative ale beneficiarilor în decursul tuturor etapelor de depunere, evaluare/selecţie şi implementare a proiectului. Rezumatul recomandãrilor pãrţilor interesate pot fi structurate în 4 etape administrative importante:</w:t>
      </w:r>
    </w:p>
    <w:p w:rsidR="00DB39AE" w:rsidRPr="002D1DA6" w:rsidRDefault="00DB39AE" w:rsidP="00DB39AE">
      <w:pPr>
        <w:rPr>
          <w:i/>
          <w:u w:val="single"/>
          <w:lang w:val="fr-FR"/>
        </w:rPr>
      </w:pPr>
      <w:r>
        <w:rPr>
          <w:lang w:val="fr-FR"/>
        </w:rPr>
        <w:tab/>
      </w:r>
      <w:r w:rsidRPr="002D1DA6">
        <w:rPr>
          <w:i/>
          <w:u w:val="single"/>
          <w:lang w:val="fr-FR"/>
        </w:rPr>
        <w:t>1. Depunerea proiectului</w:t>
      </w:r>
    </w:p>
    <w:p w:rsidR="00DB39AE" w:rsidRDefault="00DB39AE" w:rsidP="00DB39AE">
      <w:pPr>
        <w:rPr>
          <w:lang w:val="fr-FR"/>
        </w:rPr>
      </w:pPr>
      <w:r>
        <w:rPr>
          <w:lang w:val="fr-FR"/>
        </w:rPr>
        <w:t>Procesul de depunere a proiectului va fi mai facil graţie sistemului de depunere electronicã (formulare online, etc) care permit</w:t>
      </w:r>
      <w:r w:rsidR="00D31B8E">
        <w:rPr>
          <w:lang w:val="fr-FR"/>
        </w:rPr>
        <w:t>e</w:t>
      </w:r>
      <w:r>
        <w:rPr>
          <w:lang w:val="fr-FR"/>
        </w:rPr>
        <w:t xml:space="preserve"> cele mai bune practici ale Comisiei Europene (sistemul EUCAS) şi faciliteazã persoanelor interesate accesul la versiunea electronicã a documentelor în prima etapã.</w:t>
      </w:r>
    </w:p>
    <w:p w:rsidR="00DB39AE" w:rsidRPr="002D1DA6" w:rsidRDefault="00DB39AE" w:rsidP="00DB39AE">
      <w:pPr>
        <w:rPr>
          <w:i/>
          <w:u w:val="single"/>
          <w:lang w:val="fr-FR"/>
        </w:rPr>
      </w:pPr>
      <w:r>
        <w:rPr>
          <w:lang w:val="fr-FR"/>
        </w:rPr>
        <w:tab/>
      </w:r>
      <w:r w:rsidRPr="002D1DA6">
        <w:rPr>
          <w:i/>
          <w:u w:val="single"/>
          <w:lang w:val="fr-FR"/>
        </w:rPr>
        <w:t>2. Evaluarea proiectului</w:t>
      </w:r>
    </w:p>
    <w:p w:rsidR="00DB39AE" w:rsidRDefault="00DB39AE" w:rsidP="00DB39AE">
      <w:pPr>
        <w:rPr>
          <w:lang w:val="fr-FR"/>
        </w:rPr>
      </w:pPr>
      <w:r>
        <w:rPr>
          <w:lang w:val="fr-FR"/>
        </w:rPr>
        <w:t xml:space="preserve">Faza </w:t>
      </w:r>
      <w:proofErr w:type="gramStart"/>
      <w:r>
        <w:rPr>
          <w:lang w:val="fr-FR"/>
        </w:rPr>
        <w:t>de evaluare</w:t>
      </w:r>
      <w:proofErr w:type="gramEnd"/>
      <w:r>
        <w:rPr>
          <w:lang w:val="fr-FR"/>
        </w:rPr>
        <w:t xml:space="preserve"> poate avea o duratã îndelungatã. Una dintre recomandãri face referire la evaluarea proiectului prin intermediul unui proces etapizat care va verifica as</w:t>
      </w:r>
      <w:r w:rsidR="00D31B8E">
        <w:rPr>
          <w:lang w:val="fr-FR"/>
        </w:rPr>
        <w:t>pectele cheie într-o primã fază</w:t>
      </w:r>
      <w:r>
        <w:rPr>
          <w:lang w:val="fr-FR"/>
        </w:rPr>
        <w:t xml:space="preserve"> şi va oferi un rãspuns rapid parteneriatului despre eligibilitatea proiectului </w:t>
      </w:r>
      <w:r w:rsidR="00D31B8E">
        <w:rPr>
          <w:lang w:val="fr-FR"/>
        </w:rPr>
        <w:t xml:space="preserve">depus </w:t>
      </w:r>
      <w:r>
        <w:rPr>
          <w:lang w:val="fr-FR"/>
        </w:rPr>
        <w:t>în cadrul programului</w:t>
      </w:r>
    </w:p>
    <w:p w:rsidR="00DB39AE" w:rsidRPr="002D1DA6" w:rsidRDefault="00DB39AE" w:rsidP="00DB39AE">
      <w:pPr>
        <w:rPr>
          <w:i/>
          <w:u w:val="single"/>
          <w:lang w:val="fr-FR"/>
        </w:rPr>
      </w:pPr>
      <w:r>
        <w:rPr>
          <w:lang w:val="fr-FR"/>
        </w:rPr>
        <w:tab/>
      </w:r>
      <w:r w:rsidRPr="002D1DA6">
        <w:rPr>
          <w:i/>
          <w:u w:val="single"/>
          <w:lang w:val="fr-FR"/>
        </w:rPr>
        <w:t>3. Etapa de contractare</w:t>
      </w:r>
    </w:p>
    <w:p w:rsidR="00DB39AE" w:rsidRDefault="00DB39AE" w:rsidP="00DB39AE">
      <w:pPr>
        <w:rPr>
          <w:lang w:val="fr-FR"/>
        </w:rPr>
      </w:pPr>
      <w:r>
        <w:rPr>
          <w:lang w:val="fr-FR"/>
        </w:rPr>
        <w:t>Etapa de contractare trebuie, de asemenea, sã fie mai scurtã (1-2 luni) şi sã conducã la un acord semnat care poate fi realizat graţie transmiterii documentaţiei prin intermediul unei forme de expediţie. Beneficiarii anteriori sau actuali solicitã</w:t>
      </w:r>
      <w:r w:rsidR="00D31B8E">
        <w:rPr>
          <w:lang w:val="fr-FR"/>
        </w:rPr>
        <w:t>,</w:t>
      </w:r>
      <w:r>
        <w:rPr>
          <w:lang w:val="fr-FR"/>
        </w:rPr>
        <w:t xml:space="preserve"> de asemenea</w:t>
      </w:r>
      <w:r w:rsidR="00D31B8E">
        <w:rPr>
          <w:lang w:val="fr-FR"/>
        </w:rPr>
        <w:t>,</w:t>
      </w:r>
      <w:r>
        <w:rPr>
          <w:lang w:val="fr-FR"/>
        </w:rPr>
        <w:t xml:space="preserve"> o mai mare flexibilitate în decizii şi modificãri în timpul etapei de pre-contractare.</w:t>
      </w:r>
    </w:p>
    <w:p w:rsidR="00DB39AE" w:rsidRPr="002D1DA6" w:rsidRDefault="00DB39AE" w:rsidP="00DB39AE">
      <w:pPr>
        <w:rPr>
          <w:i/>
          <w:u w:val="single"/>
          <w:lang w:val="fr-FR"/>
        </w:rPr>
      </w:pPr>
      <w:r>
        <w:rPr>
          <w:lang w:val="fr-FR"/>
        </w:rPr>
        <w:tab/>
      </w:r>
      <w:r w:rsidRPr="002D1DA6">
        <w:rPr>
          <w:i/>
          <w:u w:val="single"/>
          <w:lang w:val="fr-FR"/>
        </w:rPr>
        <w:t xml:space="preserve">4. Etapa </w:t>
      </w:r>
      <w:proofErr w:type="gramStart"/>
      <w:r w:rsidRPr="002D1DA6">
        <w:rPr>
          <w:i/>
          <w:u w:val="single"/>
          <w:lang w:val="fr-FR"/>
        </w:rPr>
        <w:t>de implementare</w:t>
      </w:r>
      <w:proofErr w:type="gramEnd"/>
      <w:r w:rsidRPr="002D1DA6">
        <w:rPr>
          <w:i/>
          <w:u w:val="single"/>
          <w:lang w:val="fr-FR"/>
        </w:rPr>
        <w:t xml:space="preserve"> a proiectului</w:t>
      </w:r>
    </w:p>
    <w:p w:rsidR="00DB39AE" w:rsidRDefault="00DB39AE" w:rsidP="00DB39AE">
      <w:pPr>
        <w:rPr>
          <w:lang w:val="fr-FR"/>
        </w:rPr>
      </w:pPr>
      <w:r>
        <w:rPr>
          <w:lang w:val="fr-FR"/>
        </w:rPr>
        <w:t>Persoanele interesate solicitã proceduri mai facile şi mai rapide cu privire la schimbãrile care se produc în timpul implementãrii proiectului.</w:t>
      </w:r>
    </w:p>
    <w:p w:rsidR="00DB39AE" w:rsidRDefault="00DB39AE" w:rsidP="00DB39AE">
      <w:pPr>
        <w:rPr>
          <w:lang w:val="fr-FR"/>
        </w:rPr>
      </w:pPr>
      <w:r>
        <w:rPr>
          <w:lang w:val="fr-FR"/>
        </w:rPr>
        <w:t>O mai mare flexibilitate cu privire la durata proiectului</w:t>
      </w:r>
      <w:r w:rsidR="00D31B8E">
        <w:rPr>
          <w:lang w:val="fr-FR"/>
        </w:rPr>
        <w:t>,</w:t>
      </w:r>
      <w:r>
        <w:rPr>
          <w:lang w:val="fr-FR"/>
        </w:rPr>
        <w:t xml:space="preserve"> precum şi posibilitatea suspendãrii temporare a proiectelor din motive obiective sunt considerate a fi necesare</w:t>
      </w:r>
    </w:p>
    <w:p w:rsidR="00DB39AE" w:rsidRDefault="00DB39AE" w:rsidP="00DB39AE">
      <w:pPr>
        <w:rPr>
          <w:lang w:val="fr-FR"/>
        </w:rPr>
      </w:pPr>
      <w:r>
        <w:rPr>
          <w:lang w:val="fr-FR"/>
        </w:rPr>
        <w:t>Per ansamblu</w:t>
      </w:r>
      <w:r w:rsidR="00D31B8E">
        <w:rPr>
          <w:lang w:val="fr-FR"/>
        </w:rPr>
        <w:t>,</w:t>
      </w:r>
      <w:r>
        <w:rPr>
          <w:lang w:val="fr-FR"/>
        </w:rPr>
        <w:t xml:space="preserve"> în procesul de raportare, solicitãrile de rambursare şi orice alte notificãri trebuie fãcute în formã electronicã.</w:t>
      </w:r>
    </w:p>
    <w:p w:rsidR="00DB39AE" w:rsidRPr="002D1DA6" w:rsidRDefault="00DB39AE" w:rsidP="00DB39AE">
      <w:pPr>
        <w:rPr>
          <w:b/>
          <w:u w:val="single"/>
          <w:lang w:val="fr-FR"/>
        </w:rPr>
      </w:pPr>
      <w:r w:rsidRPr="002D1DA6">
        <w:rPr>
          <w:b/>
          <w:u w:val="single"/>
          <w:lang w:val="fr-FR"/>
        </w:rPr>
        <w:t>Acţiuni</w:t>
      </w:r>
    </w:p>
    <w:p w:rsidR="00DB39AE" w:rsidRDefault="00DB39AE" w:rsidP="00DB39AE">
      <w:pPr>
        <w:rPr>
          <w:lang w:val="fr-FR"/>
        </w:rPr>
      </w:pPr>
      <w:r>
        <w:rPr>
          <w:lang w:val="fr-FR"/>
        </w:rPr>
        <w:t>Pentru a rãspunde acestor solicitãri, urmãtoarele acţiuni vor fi întreprinse cu scopul de a reduce sarcinile administrative pentru beneficiarii programului 2014-2020:</w:t>
      </w:r>
    </w:p>
    <w:p w:rsidR="00DB39AE" w:rsidRDefault="00DB39AE" w:rsidP="00DB39AE">
      <w:pPr>
        <w:rPr>
          <w:lang w:val="fr-FR"/>
        </w:rPr>
      </w:pPr>
    </w:p>
    <w:p w:rsidR="00DB39AE" w:rsidRDefault="00DB39AE" w:rsidP="00EC1DA9">
      <w:pPr>
        <w:pStyle w:val="ListParagraph"/>
        <w:numPr>
          <w:ilvl w:val="0"/>
          <w:numId w:val="35"/>
        </w:numPr>
        <w:spacing w:before="0"/>
        <w:rPr>
          <w:lang w:val="fr-FR"/>
        </w:rPr>
      </w:pPr>
      <w:r w:rsidRPr="002D1DA6">
        <w:rPr>
          <w:lang w:val="fr-FR"/>
        </w:rPr>
        <w:t>Un sistem electronic pentru schimbul de date</w:t>
      </w:r>
      <w:r w:rsidR="00D31B8E">
        <w:rPr>
          <w:lang w:val="fr-FR"/>
        </w:rPr>
        <w:t>,</w:t>
      </w:r>
      <w:r w:rsidRPr="002D1DA6">
        <w:rPr>
          <w:lang w:val="fr-FR"/>
        </w:rPr>
        <w:t xml:space="preserve"> pentru toate notificãrile între AM, AN, SC, autoritatea de audit şi beneficiari, va fi utilizat pentru gestionarea, monitorizarea şi evaluarea programului şi va fi pus în aplicare la finalul anului 2015 (termenul limitã vizat). Sistemul va permite (în baza principiului “informaţia inseratã o singurã datã”) formulare interactive sau </w:t>
      </w:r>
      <w:r w:rsidRPr="002D1DA6">
        <w:rPr>
          <w:lang w:val="fr-FR"/>
        </w:rPr>
        <w:lastRenderedPageBreak/>
        <w:t>pre-completate în baza datelor inserate anterior; verificãri încrucişate ale datelor completate, calcule automate şi posibilitatea beneficiarilor de a urmãri online statusul propunerii lor de proiect sau a cererii lor de rambursare în timpul implementãrii proiectului</w:t>
      </w:r>
    </w:p>
    <w:p w:rsidR="00DB39AE" w:rsidRDefault="00DB39AE" w:rsidP="00EC1DA9">
      <w:pPr>
        <w:pStyle w:val="ListParagraph"/>
        <w:numPr>
          <w:ilvl w:val="0"/>
          <w:numId w:val="35"/>
        </w:numPr>
        <w:spacing w:before="0"/>
        <w:rPr>
          <w:lang w:val="fr-FR"/>
        </w:rPr>
      </w:pPr>
      <w:r w:rsidRPr="002D1DA6">
        <w:rPr>
          <w:lang w:val="fr-FR"/>
        </w:rPr>
        <w:t>Secretariatul comun va furniza traininguri pentru beneficiarii actuali sau potenţiali în ceea ce priveşte aplicaţiile proiectelor, implementarea, raportarea, controlul şi auditul proiectelor finanţate de CBC (pe tot parcursul perioadei programului)</w:t>
      </w:r>
    </w:p>
    <w:p w:rsidR="00DB39AE" w:rsidRDefault="00DB39AE" w:rsidP="00EC1DA9">
      <w:pPr>
        <w:pStyle w:val="ListParagraph"/>
        <w:numPr>
          <w:ilvl w:val="0"/>
          <w:numId w:val="35"/>
        </w:numPr>
        <w:spacing w:before="0"/>
        <w:rPr>
          <w:lang w:val="fr-FR"/>
        </w:rPr>
      </w:pPr>
      <w:r w:rsidRPr="002D1DA6">
        <w:rPr>
          <w:lang w:val="fr-FR"/>
        </w:rPr>
        <w:t xml:space="preserve">Sunt prevãzute opţiuni de simplificare a costurilor (în baza aprobãrii din partea comisiei de monitorizare): conform experienţei programului 2007-2013, şi art 19 din regulamentul CET UE nr.1299/2013. Decizia va fi supusã aprobãrii CM împreunã cu lista de cheltuieli eligibile la finalul lui 2015. </w:t>
      </w:r>
    </w:p>
    <w:p w:rsidR="00DB39AE" w:rsidRDefault="00DB39AE" w:rsidP="00EC1DA9">
      <w:pPr>
        <w:pStyle w:val="ListParagraph"/>
        <w:numPr>
          <w:ilvl w:val="0"/>
          <w:numId w:val="35"/>
        </w:numPr>
        <w:spacing w:before="0"/>
        <w:rPr>
          <w:lang w:val="fr-FR"/>
        </w:rPr>
      </w:pPr>
      <w:bookmarkStart w:id="193" w:name="_GoBack"/>
      <w:bookmarkEnd w:id="193"/>
      <w:r w:rsidRPr="002D1DA6">
        <w:rPr>
          <w:lang w:val="fr-FR"/>
        </w:rPr>
        <w:t>Ateliere de lucru în domenii tematice identificate de cãtre beneficiari vor fi</w:t>
      </w:r>
      <w:r w:rsidR="0021179A">
        <w:rPr>
          <w:lang w:val="fr-FR"/>
        </w:rPr>
        <w:t>,</w:t>
      </w:r>
      <w:r w:rsidRPr="002D1DA6">
        <w:rPr>
          <w:lang w:val="fr-FR"/>
        </w:rPr>
        <w:t xml:space="preserve"> de asemenea</w:t>
      </w:r>
      <w:r w:rsidR="0021179A">
        <w:rPr>
          <w:lang w:val="fr-FR"/>
        </w:rPr>
        <w:t>,</w:t>
      </w:r>
      <w:r w:rsidRPr="002D1DA6">
        <w:rPr>
          <w:lang w:val="fr-FR"/>
        </w:rPr>
        <w:t xml:space="preserve"> organizate (ex. achiziţii publice, oportunitãţi de finanţare, etc); în mod constant pe toatã perioada Programului</w:t>
      </w:r>
    </w:p>
    <w:p w:rsidR="00DB39AE" w:rsidRDefault="00DB39AE" w:rsidP="00EC1DA9">
      <w:pPr>
        <w:pStyle w:val="ListParagraph"/>
        <w:numPr>
          <w:ilvl w:val="0"/>
          <w:numId w:val="35"/>
        </w:numPr>
        <w:spacing w:before="0"/>
        <w:rPr>
          <w:lang w:val="fr-FR"/>
        </w:rPr>
      </w:pPr>
      <w:r w:rsidRPr="002D1DA6">
        <w:rPr>
          <w:lang w:val="fr-FR"/>
        </w:rPr>
        <w:t>Depunerea documentelor nu va fi duplicatã (dacã un document a fost solicitat o datã, el va fi disponibil în sistemul de control al entitãţilor implicate)</w:t>
      </w:r>
    </w:p>
    <w:p w:rsidR="00DB39AE" w:rsidRDefault="00DB39AE" w:rsidP="00EC1DA9">
      <w:pPr>
        <w:pStyle w:val="ListParagraph"/>
        <w:numPr>
          <w:ilvl w:val="0"/>
          <w:numId w:val="35"/>
        </w:numPr>
        <w:spacing w:before="0"/>
        <w:rPr>
          <w:lang w:val="fr-FR"/>
        </w:rPr>
      </w:pPr>
      <w:r w:rsidRPr="002D1DA6">
        <w:rPr>
          <w:lang w:val="fr-FR"/>
        </w:rPr>
        <w:t>Simplificarea procedurii achiziţiei pentru entitãţile care nu sunt supuse legislaţiei naţionale în domeniu, cel mai târziu înainte de semnarea primelor contracte va fi anexat formatul contractului</w:t>
      </w:r>
    </w:p>
    <w:p w:rsidR="00DB39AE" w:rsidRPr="002D1DA6" w:rsidRDefault="00DB39AE" w:rsidP="00EC1DA9">
      <w:pPr>
        <w:pStyle w:val="ListParagraph"/>
        <w:numPr>
          <w:ilvl w:val="0"/>
          <w:numId w:val="35"/>
        </w:numPr>
        <w:spacing w:before="0"/>
        <w:rPr>
          <w:lang w:val="fr-FR"/>
        </w:rPr>
      </w:pPr>
      <w:r w:rsidRPr="002D1DA6">
        <w:rPr>
          <w:lang w:val="fr-FR"/>
        </w:rPr>
        <w:t>Redactarea şi aprobarea formatelor relevante</w:t>
      </w:r>
      <w:r w:rsidR="0021179A">
        <w:rPr>
          <w:lang w:val="fr-FR"/>
        </w:rPr>
        <w:t>,</w:t>
      </w:r>
      <w:r w:rsidRPr="002D1DA6">
        <w:rPr>
          <w:lang w:val="fr-FR"/>
        </w:rPr>
        <w:t xml:space="preserve"> explicate în mod clar (ex formularele aplicaţiei, solicitarea de rambursare, raportul progresului, FLC, etc)</w:t>
      </w:r>
      <w:r w:rsidR="0021179A">
        <w:rPr>
          <w:lang w:val="fr-FR"/>
        </w:rPr>
        <w:t>,</w:t>
      </w:r>
      <w:r w:rsidRPr="002D1DA6">
        <w:rPr>
          <w:lang w:val="fr-FR"/>
        </w:rPr>
        <w:t xml:space="preserve"> pentru a permite un model adecvat în sistemul electronic într-un termen rezonabil şi</w:t>
      </w:r>
      <w:r w:rsidR="0021179A">
        <w:rPr>
          <w:lang w:val="fr-FR"/>
        </w:rPr>
        <w:t>,</w:t>
      </w:r>
      <w:r w:rsidRPr="002D1DA6">
        <w:rPr>
          <w:lang w:val="fr-FR"/>
        </w:rPr>
        <w:t xml:space="preserve"> de asemenea</w:t>
      </w:r>
      <w:r w:rsidR="0021179A">
        <w:rPr>
          <w:lang w:val="fr-FR"/>
        </w:rPr>
        <w:t>,</w:t>
      </w:r>
      <w:r w:rsidRPr="002D1DA6">
        <w:rPr>
          <w:lang w:val="fr-FR"/>
        </w:rPr>
        <w:t xml:space="preserve"> pentru ca beneficiarii sã fie încunoştinţaţi despre toate cerinţele implementãrii (disponibile de la primul apel de propuneri).</w:t>
      </w:r>
    </w:p>
    <w:p w:rsidR="00DB39AE" w:rsidRDefault="00DB39AE" w:rsidP="00DB39AE">
      <w:pPr>
        <w:rPr>
          <w:lang w:val="fr-FR"/>
        </w:rPr>
      </w:pPr>
    </w:p>
    <w:p w:rsidR="00DB39AE" w:rsidRDefault="00DB39AE" w:rsidP="00DB39AE">
      <w:pPr>
        <w:rPr>
          <w:lang w:val="fr-FR"/>
        </w:rPr>
      </w:pPr>
    </w:p>
    <w:p w:rsidR="00DB39AE" w:rsidRDefault="00DB39AE" w:rsidP="00DB39AE">
      <w:pPr>
        <w:rPr>
          <w:lang w:val="fr-FR"/>
        </w:rPr>
      </w:pPr>
    </w:p>
    <w:p w:rsidR="00DB39AE" w:rsidRDefault="00DB39AE" w:rsidP="00DB39AE">
      <w:pPr>
        <w:rPr>
          <w:lang w:val="fr-FR"/>
        </w:rPr>
      </w:pPr>
    </w:p>
    <w:p w:rsidR="00A65FE1" w:rsidRDefault="00A65FE1" w:rsidP="00B93017">
      <w:pPr>
        <w:pStyle w:val="Heading1"/>
        <w:rPr>
          <w:lang w:val="fr-FR"/>
        </w:rPr>
        <w:sectPr w:rsidR="00A65FE1" w:rsidSect="00DB39AE">
          <w:pgSz w:w="11900" w:h="16840"/>
          <w:pgMar w:top="1440" w:right="1800" w:bottom="1440" w:left="1800" w:header="340" w:footer="340" w:gutter="0"/>
          <w:cols w:space="720"/>
          <w:docGrid w:linePitch="326"/>
        </w:sectPr>
      </w:pPr>
    </w:p>
    <w:p w:rsidR="00DB39AE" w:rsidRPr="002D1DA6" w:rsidRDefault="00DB39AE" w:rsidP="00B93017">
      <w:pPr>
        <w:pStyle w:val="Heading1"/>
        <w:rPr>
          <w:lang w:val="fr-FR"/>
        </w:rPr>
      </w:pPr>
      <w:bookmarkStart w:id="194" w:name="_Toc394837905"/>
      <w:r w:rsidRPr="002D1DA6">
        <w:rPr>
          <w:lang w:val="fr-FR"/>
        </w:rPr>
        <w:lastRenderedPageBreak/>
        <w:t>SECŢIUNEA 8. PRINCIPII ORIZONTALE</w:t>
      </w:r>
      <w:bookmarkEnd w:id="194"/>
    </w:p>
    <w:p w:rsidR="00DB39AE" w:rsidRPr="002D1DA6" w:rsidRDefault="00B93017" w:rsidP="00B93017">
      <w:pPr>
        <w:pStyle w:val="Heading2"/>
        <w:rPr>
          <w:lang w:val="fr-FR"/>
        </w:rPr>
      </w:pPr>
      <w:bookmarkStart w:id="195" w:name="_Toc394837906"/>
      <w:r>
        <w:rPr>
          <w:lang w:val="fr-FR"/>
        </w:rPr>
        <w:t xml:space="preserve">8.1. </w:t>
      </w:r>
      <w:r w:rsidRPr="00B93017">
        <w:rPr>
          <w:lang w:val="fr-FR"/>
        </w:rPr>
        <w:t>Dezvoltarea durabilă</w:t>
      </w:r>
      <w:r>
        <w:rPr>
          <w:rStyle w:val="FootnoteReference"/>
          <w:lang w:val="fr-FR"/>
        </w:rPr>
        <w:footnoteReference w:id="20"/>
      </w:r>
      <w:bookmarkEnd w:id="195"/>
    </w:p>
    <w:p w:rsidR="00DB39AE" w:rsidRDefault="00DB39AE" w:rsidP="00DB39AE">
      <w:pPr>
        <w:rPr>
          <w:lang w:val="fr-FR"/>
        </w:rPr>
      </w:pPr>
      <w:r>
        <w:rPr>
          <w:lang w:val="fr-FR"/>
        </w:rPr>
        <w:t>Principiul orizontal al dezvoltãrii sustenabile se referã la angajamentul de a prezerva şi proteja mediul de eventualele efecte dãunãtoare ale intervenţiei omului şi de a promova protecţia socialã şi ambientalã. Programul admite faptul cã aspectele sociale, ambientale şi economice sunt interconectate. Impactul investiţiilor în infrastructurã asupra mediului global şi local şi efectele sale relaţionate pot reprezenta un pericol serios pentru sãnãtatea populaţiei, schimbãrile de climat, biodiversitate, resursele  naturale limitate etc. Principiul sustenabilită</w:t>
      </w:r>
      <w:r>
        <w:rPr>
          <w:rFonts w:ascii="Cambria Math" w:hAnsi="Cambria Math" w:cs="Cambria Math"/>
          <w:lang w:val="fr-FR"/>
        </w:rPr>
        <w:t>ț</w:t>
      </w:r>
      <w:r>
        <w:rPr>
          <w:lang w:val="fr-FR"/>
        </w:rPr>
        <w:t>ii joacă un rol important în acest program în măsura în care dezvoltarea economică din această regiune are loc pe fondul unor spa</w:t>
      </w:r>
      <w:r>
        <w:rPr>
          <w:rFonts w:ascii="Cambria Math" w:hAnsi="Cambria Math" w:cs="Cambria Math"/>
          <w:lang w:val="fr-FR"/>
        </w:rPr>
        <w:t>ț</w:t>
      </w:r>
      <w:r>
        <w:rPr>
          <w:lang w:val="fr-FR"/>
        </w:rPr>
        <w:t>ii extrem de sensibile. Fiind un principiu orizontal, sustenabilitatea trebuie să fie luatã în considerare pe toate axele prioritare.</w:t>
      </w:r>
    </w:p>
    <w:p w:rsidR="00DB39AE" w:rsidRDefault="00DB39AE" w:rsidP="00DB39AE">
      <w:pPr>
        <w:rPr>
          <w:lang w:val="fr-FR"/>
        </w:rPr>
      </w:pPr>
      <w:r>
        <w:rPr>
          <w:lang w:val="fr-FR"/>
        </w:rPr>
        <w:t>Prin urmare, dezvoltarea sustenabilã este integratã ca un principiu orizontal luat în considerare în toate etapele elaborãrii Programului Operaţional, şi va fi urmat în implementarea sa de cãtre autoritatea de management şi autoritatea naţionalã, beneficiari şi alte persoane interesate de-a lungul zonei transfrontaliere.</w:t>
      </w:r>
    </w:p>
    <w:p w:rsidR="00DB39AE" w:rsidRDefault="00DB39AE" w:rsidP="00DB39AE">
      <w:pPr>
        <w:rPr>
          <w:lang w:val="fr-FR"/>
        </w:rPr>
      </w:pPr>
      <w:r>
        <w:rPr>
          <w:lang w:val="fr-FR"/>
        </w:rPr>
        <w:t xml:space="preserve">În aceastã privinţã, programul de faţã va verifica gradul în care proiectele propuse cunosc şi respectã legislaţia transfrontalierã asupra mediului şi dezvoltãrii sustenabile. Mai mult, acest program, prin acţiunile sale orientative, va cãuta sã evite sau sã reducã orice efecte negative asupra mediului, dar </w:t>
      </w:r>
      <w:r w:rsidR="00D60D9E">
        <w:rPr>
          <w:lang w:val="fr-FR"/>
        </w:rPr>
        <w:t>și</w:t>
      </w:r>
      <w:r>
        <w:rPr>
          <w:lang w:val="fr-FR"/>
        </w:rPr>
        <w:t xml:space="preserve"> sã creeze premizele pentru beneficiile sociale, climatice şi ambientale.</w:t>
      </w:r>
    </w:p>
    <w:p w:rsidR="00DB39AE" w:rsidRDefault="00DB39AE" w:rsidP="00DB39AE">
      <w:pPr>
        <w:rPr>
          <w:lang w:val="fr-FR"/>
        </w:rPr>
      </w:pPr>
      <w:r>
        <w:rPr>
          <w:lang w:val="fr-FR"/>
        </w:rPr>
        <w:t xml:space="preserve">Strategia pentru axa prioritarã </w:t>
      </w:r>
      <w:r w:rsidR="00FB4891">
        <w:rPr>
          <w:lang w:val="fr-FR"/>
        </w:rPr>
        <w:t>2: O regiune verde a fost creată</w:t>
      </w:r>
      <w:r>
        <w:rPr>
          <w:lang w:val="fr-FR"/>
        </w:rPr>
        <w:t xml:space="preserve"> într-un mod în care sã susţinã în mod optim ideea dezvoltãrii sustenabile. În cadrul acestei axe, ambele prioritãţi investiţionale, “Conservarea, protejarea, promovarea şi dezvoltarea patrimoniului natural şi cultural” şi “Protejarea şi restaurarea biodiversitãţii şi a solului şi promovarea serviciilor pentru ecosisteme, inclusiv prin intermediul Natura 2000 şi a infrastructurii verzi”, implicã acţiuni ce vor fi îndreptate direct cãtre dezvoltarea sustenabilitãţii pe termen lung a managementului resurselor naturale.</w:t>
      </w:r>
    </w:p>
    <w:p w:rsidR="00DB39AE" w:rsidRDefault="00DB39AE" w:rsidP="00DB39AE">
      <w:pPr>
        <w:rPr>
          <w:lang w:val="fr-FR"/>
        </w:rPr>
      </w:pPr>
      <w:r>
        <w:rPr>
          <w:lang w:val="fr-FR"/>
        </w:rPr>
        <w:t>Principiile dezvoltãrii durabile</w:t>
      </w:r>
      <w:r w:rsidR="00FB4891">
        <w:rPr>
          <w:lang w:val="fr-FR"/>
        </w:rPr>
        <w:t>,</w:t>
      </w:r>
      <w:r>
        <w:rPr>
          <w:lang w:val="fr-FR"/>
        </w:rPr>
        <w:t xml:space="preserve"> care trebuie sã fie urmate de programul operaţional curent</w:t>
      </w:r>
      <w:r w:rsidR="00FB4891">
        <w:rPr>
          <w:lang w:val="fr-FR"/>
        </w:rPr>
        <w:t>,</w:t>
      </w:r>
      <w:r>
        <w:rPr>
          <w:lang w:val="fr-FR"/>
        </w:rPr>
        <w:t xml:space="preserve"> sunt:</w:t>
      </w:r>
    </w:p>
    <w:p w:rsidR="00DB39AE" w:rsidRDefault="00DB39AE" w:rsidP="00EC1DA9">
      <w:pPr>
        <w:numPr>
          <w:ilvl w:val="0"/>
          <w:numId w:val="28"/>
        </w:numPr>
        <w:spacing w:before="0" w:after="0"/>
        <w:rPr>
          <w:lang w:val="en-US"/>
        </w:rPr>
      </w:pPr>
      <w:r>
        <w:t>Evitarea investiţiilor care pot avea efecte negative asupra mediului sau climatului extern</w:t>
      </w:r>
    </w:p>
    <w:p w:rsidR="00DB39AE" w:rsidRPr="006C6828" w:rsidRDefault="00DB39AE" w:rsidP="00EC1DA9">
      <w:pPr>
        <w:numPr>
          <w:ilvl w:val="0"/>
          <w:numId w:val="28"/>
        </w:numPr>
        <w:spacing w:before="0" w:after="0"/>
        <w:rPr>
          <w:lang w:val="it-IT"/>
        </w:rPr>
      </w:pPr>
      <w:r w:rsidRPr="006C6828">
        <w:rPr>
          <w:lang w:val="it-IT"/>
        </w:rPr>
        <w:t>Promovarea utilizãrii produselor ecologice şi reducerea generãrii de deşeuri</w:t>
      </w:r>
      <w:r w:rsidRPr="006C6828">
        <w:rPr>
          <w:lang w:val="it-IT"/>
        </w:rPr>
        <w:tab/>
      </w:r>
    </w:p>
    <w:p w:rsidR="00DB39AE" w:rsidRPr="006C6828" w:rsidRDefault="00DB39AE" w:rsidP="00EC1DA9">
      <w:pPr>
        <w:numPr>
          <w:ilvl w:val="0"/>
          <w:numId w:val="28"/>
        </w:numPr>
        <w:spacing w:before="0" w:after="0"/>
        <w:rPr>
          <w:lang w:val="it-IT"/>
        </w:rPr>
      </w:pPr>
      <w:r w:rsidRPr="006C6828">
        <w:rPr>
          <w:lang w:val="it-IT"/>
        </w:rPr>
        <w:t>Protecţia calitãţii aerului, eficienţei resurselor, biodiversitãţii şi ecosistemului</w:t>
      </w:r>
    </w:p>
    <w:p w:rsidR="00DB39AE" w:rsidRDefault="00DB39AE" w:rsidP="00EC1DA9">
      <w:pPr>
        <w:numPr>
          <w:ilvl w:val="0"/>
          <w:numId w:val="28"/>
        </w:numPr>
        <w:spacing w:before="0" w:after="0"/>
      </w:pPr>
      <w:r>
        <w:t>Rãspunderea extinsã a producãtorului</w:t>
      </w:r>
    </w:p>
    <w:p w:rsidR="00DB39AE" w:rsidRDefault="00DB39AE" w:rsidP="00F34893">
      <w:pPr>
        <w:rPr>
          <w:lang w:val="fr-FR"/>
        </w:rPr>
      </w:pPr>
      <w:r>
        <w:rPr>
          <w:lang w:val="fr-FR"/>
        </w:rPr>
        <w:t>Propunerile de proiecte ce prevãd acţiuni cu impact negativ asupra mediului nu vor fi supuse selecţiei CM. La depunerea propunerilor de proiecte</w:t>
      </w:r>
      <w:r w:rsidR="00FB4891">
        <w:rPr>
          <w:lang w:val="fr-FR"/>
        </w:rPr>
        <w:t>,</w:t>
      </w:r>
      <w:r>
        <w:rPr>
          <w:lang w:val="fr-FR"/>
        </w:rPr>
        <w:t xml:space="preserve"> aplicanţii vor trebui, de asemenea, sã descrie modul în care proiectele respective contribuie la dezvoltarea sustenabilã şi modul în care principiile dezvoltãrii sustenabile sunt reflectate de activitãţile prevãzute (ex.utilizarea energiei din surse regenerabile pentru activitãţile proiectului).</w:t>
      </w:r>
    </w:p>
    <w:p w:rsidR="00DB39AE" w:rsidRDefault="00DB39AE" w:rsidP="00DB39AE">
      <w:pPr>
        <w:rPr>
          <w:lang w:val="fr-FR"/>
        </w:rPr>
      </w:pPr>
      <w:r>
        <w:rPr>
          <w:lang w:val="fr-FR"/>
        </w:rPr>
        <w:lastRenderedPageBreak/>
        <w:t xml:space="preserve">Autoritatea de Management va promova mecanismele de sensibilizare </w:t>
      </w:r>
      <w:r>
        <w:rPr>
          <w:rFonts w:ascii="Cambria Math" w:hAnsi="Cambria Math" w:cs="Cambria Math"/>
          <w:lang w:val="fr-FR"/>
        </w:rPr>
        <w:t>ș</w:t>
      </w:r>
      <w:r>
        <w:rPr>
          <w:lang w:val="fr-FR"/>
        </w:rPr>
        <w:t>i, dacă este necesar, va oferi sprijin solicitan</w:t>
      </w:r>
      <w:r>
        <w:rPr>
          <w:rFonts w:ascii="Cambria Math" w:hAnsi="Cambria Math" w:cs="Cambria Math"/>
          <w:lang w:val="fr-FR"/>
        </w:rPr>
        <w:t>ț</w:t>
      </w:r>
      <w:r>
        <w:rPr>
          <w:lang w:val="fr-FR"/>
        </w:rPr>
        <w:t xml:space="preserve">ilor pentru </w:t>
      </w:r>
      <w:proofErr w:type="gramStart"/>
      <w:r>
        <w:rPr>
          <w:lang w:val="fr-FR"/>
        </w:rPr>
        <w:t>a</w:t>
      </w:r>
      <w:proofErr w:type="gramEnd"/>
      <w:r>
        <w:rPr>
          <w:lang w:val="fr-FR"/>
        </w:rPr>
        <w:t xml:space="preserve"> face faţã problemelor de mediu în toate etapele proiectului.  În plus, toate proiectele sprijinite de programul operaţional vor trebui să respecte dispozi</w:t>
      </w:r>
      <w:r>
        <w:rPr>
          <w:rFonts w:ascii="Cambria Math" w:hAnsi="Cambria Math" w:cs="Cambria Math"/>
          <w:lang w:val="fr-FR"/>
        </w:rPr>
        <w:t>ț</w:t>
      </w:r>
      <w:r>
        <w:rPr>
          <w:lang w:val="fr-FR"/>
        </w:rPr>
        <w:t>iile legale relevante în ceea ce prive</w:t>
      </w:r>
      <w:r>
        <w:rPr>
          <w:rFonts w:ascii="Cambria Math" w:hAnsi="Cambria Math" w:cs="Cambria Math"/>
          <w:lang w:val="fr-FR"/>
        </w:rPr>
        <w:t>ș</w:t>
      </w:r>
      <w:r>
        <w:rPr>
          <w:lang w:val="fr-FR"/>
        </w:rPr>
        <w:t>te dezvoltarea durabilă.</w:t>
      </w:r>
    </w:p>
    <w:p w:rsidR="00DB39AE" w:rsidRDefault="00DB39AE" w:rsidP="00F34893">
      <w:pPr>
        <w:rPr>
          <w:lang w:val="fr-FR"/>
        </w:rPr>
      </w:pPr>
      <w:r>
        <w:rPr>
          <w:lang w:val="fr-FR"/>
        </w:rPr>
        <w:t>Măsurile de gestionare adecvate, trebuie să furnizeze informaţii, la toate niveluril</w:t>
      </w:r>
      <w:r w:rsidR="00FB4891">
        <w:rPr>
          <w:lang w:val="fr-FR"/>
        </w:rPr>
        <w:t>e de implementare a programului</w:t>
      </w:r>
      <w:r>
        <w:rPr>
          <w:lang w:val="fr-FR"/>
        </w:rPr>
        <w:t xml:space="preserve"> - dincolo de standardele minime cerute de lege – despre efectele posibile care sunt nesustenabile sau nefavorabile pentru mediu, în special în ceea prive</w:t>
      </w:r>
      <w:r>
        <w:rPr>
          <w:rFonts w:ascii="Cambria Math" w:hAnsi="Cambria Math" w:cs="Cambria Math"/>
          <w:lang w:val="fr-FR"/>
        </w:rPr>
        <w:t>ș</w:t>
      </w:r>
      <w:r>
        <w:rPr>
          <w:lang w:val="fr-FR"/>
        </w:rPr>
        <w:t>te impactul asupra schimbărilor climatice, men</w:t>
      </w:r>
      <w:r>
        <w:rPr>
          <w:rFonts w:ascii="Cambria Math" w:hAnsi="Cambria Math" w:cs="Cambria Math"/>
          <w:lang w:val="fr-FR"/>
        </w:rPr>
        <w:t>ț</w:t>
      </w:r>
      <w:r>
        <w:rPr>
          <w:lang w:val="fr-FR"/>
        </w:rPr>
        <w:t>inerea biodiversită</w:t>
      </w:r>
      <w:r>
        <w:rPr>
          <w:rFonts w:ascii="Cambria Math" w:hAnsi="Cambria Math" w:cs="Cambria Math"/>
          <w:lang w:val="fr-FR"/>
        </w:rPr>
        <w:t>ț</w:t>
      </w:r>
      <w:r>
        <w:rPr>
          <w:lang w:val="fr-FR"/>
        </w:rPr>
        <w:t xml:space="preserve">ii </w:t>
      </w:r>
      <w:r>
        <w:rPr>
          <w:rFonts w:ascii="Cambria Math" w:hAnsi="Cambria Math" w:cs="Cambria Math"/>
          <w:lang w:val="fr-FR"/>
        </w:rPr>
        <w:t>ș</w:t>
      </w:r>
      <w:r>
        <w:rPr>
          <w:lang w:val="fr-FR"/>
        </w:rPr>
        <w:t xml:space="preserve">i a ecosistemelor, precum </w:t>
      </w:r>
      <w:r>
        <w:rPr>
          <w:rFonts w:ascii="Cambria Math" w:hAnsi="Cambria Math" w:cs="Cambria Math"/>
          <w:lang w:val="fr-FR"/>
        </w:rPr>
        <w:t>ș</w:t>
      </w:r>
      <w:r>
        <w:rPr>
          <w:lang w:val="fr-FR"/>
        </w:rPr>
        <w:t xml:space="preserve">i efectul asupra resurselor naturale, care sunt evitate sau </w:t>
      </w:r>
      <w:r>
        <w:rPr>
          <w:rFonts w:ascii="Cambria Math" w:hAnsi="Cambria Math" w:cs="Cambria Math"/>
          <w:lang w:val="fr-FR"/>
        </w:rPr>
        <w:t xml:space="preserve">cât mai reduse </w:t>
      </w:r>
      <w:r>
        <w:rPr>
          <w:lang w:val="fr-FR"/>
        </w:rPr>
        <w:t>posibil, astfel încât</w:t>
      </w:r>
      <w:r w:rsidR="00FB4891">
        <w:rPr>
          <w:lang w:val="fr-FR"/>
        </w:rPr>
        <w:t>,</w:t>
      </w:r>
      <w:r>
        <w:rPr>
          <w:lang w:val="fr-FR"/>
        </w:rPr>
        <w:t xml:space="preserve"> taxele de mediu ale programului, în total, sã fie, în cele din urmă</w:t>
      </w:r>
      <w:r w:rsidR="00FB4891">
        <w:rPr>
          <w:lang w:val="fr-FR"/>
        </w:rPr>
        <w:t>,</w:t>
      </w:r>
      <w:r>
        <w:rPr>
          <w:lang w:val="fr-FR"/>
        </w:rPr>
        <w:t xml:space="preserve"> climatice </w:t>
      </w:r>
      <w:r>
        <w:rPr>
          <w:rFonts w:ascii="Cambria Math" w:hAnsi="Cambria Math" w:cs="Cambria Math"/>
          <w:lang w:val="fr-FR"/>
        </w:rPr>
        <w:t>ș</w:t>
      </w:r>
      <w:r>
        <w:rPr>
          <w:lang w:val="fr-FR"/>
        </w:rPr>
        <w:t xml:space="preserve">i fãrã uzul resurselor. Efectele pozitive ale programului </w:t>
      </w:r>
      <w:r>
        <w:rPr>
          <w:rFonts w:ascii="Cambria Math" w:hAnsi="Cambria Math" w:cs="Cambria Math"/>
          <w:lang w:val="fr-FR"/>
        </w:rPr>
        <w:t>ș</w:t>
      </w:r>
      <w:r>
        <w:rPr>
          <w:lang w:val="fr-FR"/>
        </w:rPr>
        <w:t>i poten</w:t>
      </w:r>
      <w:r>
        <w:rPr>
          <w:rFonts w:ascii="Cambria Math" w:hAnsi="Cambria Math" w:cs="Cambria Math"/>
          <w:lang w:val="fr-FR"/>
        </w:rPr>
        <w:t>ț</w:t>
      </w:r>
      <w:r>
        <w:rPr>
          <w:lang w:val="fr-FR"/>
        </w:rPr>
        <w:t>ialul pentru sinergii, în sensul optimizării contribu</w:t>
      </w:r>
      <w:r>
        <w:rPr>
          <w:rFonts w:ascii="Cambria Math" w:hAnsi="Cambria Math" w:cs="Cambria Math"/>
          <w:lang w:val="fr-FR"/>
        </w:rPr>
        <w:t>ț</w:t>
      </w:r>
      <w:r>
        <w:rPr>
          <w:lang w:val="fr-FR"/>
        </w:rPr>
        <w:t>iei sale la o dezvoltare durabilă a mediului</w:t>
      </w:r>
      <w:r w:rsidR="00FB4891">
        <w:rPr>
          <w:lang w:val="fr-FR"/>
        </w:rPr>
        <w:t>,</w:t>
      </w:r>
      <w:r>
        <w:rPr>
          <w:lang w:val="fr-FR"/>
        </w:rPr>
        <w:t xml:space="preserve"> vor fi exploatate cât mai bine </w:t>
      </w:r>
      <w:r>
        <w:rPr>
          <w:rFonts w:ascii="Cambria Math" w:hAnsi="Cambria Math" w:cs="Cambria Math"/>
          <w:lang w:val="fr-FR"/>
        </w:rPr>
        <w:t>ș</w:t>
      </w:r>
      <w:r>
        <w:rPr>
          <w:lang w:val="fr-FR"/>
        </w:rPr>
        <w:t>i, ori de câte ori este posibil</w:t>
      </w:r>
      <w:r w:rsidR="00FB4891">
        <w:rPr>
          <w:lang w:val="fr-FR"/>
        </w:rPr>
        <w:t>,</w:t>
      </w:r>
      <w:r>
        <w:rPr>
          <w:lang w:val="fr-FR"/>
        </w:rPr>
        <w:t xml:space="preserve"> vor fi consolidate.</w:t>
      </w:r>
    </w:p>
    <w:p w:rsidR="00DB39AE" w:rsidRDefault="00DB39AE" w:rsidP="00DB39AE">
      <w:pPr>
        <w:ind w:firstLine="720"/>
        <w:rPr>
          <w:lang w:val="fr-FR"/>
        </w:rPr>
      </w:pPr>
    </w:p>
    <w:p w:rsidR="00DB39AE" w:rsidRPr="002D1DA6" w:rsidRDefault="00DB39AE" w:rsidP="00F34893">
      <w:pPr>
        <w:pStyle w:val="Heading2"/>
        <w:rPr>
          <w:lang w:val="fr-FR"/>
        </w:rPr>
      </w:pPr>
      <w:bookmarkStart w:id="196" w:name="_Toc394837907"/>
      <w:r w:rsidRPr="002D1DA6">
        <w:rPr>
          <w:lang w:val="fr-FR"/>
        </w:rPr>
        <w:t>8.2</w:t>
      </w:r>
      <w:proofErr w:type="gramStart"/>
      <w:r w:rsidR="00F34893">
        <w:rPr>
          <w:lang w:val="fr-FR"/>
        </w:rPr>
        <w:t>.</w:t>
      </w:r>
      <w:r w:rsidR="00F34893" w:rsidRPr="00F34893">
        <w:rPr>
          <w:lang w:val="fr-FR"/>
        </w:rPr>
        <w:t>Egalitatea</w:t>
      </w:r>
      <w:proofErr w:type="gramEnd"/>
      <w:r w:rsidR="00F34893" w:rsidRPr="00F34893">
        <w:rPr>
          <w:lang w:val="fr-FR"/>
        </w:rPr>
        <w:t xml:space="preserve"> de șanse și nediscriminarea</w:t>
      </w:r>
      <w:r w:rsidR="00F34893">
        <w:rPr>
          <w:rStyle w:val="FootnoteReference"/>
          <w:lang w:val="fr-FR"/>
        </w:rPr>
        <w:footnoteReference w:id="21"/>
      </w:r>
      <w:bookmarkEnd w:id="196"/>
    </w:p>
    <w:p w:rsidR="00DB39AE" w:rsidRDefault="00DB39AE" w:rsidP="00F34893">
      <w:pPr>
        <w:rPr>
          <w:lang w:val="fr-FR"/>
        </w:rPr>
      </w:pPr>
      <w:r>
        <w:rPr>
          <w:lang w:val="fr-FR"/>
        </w:rPr>
        <w:t>Descrierea ac</w:t>
      </w:r>
      <w:r>
        <w:rPr>
          <w:rFonts w:ascii="Cambria Math" w:hAnsi="Cambria Math" w:cs="Cambria Math"/>
          <w:lang w:val="fr-FR"/>
        </w:rPr>
        <w:t>ț</w:t>
      </w:r>
      <w:r>
        <w:rPr>
          <w:lang w:val="fr-FR"/>
        </w:rPr>
        <w:t>iunilor specifice de promovare a egalită</w:t>
      </w:r>
      <w:r>
        <w:rPr>
          <w:rFonts w:ascii="Cambria Math" w:hAnsi="Cambria Math" w:cs="Cambria Math"/>
          <w:lang w:val="fr-FR"/>
        </w:rPr>
        <w:t>ț</w:t>
      </w:r>
      <w:r>
        <w:rPr>
          <w:lang w:val="fr-FR"/>
        </w:rPr>
        <w:t xml:space="preserve">ii de </w:t>
      </w:r>
      <w:r>
        <w:rPr>
          <w:rFonts w:ascii="Cambria Math" w:hAnsi="Cambria Math" w:cs="Cambria Math"/>
          <w:lang w:val="fr-FR"/>
        </w:rPr>
        <w:t>ș</w:t>
      </w:r>
      <w:r>
        <w:rPr>
          <w:lang w:val="fr-FR"/>
        </w:rPr>
        <w:t xml:space="preserve">anse </w:t>
      </w:r>
      <w:r>
        <w:rPr>
          <w:rFonts w:ascii="Cambria Math" w:hAnsi="Cambria Math" w:cs="Cambria Math"/>
          <w:lang w:val="fr-FR"/>
        </w:rPr>
        <w:t>ș</w:t>
      </w:r>
      <w:r>
        <w:rPr>
          <w:lang w:val="fr-FR"/>
        </w:rPr>
        <w:t xml:space="preserve">i de prevenire a  oricãrei discriminãri bazate pe sex, rasă sau origine etnică, religie sau credinţã, handicap, vârstă sau orientare sexuală în timpul pregătirii, proiectãrii </w:t>
      </w:r>
      <w:r>
        <w:rPr>
          <w:rFonts w:ascii="Cambria Math" w:hAnsi="Cambria Math" w:cs="Cambria Math"/>
          <w:lang w:val="fr-FR"/>
        </w:rPr>
        <w:t>ș</w:t>
      </w:r>
      <w:r>
        <w:rPr>
          <w:lang w:val="fr-FR"/>
        </w:rPr>
        <w:t xml:space="preserve">i punerii în aplicare a programului de cooperare </w:t>
      </w:r>
      <w:r>
        <w:rPr>
          <w:rFonts w:ascii="Cambria Math" w:hAnsi="Cambria Math" w:cs="Cambria Math"/>
          <w:lang w:val="fr-FR"/>
        </w:rPr>
        <w:t>ș</w:t>
      </w:r>
      <w:r>
        <w:rPr>
          <w:lang w:val="fr-FR"/>
        </w:rPr>
        <w:t>i, în special, în cadrul accesului la finan</w:t>
      </w:r>
      <w:r>
        <w:rPr>
          <w:rFonts w:ascii="Cambria Math" w:hAnsi="Cambria Math" w:cs="Cambria Math"/>
          <w:lang w:val="fr-FR"/>
        </w:rPr>
        <w:t>ț</w:t>
      </w:r>
      <w:r>
        <w:rPr>
          <w:lang w:val="fr-FR"/>
        </w:rPr>
        <w:t xml:space="preserve">are, luând în considerare nevoile diferitelor grupuri </w:t>
      </w:r>
      <w:r>
        <w:rPr>
          <w:rFonts w:ascii="Cambria Math" w:hAnsi="Cambria Math" w:cs="Cambria Math"/>
          <w:lang w:val="fr-FR"/>
        </w:rPr>
        <w:t>ț</w:t>
      </w:r>
      <w:r>
        <w:rPr>
          <w:lang w:val="fr-FR"/>
        </w:rPr>
        <w:t xml:space="preserve">intă expuse riscului unor astfel de discriminări </w:t>
      </w:r>
      <w:r>
        <w:rPr>
          <w:rFonts w:ascii="Cambria Math" w:hAnsi="Cambria Math" w:cs="Cambria Math"/>
          <w:lang w:val="fr-FR"/>
        </w:rPr>
        <w:t>ș</w:t>
      </w:r>
      <w:r>
        <w:rPr>
          <w:lang w:val="fr-FR"/>
        </w:rPr>
        <w:t>i, în special, cerin</w:t>
      </w:r>
      <w:r>
        <w:rPr>
          <w:rFonts w:ascii="Cambria Math" w:hAnsi="Cambria Math" w:cs="Cambria Math"/>
          <w:lang w:val="fr-FR"/>
        </w:rPr>
        <w:t>ț</w:t>
      </w:r>
      <w:r>
        <w:rPr>
          <w:lang w:val="fr-FR"/>
        </w:rPr>
        <w:t>ele de asigurare a accesibilită</w:t>
      </w:r>
      <w:r>
        <w:rPr>
          <w:rFonts w:ascii="Cambria Math" w:hAnsi="Cambria Math" w:cs="Cambria Math"/>
          <w:lang w:val="fr-FR"/>
        </w:rPr>
        <w:t>ț</w:t>
      </w:r>
      <w:r>
        <w:rPr>
          <w:lang w:val="fr-FR"/>
        </w:rPr>
        <w:t>ii pentru persoanele cu dizabilită</w:t>
      </w:r>
      <w:r>
        <w:rPr>
          <w:rFonts w:ascii="Cambria Math" w:hAnsi="Cambria Math" w:cs="Cambria Math"/>
          <w:lang w:val="fr-FR"/>
        </w:rPr>
        <w:t>ț</w:t>
      </w:r>
      <w:r>
        <w:rPr>
          <w:lang w:val="fr-FR"/>
        </w:rPr>
        <w:t xml:space="preserve">i. </w:t>
      </w:r>
    </w:p>
    <w:p w:rsidR="00DB39AE" w:rsidRDefault="00DB39AE" w:rsidP="00F34893">
      <w:pPr>
        <w:rPr>
          <w:lang w:val="fr-FR"/>
        </w:rPr>
      </w:pPr>
      <w:r>
        <w:rPr>
          <w:lang w:val="fr-FR"/>
        </w:rPr>
        <w:t>În conformitate cu Regulamentul privind dispozi</w:t>
      </w:r>
      <w:r>
        <w:rPr>
          <w:rFonts w:ascii="Cambria Math" w:hAnsi="Cambria Math" w:cs="Cambria Math"/>
          <w:lang w:val="fr-FR"/>
        </w:rPr>
        <w:t>ț</w:t>
      </w:r>
      <w:r>
        <w:rPr>
          <w:lang w:val="fr-FR"/>
        </w:rPr>
        <w:t xml:space="preserve">iile comune (CPR): "Statele membre </w:t>
      </w:r>
      <w:r>
        <w:rPr>
          <w:rFonts w:ascii="Cambria Math" w:hAnsi="Cambria Math" w:cs="Cambria Math"/>
          <w:lang w:val="fr-FR"/>
        </w:rPr>
        <w:t>ș</w:t>
      </w:r>
      <w:r>
        <w:rPr>
          <w:lang w:val="fr-FR"/>
        </w:rPr>
        <w:t xml:space="preserve">i Comisia iau măsurile adecvate pentru prevenirea oricărei discriminări bazate pe sex, rasă sau origine etnică, religie sau credinţã, handicap, vârstă sau orientare sexuală în timpul pregătirii </w:t>
      </w:r>
      <w:r>
        <w:rPr>
          <w:rFonts w:ascii="Cambria Math" w:hAnsi="Cambria Math" w:cs="Cambria Math"/>
          <w:lang w:val="fr-FR"/>
        </w:rPr>
        <w:t>ș</w:t>
      </w:r>
      <w:r>
        <w:rPr>
          <w:lang w:val="fr-FR"/>
        </w:rPr>
        <w:t xml:space="preserve">i punerii în aplicare a programelor ". </w:t>
      </w:r>
    </w:p>
    <w:p w:rsidR="00DB39AE" w:rsidRDefault="00DB39AE" w:rsidP="00F34893">
      <w:pPr>
        <w:rPr>
          <w:lang w:val="fr-FR"/>
        </w:rPr>
      </w:pPr>
      <w:r>
        <w:rPr>
          <w:lang w:val="fr-FR"/>
        </w:rPr>
        <w:t>Pri</w:t>
      </w:r>
      <w:r w:rsidR="00FB4891">
        <w:rPr>
          <w:lang w:val="fr-FR"/>
        </w:rPr>
        <w:t>ncipiile, atât cele privind ne</w:t>
      </w:r>
      <w:r>
        <w:rPr>
          <w:lang w:val="fr-FR"/>
        </w:rPr>
        <w:t xml:space="preserve">discriminarea, cât </w:t>
      </w:r>
      <w:r>
        <w:rPr>
          <w:rFonts w:ascii="Cambria Math" w:hAnsi="Cambria Math" w:cs="Cambria Math"/>
          <w:lang w:val="fr-FR"/>
        </w:rPr>
        <w:t>ș</w:t>
      </w:r>
      <w:r>
        <w:rPr>
          <w:lang w:val="fr-FR"/>
        </w:rPr>
        <w:t xml:space="preserve">i egalitatea de </w:t>
      </w:r>
      <w:r>
        <w:rPr>
          <w:rFonts w:ascii="Cambria Math" w:hAnsi="Cambria Math" w:cs="Cambria Math"/>
          <w:lang w:val="fr-FR"/>
        </w:rPr>
        <w:t>ș</w:t>
      </w:r>
      <w:r>
        <w:rPr>
          <w:lang w:val="fr-FR"/>
        </w:rPr>
        <w:t xml:space="preserve">anse sunt încorporate în strategiile </w:t>
      </w:r>
      <w:r>
        <w:rPr>
          <w:rFonts w:ascii="Cambria Math" w:hAnsi="Cambria Math" w:cs="Cambria Math"/>
          <w:lang w:val="fr-FR"/>
        </w:rPr>
        <w:t>ș</w:t>
      </w:r>
      <w:r>
        <w:rPr>
          <w:lang w:val="fr-FR"/>
        </w:rPr>
        <w:t>i legisla</w:t>
      </w:r>
      <w:r>
        <w:rPr>
          <w:rFonts w:ascii="Cambria Math" w:hAnsi="Cambria Math" w:cs="Cambria Math"/>
          <w:lang w:val="fr-FR"/>
        </w:rPr>
        <w:t>ț</w:t>
      </w:r>
      <w:r>
        <w:rPr>
          <w:lang w:val="fr-FR"/>
        </w:rPr>
        <w:t xml:space="preserve">ia bulgară </w:t>
      </w:r>
      <w:r>
        <w:rPr>
          <w:rFonts w:ascii="Cambria Math" w:hAnsi="Cambria Math" w:cs="Cambria Math"/>
          <w:lang w:val="fr-FR"/>
        </w:rPr>
        <w:t>ș</w:t>
      </w:r>
      <w:r>
        <w:rPr>
          <w:lang w:val="fr-FR"/>
        </w:rPr>
        <w:t>i română</w:t>
      </w:r>
      <w:r>
        <w:rPr>
          <w:rStyle w:val="FootnoteReference"/>
        </w:rPr>
        <w:footnoteReference w:id="22"/>
      </w:r>
      <w:r>
        <w:rPr>
          <w:lang w:val="fr-FR"/>
        </w:rPr>
        <w:t>, cu consecin</w:t>
      </w:r>
      <w:r>
        <w:rPr>
          <w:rFonts w:ascii="Cambria Math" w:hAnsi="Cambria Math" w:cs="Cambria Math"/>
          <w:lang w:val="fr-FR"/>
        </w:rPr>
        <w:t>ț</w:t>
      </w:r>
      <w:r>
        <w:rPr>
          <w:lang w:val="fr-FR"/>
        </w:rPr>
        <w:t>e pozitive asupra tuturor domeniilor - educa</w:t>
      </w:r>
      <w:r>
        <w:rPr>
          <w:rFonts w:ascii="Cambria Math" w:hAnsi="Cambria Math" w:cs="Cambria Math"/>
          <w:lang w:val="fr-FR"/>
        </w:rPr>
        <w:t>ț</w:t>
      </w:r>
      <w:r>
        <w:rPr>
          <w:lang w:val="fr-FR"/>
        </w:rPr>
        <w:t>ie, ocuparea for</w:t>
      </w:r>
      <w:r>
        <w:rPr>
          <w:rFonts w:ascii="Cambria Math" w:hAnsi="Cambria Math" w:cs="Cambria Math"/>
          <w:lang w:val="fr-FR"/>
        </w:rPr>
        <w:t>ț</w:t>
      </w:r>
      <w:r>
        <w:rPr>
          <w:lang w:val="fr-FR"/>
        </w:rPr>
        <w:t>ei de muncă, mediu, activită</w:t>
      </w:r>
      <w:r>
        <w:rPr>
          <w:rFonts w:ascii="Cambria Math" w:hAnsi="Cambria Math" w:cs="Cambria Math"/>
          <w:lang w:val="fr-FR"/>
        </w:rPr>
        <w:t>ț</w:t>
      </w:r>
      <w:r>
        <w:rPr>
          <w:lang w:val="fr-FR"/>
        </w:rPr>
        <w:t xml:space="preserve">i economice etc </w:t>
      </w:r>
    </w:p>
    <w:p w:rsidR="00DB39AE" w:rsidRDefault="00DB39AE" w:rsidP="00F34893">
      <w:pPr>
        <w:rPr>
          <w:lang w:val="fr-FR"/>
        </w:rPr>
      </w:pPr>
      <w:r>
        <w:rPr>
          <w:lang w:val="fr-FR"/>
        </w:rPr>
        <w:t>Programul Operaţional va lua în considerare principiile egalită</w:t>
      </w:r>
      <w:r>
        <w:rPr>
          <w:rFonts w:ascii="Cambria Math" w:hAnsi="Cambria Math" w:cs="Cambria Math"/>
          <w:lang w:val="fr-FR"/>
        </w:rPr>
        <w:t>ț</w:t>
      </w:r>
      <w:r>
        <w:rPr>
          <w:lang w:val="fr-FR"/>
        </w:rPr>
        <w:t xml:space="preserve">ii de </w:t>
      </w:r>
      <w:r>
        <w:rPr>
          <w:rFonts w:ascii="Cambria Math" w:hAnsi="Cambria Math" w:cs="Cambria Math"/>
          <w:lang w:val="fr-FR"/>
        </w:rPr>
        <w:t>ș</w:t>
      </w:r>
      <w:r>
        <w:rPr>
          <w:lang w:val="fr-FR"/>
        </w:rPr>
        <w:t xml:space="preserve">anse </w:t>
      </w:r>
      <w:r>
        <w:rPr>
          <w:rFonts w:ascii="Cambria Math" w:hAnsi="Cambria Math" w:cs="Cambria Math"/>
          <w:lang w:val="fr-FR"/>
        </w:rPr>
        <w:t>ș</w:t>
      </w:r>
      <w:r>
        <w:rPr>
          <w:lang w:val="fr-FR"/>
        </w:rPr>
        <w:t>i n</w:t>
      </w:r>
      <w:r w:rsidR="00FB4891">
        <w:rPr>
          <w:lang w:val="fr-FR"/>
        </w:rPr>
        <w:t>e</w:t>
      </w:r>
      <w:r>
        <w:rPr>
          <w:lang w:val="fr-FR"/>
        </w:rPr>
        <w:t xml:space="preserve">discriminãrii în toate etapele de punere în aplicare - pregătirea, implementarea, monitorizarea </w:t>
      </w:r>
      <w:r>
        <w:rPr>
          <w:rFonts w:ascii="Cambria Math" w:hAnsi="Cambria Math" w:cs="Cambria Math"/>
          <w:lang w:val="fr-FR"/>
        </w:rPr>
        <w:t>ș</w:t>
      </w:r>
      <w:r>
        <w:rPr>
          <w:lang w:val="fr-FR"/>
        </w:rPr>
        <w:t>i evaluarea proiectelor. Programul este extrem de preocupat de promovarea egalită</w:t>
      </w:r>
      <w:r>
        <w:rPr>
          <w:rFonts w:ascii="Cambria Math" w:hAnsi="Cambria Math" w:cs="Cambria Math"/>
          <w:lang w:val="fr-FR"/>
        </w:rPr>
        <w:t>ț</w:t>
      </w:r>
      <w:r>
        <w:rPr>
          <w:lang w:val="fr-FR"/>
        </w:rPr>
        <w:t xml:space="preserve">ii de </w:t>
      </w:r>
      <w:r>
        <w:rPr>
          <w:rFonts w:ascii="Cambria Math" w:hAnsi="Cambria Math" w:cs="Cambria Math"/>
          <w:lang w:val="fr-FR"/>
        </w:rPr>
        <w:t>ș</w:t>
      </w:r>
      <w:r>
        <w:rPr>
          <w:lang w:val="fr-FR"/>
        </w:rPr>
        <w:t xml:space="preserve">anse </w:t>
      </w:r>
      <w:r>
        <w:rPr>
          <w:rFonts w:ascii="Cambria Math" w:hAnsi="Cambria Math" w:cs="Cambria Math"/>
          <w:lang w:val="fr-FR"/>
        </w:rPr>
        <w:t>ș</w:t>
      </w:r>
      <w:r>
        <w:rPr>
          <w:lang w:val="fr-FR"/>
        </w:rPr>
        <w:t>i oportunită</w:t>
      </w:r>
      <w:r>
        <w:rPr>
          <w:rFonts w:ascii="Cambria Math" w:hAnsi="Cambria Math" w:cs="Cambria Math"/>
          <w:lang w:val="fr-FR"/>
        </w:rPr>
        <w:t>ț</w:t>
      </w:r>
      <w:r>
        <w:rPr>
          <w:lang w:val="fr-FR"/>
        </w:rPr>
        <w:t>i de a preveni orice discriminare bazată pe sex, rasă sau origine etnică, religie, handicap sau orientare sexuală. O aten</w:t>
      </w:r>
      <w:r>
        <w:rPr>
          <w:rFonts w:ascii="Cambria Math" w:hAnsi="Cambria Math" w:cs="Cambria Math"/>
          <w:lang w:val="fr-FR"/>
        </w:rPr>
        <w:t>ț</w:t>
      </w:r>
      <w:r>
        <w:rPr>
          <w:lang w:val="fr-FR"/>
        </w:rPr>
        <w:t>ie deosebită va fi acordată pentru ca nici un grup cu potenţial de risc sã nu fie discriminat, în special cei care se confruntă cu discriminări multiple (de exemplu, minorită</w:t>
      </w:r>
      <w:r>
        <w:rPr>
          <w:rFonts w:ascii="Cambria Math" w:hAnsi="Cambria Math" w:cs="Cambria Math"/>
          <w:lang w:val="fr-FR"/>
        </w:rPr>
        <w:t>ț</w:t>
      </w:r>
      <w:r>
        <w:rPr>
          <w:lang w:val="fr-FR"/>
        </w:rPr>
        <w:t>i etnice</w:t>
      </w:r>
      <w:r w:rsidR="00FB4891">
        <w:rPr>
          <w:lang w:val="fr-FR"/>
        </w:rPr>
        <w:t>,</w:t>
      </w:r>
      <w:r>
        <w:rPr>
          <w:lang w:val="fr-FR"/>
        </w:rPr>
        <w:t xml:space="preserve"> femei), precum </w:t>
      </w:r>
      <w:r>
        <w:rPr>
          <w:rFonts w:ascii="Cambria Math" w:hAnsi="Cambria Math" w:cs="Cambria Math"/>
          <w:lang w:val="fr-FR"/>
        </w:rPr>
        <w:t>ș</w:t>
      </w:r>
      <w:r>
        <w:rPr>
          <w:lang w:val="fr-FR"/>
        </w:rPr>
        <w:t>i asupra cerin</w:t>
      </w:r>
      <w:r>
        <w:rPr>
          <w:rFonts w:ascii="Cambria Math" w:hAnsi="Cambria Math" w:cs="Cambria Math"/>
          <w:lang w:val="fr-FR"/>
        </w:rPr>
        <w:t>ț</w:t>
      </w:r>
      <w:r>
        <w:rPr>
          <w:lang w:val="fr-FR"/>
        </w:rPr>
        <w:t>elor pentru asigurarea accesibilită</w:t>
      </w:r>
      <w:r>
        <w:rPr>
          <w:rFonts w:ascii="Cambria Math" w:hAnsi="Cambria Math" w:cs="Cambria Math"/>
          <w:lang w:val="fr-FR"/>
        </w:rPr>
        <w:t>ț</w:t>
      </w:r>
      <w:r>
        <w:rPr>
          <w:lang w:val="fr-FR"/>
        </w:rPr>
        <w:t>ii pentru persoanele cu dizabilită</w:t>
      </w:r>
      <w:r>
        <w:rPr>
          <w:rFonts w:ascii="Cambria Math" w:hAnsi="Cambria Math" w:cs="Cambria Math"/>
          <w:lang w:val="fr-FR"/>
        </w:rPr>
        <w:t>ț</w:t>
      </w:r>
      <w:r>
        <w:rPr>
          <w:lang w:val="fr-FR"/>
        </w:rPr>
        <w:t xml:space="preserve">i. </w:t>
      </w:r>
    </w:p>
    <w:p w:rsidR="00DB39AE" w:rsidRDefault="00DB39AE" w:rsidP="00F34893">
      <w:pPr>
        <w:rPr>
          <w:lang w:val="fr-FR"/>
        </w:rPr>
      </w:pPr>
      <w:r>
        <w:rPr>
          <w:lang w:val="fr-FR"/>
        </w:rPr>
        <w:lastRenderedPageBreak/>
        <w:t xml:space="preserve">Regiunea transfrontalieră se caracterizează prin diferenţe între zonele urbane </w:t>
      </w:r>
      <w:r>
        <w:rPr>
          <w:rFonts w:ascii="Cambria Math" w:hAnsi="Cambria Math" w:cs="Cambria Math"/>
          <w:lang w:val="fr-FR"/>
        </w:rPr>
        <w:t>ș</w:t>
      </w:r>
      <w:r>
        <w:rPr>
          <w:lang w:val="fr-FR"/>
        </w:rPr>
        <w:t>i rurale, în ceea ce prive</w:t>
      </w:r>
      <w:r>
        <w:rPr>
          <w:rFonts w:ascii="Cambria Math" w:hAnsi="Cambria Math" w:cs="Cambria Math"/>
          <w:lang w:val="fr-FR"/>
        </w:rPr>
        <w:t>ș</w:t>
      </w:r>
      <w:r>
        <w:rPr>
          <w:lang w:val="fr-FR"/>
        </w:rPr>
        <w:t xml:space="preserve">te dezvoltarea economică, inovarea, coeziunea socială </w:t>
      </w:r>
      <w:r>
        <w:rPr>
          <w:rFonts w:ascii="Cambria Math" w:hAnsi="Cambria Math" w:cs="Cambria Math"/>
          <w:lang w:val="fr-FR"/>
        </w:rPr>
        <w:t>ș</w:t>
      </w:r>
      <w:r>
        <w:rPr>
          <w:lang w:val="fr-FR"/>
        </w:rPr>
        <w:t>i accesul la serviciile publice. Prin urmare, aplicarea principiului egalită</w:t>
      </w:r>
      <w:r>
        <w:rPr>
          <w:rFonts w:ascii="Cambria Math" w:hAnsi="Cambria Math" w:cs="Cambria Math"/>
          <w:lang w:val="fr-FR"/>
        </w:rPr>
        <w:t>ț</w:t>
      </w:r>
      <w:r>
        <w:rPr>
          <w:lang w:val="fr-FR"/>
        </w:rPr>
        <w:t xml:space="preserve">ii de </w:t>
      </w:r>
      <w:r>
        <w:rPr>
          <w:rFonts w:ascii="Cambria Math" w:hAnsi="Cambria Math" w:cs="Cambria Math"/>
          <w:lang w:val="fr-FR"/>
        </w:rPr>
        <w:t>ș</w:t>
      </w:r>
      <w:r>
        <w:rPr>
          <w:lang w:val="fr-FR"/>
        </w:rPr>
        <w:t xml:space="preserve">anse </w:t>
      </w:r>
      <w:r>
        <w:rPr>
          <w:rFonts w:ascii="Cambria Math" w:hAnsi="Cambria Math" w:cs="Cambria Math"/>
          <w:lang w:val="fr-FR"/>
        </w:rPr>
        <w:t>ș</w:t>
      </w:r>
      <w:r>
        <w:rPr>
          <w:lang w:val="fr-FR"/>
        </w:rPr>
        <w:t>i a n</w:t>
      </w:r>
      <w:r w:rsidR="00FB4891">
        <w:rPr>
          <w:lang w:val="fr-FR"/>
        </w:rPr>
        <w:t>e</w:t>
      </w:r>
      <w:r>
        <w:rPr>
          <w:lang w:val="fr-FR"/>
        </w:rPr>
        <w:t>discriminãrii va contribui la nivelarea unor astfel de diferen</w:t>
      </w:r>
      <w:r>
        <w:rPr>
          <w:rFonts w:ascii="Cambria Math" w:hAnsi="Cambria Math" w:cs="Cambria Math"/>
          <w:lang w:val="fr-FR"/>
        </w:rPr>
        <w:t>ț</w:t>
      </w:r>
      <w:r>
        <w:rPr>
          <w:lang w:val="fr-FR"/>
        </w:rPr>
        <w:t>e, în domenii cum ar fi cre</w:t>
      </w:r>
      <w:r>
        <w:rPr>
          <w:rFonts w:ascii="Cambria Math" w:hAnsi="Cambria Math" w:cs="Cambria Math"/>
          <w:lang w:val="fr-FR"/>
        </w:rPr>
        <w:t>ș</w:t>
      </w:r>
      <w:r>
        <w:rPr>
          <w:lang w:val="fr-FR"/>
        </w:rPr>
        <w:t>terea economică, serviciile publice, competen</w:t>
      </w:r>
      <w:r>
        <w:rPr>
          <w:rFonts w:ascii="Cambria Math" w:hAnsi="Cambria Math" w:cs="Cambria Math"/>
          <w:lang w:val="fr-FR"/>
        </w:rPr>
        <w:t>ț</w:t>
      </w:r>
      <w:r>
        <w:rPr>
          <w:lang w:val="fr-FR"/>
        </w:rPr>
        <w:t>ele profesionale, inova</w:t>
      </w:r>
      <w:r>
        <w:rPr>
          <w:rFonts w:ascii="Cambria Math" w:hAnsi="Cambria Math" w:cs="Cambria Math"/>
          <w:lang w:val="fr-FR"/>
        </w:rPr>
        <w:t>ț</w:t>
      </w:r>
      <w:r>
        <w:rPr>
          <w:lang w:val="fr-FR"/>
        </w:rPr>
        <w:t>ia, mobilitatea for</w:t>
      </w:r>
      <w:r>
        <w:rPr>
          <w:rFonts w:ascii="Cambria Math" w:hAnsi="Cambria Math" w:cs="Cambria Math"/>
          <w:lang w:val="fr-FR"/>
        </w:rPr>
        <w:t>ț</w:t>
      </w:r>
      <w:r>
        <w:rPr>
          <w:lang w:val="fr-FR"/>
        </w:rPr>
        <w:t>ei de muncă</w:t>
      </w:r>
      <w:r w:rsidR="00FB4891">
        <w:rPr>
          <w:lang w:val="fr-FR"/>
        </w:rPr>
        <w:t>,</w:t>
      </w:r>
      <w:r>
        <w:rPr>
          <w:lang w:val="fr-FR"/>
        </w:rPr>
        <w:t xml:space="preserve"> etc</w:t>
      </w:r>
      <w:r w:rsidR="00FB4891">
        <w:rPr>
          <w:lang w:val="fr-FR"/>
        </w:rPr>
        <w:t>.</w:t>
      </w:r>
    </w:p>
    <w:p w:rsidR="00DB39AE" w:rsidRDefault="00DB39AE" w:rsidP="00F34893">
      <w:pPr>
        <w:rPr>
          <w:lang w:val="fr-FR"/>
        </w:rPr>
      </w:pPr>
      <w:r>
        <w:rPr>
          <w:lang w:val="fr-FR"/>
        </w:rPr>
        <w:t>Toate proiectele finan</w:t>
      </w:r>
      <w:r>
        <w:rPr>
          <w:rFonts w:ascii="Cambria Math" w:hAnsi="Cambria Math" w:cs="Cambria Math"/>
          <w:lang w:val="fr-FR"/>
        </w:rPr>
        <w:t>ț</w:t>
      </w:r>
      <w:r>
        <w:rPr>
          <w:lang w:val="fr-FR"/>
        </w:rPr>
        <w:t>ate prin intermediul PO vor trebui să se asigure că activită</w:t>
      </w:r>
      <w:r>
        <w:rPr>
          <w:rFonts w:ascii="Cambria Math" w:hAnsi="Cambria Math" w:cs="Cambria Math"/>
          <w:lang w:val="fr-FR"/>
        </w:rPr>
        <w:t>ț</w:t>
      </w:r>
      <w:r>
        <w:rPr>
          <w:lang w:val="fr-FR"/>
        </w:rPr>
        <w:t>ile implementate sunt în conformitate cu principiul egalită</w:t>
      </w:r>
      <w:r>
        <w:rPr>
          <w:rFonts w:ascii="Cambria Math" w:hAnsi="Cambria Math" w:cs="Cambria Math"/>
          <w:lang w:val="fr-FR"/>
        </w:rPr>
        <w:t>ț</w:t>
      </w:r>
      <w:r>
        <w:rPr>
          <w:lang w:val="fr-FR"/>
        </w:rPr>
        <w:t xml:space="preserve">ii de </w:t>
      </w:r>
      <w:r>
        <w:rPr>
          <w:rFonts w:ascii="Cambria Math" w:hAnsi="Cambria Math" w:cs="Cambria Math"/>
          <w:lang w:val="fr-FR"/>
        </w:rPr>
        <w:t>ș</w:t>
      </w:r>
      <w:r>
        <w:rPr>
          <w:lang w:val="fr-FR"/>
        </w:rPr>
        <w:t xml:space="preserve">anse </w:t>
      </w:r>
      <w:r>
        <w:rPr>
          <w:rFonts w:ascii="Cambria Math" w:hAnsi="Cambria Math" w:cs="Cambria Math"/>
          <w:lang w:val="fr-FR"/>
        </w:rPr>
        <w:t>ș</w:t>
      </w:r>
      <w:r>
        <w:rPr>
          <w:lang w:val="fr-FR"/>
        </w:rPr>
        <w:t>i nu generează discriminare. Obliga</w:t>
      </w:r>
      <w:r>
        <w:rPr>
          <w:rFonts w:ascii="Cambria Math" w:hAnsi="Cambria Math" w:cs="Cambria Math"/>
          <w:lang w:val="fr-FR"/>
        </w:rPr>
        <w:t>ț</w:t>
      </w:r>
      <w:r>
        <w:rPr>
          <w:lang w:val="fr-FR"/>
        </w:rPr>
        <w:t xml:space="preserve">ia de a respecta normele comunitare ale politicilor orizontale, cum ar fi egalitatea de </w:t>
      </w:r>
      <w:r>
        <w:rPr>
          <w:rFonts w:ascii="Cambria Math" w:hAnsi="Cambria Math" w:cs="Cambria Math"/>
          <w:lang w:val="fr-FR"/>
        </w:rPr>
        <w:t>ș</w:t>
      </w:r>
      <w:r>
        <w:rPr>
          <w:lang w:val="fr-FR"/>
        </w:rPr>
        <w:t xml:space="preserve">anse vor fi luate în considerare de către toate proiectele propuse. </w:t>
      </w:r>
    </w:p>
    <w:p w:rsidR="00DB39AE" w:rsidRDefault="00DB39AE" w:rsidP="00F34893">
      <w:pPr>
        <w:rPr>
          <w:lang w:val="fr-FR"/>
        </w:rPr>
      </w:pPr>
      <w:r>
        <w:rPr>
          <w:lang w:val="fr-FR"/>
        </w:rPr>
        <w:t>Prin procesul de selec</w:t>
      </w:r>
      <w:r>
        <w:rPr>
          <w:rFonts w:ascii="Cambria Math" w:hAnsi="Cambria Math" w:cs="Cambria Math"/>
          <w:lang w:val="fr-FR"/>
        </w:rPr>
        <w:t>ț</w:t>
      </w:r>
      <w:r>
        <w:rPr>
          <w:lang w:val="fr-FR"/>
        </w:rPr>
        <w:t>ie, toate propunerile de proiecte care prevăd ac</w:t>
      </w:r>
      <w:r>
        <w:rPr>
          <w:rFonts w:ascii="Cambria Math" w:hAnsi="Cambria Math" w:cs="Cambria Math"/>
          <w:lang w:val="fr-FR"/>
        </w:rPr>
        <w:t>ț</w:t>
      </w:r>
      <w:r>
        <w:rPr>
          <w:lang w:val="fr-FR"/>
        </w:rPr>
        <w:t>iuni cu consecin</w:t>
      </w:r>
      <w:r>
        <w:rPr>
          <w:rFonts w:ascii="Cambria Math" w:hAnsi="Cambria Math" w:cs="Cambria Math"/>
          <w:lang w:val="fr-FR"/>
        </w:rPr>
        <w:t>ț</w:t>
      </w:r>
      <w:r>
        <w:rPr>
          <w:lang w:val="fr-FR"/>
        </w:rPr>
        <w:t xml:space="preserve">e negative pentru egalitate </w:t>
      </w:r>
      <w:r>
        <w:rPr>
          <w:rFonts w:ascii="Cambria Math" w:hAnsi="Cambria Math" w:cs="Cambria Math"/>
          <w:lang w:val="fr-FR"/>
        </w:rPr>
        <w:t>ș</w:t>
      </w:r>
      <w:r>
        <w:rPr>
          <w:lang w:val="fr-FR"/>
        </w:rPr>
        <w:t>i n</w:t>
      </w:r>
      <w:r w:rsidR="0087741A">
        <w:rPr>
          <w:lang w:val="fr-FR"/>
        </w:rPr>
        <w:t>e</w:t>
      </w:r>
      <w:r>
        <w:rPr>
          <w:lang w:val="fr-FR"/>
        </w:rPr>
        <w:t>discriminare nu vor fi înaintate pentru selec</w:t>
      </w:r>
      <w:r>
        <w:rPr>
          <w:rFonts w:ascii="Cambria Math" w:hAnsi="Cambria Math" w:cs="Cambria Math"/>
          <w:lang w:val="fr-FR"/>
        </w:rPr>
        <w:t>ț</w:t>
      </w:r>
      <w:r>
        <w:rPr>
          <w:lang w:val="fr-FR"/>
        </w:rPr>
        <w:t>ie de cãtre CM. Prin urmare, proiectele propuse sunt încurajate să prevadă măsuri îndreptate spre reducerea disparită</w:t>
      </w:r>
      <w:r>
        <w:rPr>
          <w:rFonts w:ascii="Cambria Math" w:hAnsi="Cambria Math" w:cs="Cambria Math"/>
          <w:lang w:val="fr-FR"/>
        </w:rPr>
        <w:t>ț</w:t>
      </w:r>
      <w:r>
        <w:rPr>
          <w:lang w:val="fr-FR"/>
        </w:rPr>
        <w:t xml:space="preserve">ilor </w:t>
      </w:r>
      <w:r>
        <w:rPr>
          <w:rFonts w:ascii="Cambria Math" w:hAnsi="Cambria Math" w:cs="Cambria Math"/>
          <w:lang w:val="fr-FR"/>
        </w:rPr>
        <w:t>ș</w:t>
      </w:r>
      <w:r>
        <w:rPr>
          <w:lang w:val="fr-FR"/>
        </w:rPr>
        <w:t xml:space="preserve">i asigurarea de tratamente egale pentru toate grupurile </w:t>
      </w:r>
      <w:r>
        <w:rPr>
          <w:rFonts w:ascii="Cambria Math" w:hAnsi="Cambria Math" w:cs="Cambria Math"/>
          <w:lang w:val="fr-FR"/>
        </w:rPr>
        <w:t>ș</w:t>
      </w:r>
      <w:r>
        <w:rPr>
          <w:lang w:val="fr-FR"/>
        </w:rPr>
        <w:t>i comunită</w:t>
      </w:r>
      <w:r>
        <w:rPr>
          <w:rFonts w:ascii="Cambria Math" w:hAnsi="Cambria Math" w:cs="Cambria Math"/>
          <w:lang w:val="fr-FR"/>
        </w:rPr>
        <w:t>ț</w:t>
      </w:r>
      <w:r>
        <w:rPr>
          <w:lang w:val="fr-FR"/>
        </w:rPr>
        <w:t xml:space="preserve">ile. </w:t>
      </w:r>
    </w:p>
    <w:p w:rsidR="00DB39AE" w:rsidRDefault="00DB39AE" w:rsidP="00F34893">
      <w:pPr>
        <w:rPr>
          <w:lang w:val="fr-FR"/>
        </w:rPr>
      </w:pPr>
      <w:r>
        <w:rPr>
          <w:lang w:val="fr-FR"/>
        </w:rPr>
        <w:t>Viitorii beneficiari vor trebui să explice contribu</w:t>
      </w:r>
      <w:r>
        <w:rPr>
          <w:rFonts w:ascii="Cambria Math" w:hAnsi="Cambria Math" w:cs="Cambria Math"/>
          <w:lang w:val="fr-FR"/>
        </w:rPr>
        <w:t>ț</w:t>
      </w:r>
      <w:r>
        <w:rPr>
          <w:lang w:val="fr-FR"/>
        </w:rPr>
        <w:t>ia lor poten</w:t>
      </w:r>
      <w:r>
        <w:rPr>
          <w:rFonts w:ascii="Cambria Math" w:hAnsi="Cambria Math" w:cs="Cambria Math"/>
          <w:lang w:val="fr-FR"/>
        </w:rPr>
        <w:t>ț</w:t>
      </w:r>
      <w:r>
        <w:rPr>
          <w:lang w:val="fr-FR"/>
        </w:rPr>
        <w:t xml:space="preserve">ială la egalitatea de </w:t>
      </w:r>
      <w:r>
        <w:rPr>
          <w:rFonts w:ascii="Cambria Math" w:hAnsi="Cambria Math" w:cs="Cambria Math"/>
          <w:lang w:val="fr-FR"/>
        </w:rPr>
        <w:t>ș</w:t>
      </w:r>
      <w:r>
        <w:rPr>
          <w:lang w:val="fr-FR"/>
        </w:rPr>
        <w:t xml:space="preserve">anse </w:t>
      </w:r>
      <w:r>
        <w:rPr>
          <w:rFonts w:ascii="Cambria Math" w:hAnsi="Cambria Math" w:cs="Cambria Math"/>
          <w:lang w:val="fr-FR"/>
        </w:rPr>
        <w:t>ș</w:t>
      </w:r>
      <w:r>
        <w:rPr>
          <w:lang w:val="fr-FR"/>
        </w:rPr>
        <w:t>i n</w:t>
      </w:r>
      <w:r w:rsidR="0087741A">
        <w:rPr>
          <w:lang w:val="fr-FR"/>
        </w:rPr>
        <w:t>e</w:t>
      </w:r>
      <w:r>
        <w:rPr>
          <w:lang w:val="fr-FR"/>
        </w:rPr>
        <w:t xml:space="preserve">discriminare – modul în care egalitatea </w:t>
      </w:r>
      <w:r>
        <w:rPr>
          <w:rFonts w:ascii="Cambria Math" w:hAnsi="Cambria Math" w:cs="Cambria Math"/>
          <w:lang w:val="fr-FR"/>
        </w:rPr>
        <w:t>ș</w:t>
      </w:r>
      <w:r>
        <w:rPr>
          <w:lang w:val="fr-FR"/>
        </w:rPr>
        <w:t xml:space="preserve">anselor este ancoratã în cadrul proiectului specific </w:t>
      </w:r>
      <w:r>
        <w:rPr>
          <w:rFonts w:ascii="Cambria Math" w:hAnsi="Cambria Math" w:cs="Cambria Math"/>
          <w:lang w:val="fr-FR"/>
        </w:rPr>
        <w:t>ș</w:t>
      </w:r>
      <w:r>
        <w:rPr>
          <w:lang w:val="fr-FR"/>
        </w:rPr>
        <w:t>i a activită</w:t>
      </w:r>
      <w:r>
        <w:rPr>
          <w:rFonts w:ascii="Cambria Math" w:hAnsi="Cambria Math" w:cs="Cambria Math"/>
          <w:lang w:val="fr-FR"/>
        </w:rPr>
        <w:t>ț</w:t>
      </w:r>
      <w:r>
        <w:rPr>
          <w:lang w:val="fr-FR"/>
        </w:rPr>
        <w:t>ilor sale planificate. Solicitan</w:t>
      </w:r>
      <w:r>
        <w:rPr>
          <w:rFonts w:ascii="Cambria Math" w:hAnsi="Cambria Math" w:cs="Cambria Math"/>
          <w:lang w:val="fr-FR"/>
        </w:rPr>
        <w:t>ț</w:t>
      </w:r>
      <w:r>
        <w:rPr>
          <w:lang w:val="fr-FR"/>
        </w:rPr>
        <w:t>ii vor trebui să demonstreze modul în care acestea sunt  planificate pentru a consolida competen</w:t>
      </w:r>
      <w:r>
        <w:rPr>
          <w:rFonts w:ascii="Cambria Math" w:hAnsi="Cambria Math" w:cs="Cambria Math"/>
          <w:lang w:val="fr-FR"/>
        </w:rPr>
        <w:t>ț</w:t>
      </w:r>
      <w:r>
        <w:rPr>
          <w:lang w:val="fr-FR"/>
        </w:rPr>
        <w:t xml:space="preserve">ele </w:t>
      </w:r>
      <w:r>
        <w:rPr>
          <w:rFonts w:ascii="Cambria Math" w:hAnsi="Cambria Math" w:cs="Cambria Math"/>
          <w:lang w:val="fr-FR"/>
        </w:rPr>
        <w:t>ș</w:t>
      </w:r>
      <w:r>
        <w:rPr>
          <w:lang w:val="fr-FR"/>
        </w:rPr>
        <w:t>i abilită</w:t>
      </w:r>
      <w:r>
        <w:rPr>
          <w:rFonts w:ascii="Cambria Math" w:hAnsi="Cambria Math" w:cs="Cambria Math"/>
          <w:lang w:val="fr-FR"/>
        </w:rPr>
        <w:t>ț</w:t>
      </w:r>
      <w:r>
        <w:rPr>
          <w:lang w:val="fr-FR"/>
        </w:rPr>
        <w:t>ile, sã promoveze ocuparea for</w:t>
      </w:r>
      <w:r>
        <w:rPr>
          <w:rFonts w:ascii="Cambria Math" w:hAnsi="Cambria Math" w:cs="Cambria Math"/>
          <w:lang w:val="fr-FR"/>
        </w:rPr>
        <w:t>ț</w:t>
      </w:r>
      <w:r>
        <w:rPr>
          <w:lang w:val="fr-FR"/>
        </w:rPr>
        <w:t xml:space="preserve">ei de muncă </w:t>
      </w:r>
      <w:r>
        <w:rPr>
          <w:rFonts w:ascii="Cambria Math" w:hAnsi="Cambria Math" w:cs="Cambria Math"/>
          <w:lang w:val="fr-FR"/>
        </w:rPr>
        <w:t>ș</w:t>
      </w:r>
      <w:r>
        <w:rPr>
          <w:lang w:val="fr-FR"/>
        </w:rPr>
        <w:t>i a mobilită</w:t>
      </w:r>
      <w:r>
        <w:rPr>
          <w:rFonts w:ascii="Cambria Math" w:hAnsi="Cambria Math" w:cs="Cambria Math"/>
          <w:lang w:val="fr-FR"/>
        </w:rPr>
        <w:t>ț</w:t>
      </w:r>
      <w:r>
        <w:rPr>
          <w:lang w:val="fr-FR"/>
        </w:rPr>
        <w:t>ii for</w:t>
      </w:r>
      <w:r>
        <w:rPr>
          <w:rFonts w:ascii="Cambria Math" w:hAnsi="Cambria Math" w:cs="Cambria Math"/>
          <w:lang w:val="fr-FR"/>
        </w:rPr>
        <w:t>ț</w:t>
      </w:r>
      <w:r>
        <w:rPr>
          <w:lang w:val="fr-FR"/>
        </w:rPr>
        <w:t xml:space="preserve">ei de muncă </w:t>
      </w:r>
      <w:r>
        <w:rPr>
          <w:rFonts w:ascii="Cambria Math" w:hAnsi="Cambria Math" w:cs="Cambria Math"/>
          <w:lang w:val="fr-FR"/>
        </w:rPr>
        <w:t>ș</w:t>
      </w:r>
      <w:r>
        <w:rPr>
          <w:lang w:val="fr-FR"/>
        </w:rPr>
        <w:t>i, în acela</w:t>
      </w:r>
      <w:r>
        <w:rPr>
          <w:rFonts w:ascii="Cambria Math" w:hAnsi="Cambria Math" w:cs="Cambria Math"/>
          <w:lang w:val="fr-FR"/>
        </w:rPr>
        <w:t>ș</w:t>
      </w:r>
      <w:r>
        <w:rPr>
          <w:lang w:val="fr-FR"/>
        </w:rPr>
        <w:t>i timp, să promoveze principiul egalită</w:t>
      </w:r>
      <w:r>
        <w:rPr>
          <w:rFonts w:ascii="Cambria Math" w:hAnsi="Cambria Math" w:cs="Cambria Math"/>
          <w:lang w:val="fr-FR"/>
        </w:rPr>
        <w:t>ț</w:t>
      </w:r>
      <w:r>
        <w:rPr>
          <w:lang w:val="fr-FR"/>
        </w:rPr>
        <w:t xml:space="preserve">ii de </w:t>
      </w:r>
      <w:r>
        <w:rPr>
          <w:rFonts w:ascii="Cambria Math" w:hAnsi="Cambria Math" w:cs="Cambria Math"/>
          <w:lang w:val="fr-FR"/>
        </w:rPr>
        <w:t>ș</w:t>
      </w:r>
      <w:r>
        <w:rPr>
          <w:lang w:val="fr-FR"/>
        </w:rPr>
        <w:t xml:space="preserve">anse </w:t>
      </w:r>
      <w:r>
        <w:rPr>
          <w:rFonts w:ascii="Cambria Math" w:hAnsi="Cambria Math" w:cs="Cambria Math"/>
          <w:lang w:val="fr-FR"/>
        </w:rPr>
        <w:t>ș</w:t>
      </w:r>
      <w:r>
        <w:rPr>
          <w:lang w:val="fr-FR"/>
        </w:rPr>
        <w:t>i n</w:t>
      </w:r>
      <w:r w:rsidR="0087741A">
        <w:rPr>
          <w:lang w:val="fr-FR"/>
        </w:rPr>
        <w:t>e</w:t>
      </w:r>
      <w:r>
        <w:rPr>
          <w:lang w:val="fr-FR"/>
        </w:rPr>
        <w:t xml:space="preserve">discriminare în rândul grupurilor </w:t>
      </w:r>
      <w:r>
        <w:rPr>
          <w:rFonts w:ascii="Cambria Math" w:hAnsi="Cambria Math" w:cs="Cambria Math"/>
          <w:lang w:val="fr-FR"/>
        </w:rPr>
        <w:t>ț</w:t>
      </w:r>
      <w:r>
        <w:rPr>
          <w:lang w:val="fr-FR"/>
        </w:rPr>
        <w:t>intă.</w:t>
      </w:r>
      <w:r w:rsidR="0087741A">
        <w:rPr>
          <w:lang w:val="fr-FR"/>
        </w:rPr>
        <w:t xml:space="preserve"> Aceș</w:t>
      </w:r>
      <w:r>
        <w:rPr>
          <w:lang w:val="fr-FR"/>
        </w:rPr>
        <w:t>t</w:t>
      </w:r>
      <w:r w:rsidR="0087741A">
        <w:rPr>
          <w:lang w:val="fr-FR"/>
        </w:rPr>
        <w:t>i</w:t>
      </w:r>
      <w:r>
        <w:rPr>
          <w:lang w:val="fr-FR"/>
        </w:rPr>
        <w:t xml:space="preserve">a vor furniza, </w:t>
      </w:r>
      <w:proofErr w:type="gramStart"/>
      <w:r>
        <w:rPr>
          <w:lang w:val="fr-FR"/>
        </w:rPr>
        <w:t>de asemenea</w:t>
      </w:r>
      <w:proofErr w:type="gramEnd"/>
      <w:r>
        <w:rPr>
          <w:lang w:val="fr-FR"/>
        </w:rPr>
        <w:t>, date privind participan</w:t>
      </w:r>
      <w:r>
        <w:rPr>
          <w:rFonts w:ascii="Cambria Math" w:hAnsi="Cambria Math" w:cs="Cambria Math"/>
          <w:lang w:val="fr-FR"/>
        </w:rPr>
        <w:t>ț</w:t>
      </w:r>
      <w:r>
        <w:rPr>
          <w:lang w:val="fr-FR"/>
        </w:rPr>
        <w:t>ii în func</w:t>
      </w:r>
      <w:r>
        <w:rPr>
          <w:rFonts w:ascii="Cambria Math" w:hAnsi="Cambria Math" w:cs="Cambria Math"/>
          <w:lang w:val="fr-FR"/>
        </w:rPr>
        <w:t>ț</w:t>
      </w:r>
      <w:r>
        <w:rPr>
          <w:lang w:val="fr-FR"/>
        </w:rPr>
        <w:t>ie de sex, vârstă, statutul încadrãrii în muncă, educa</w:t>
      </w:r>
      <w:r>
        <w:rPr>
          <w:rFonts w:ascii="Cambria Math" w:hAnsi="Cambria Math" w:cs="Cambria Math"/>
          <w:lang w:val="fr-FR"/>
        </w:rPr>
        <w:t>ț</w:t>
      </w:r>
      <w:r>
        <w:rPr>
          <w:lang w:val="fr-FR"/>
        </w:rPr>
        <w:t xml:space="preserve">ie </w:t>
      </w:r>
      <w:r>
        <w:rPr>
          <w:rFonts w:ascii="Cambria Math" w:hAnsi="Cambria Math" w:cs="Cambria Math"/>
          <w:lang w:val="fr-FR"/>
        </w:rPr>
        <w:t>ș</w:t>
      </w:r>
      <w:r>
        <w:rPr>
          <w:lang w:val="fr-FR"/>
        </w:rPr>
        <w:t>i handicap. Dacă cererea este sus</w:t>
      </w:r>
      <w:r>
        <w:rPr>
          <w:rFonts w:ascii="Cambria Math" w:hAnsi="Cambria Math" w:cs="Cambria Math"/>
          <w:lang w:val="fr-FR"/>
        </w:rPr>
        <w:t>ț</w:t>
      </w:r>
      <w:r>
        <w:rPr>
          <w:lang w:val="fr-FR"/>
        </w:rPr>
        <w:t>inută de o contribu</w:t>
      </w:r>
      <w:r>
        <w:rPr>
          <w:rFonts w:ascii="Cambria Math" w:hAnsi="Cambria Math" w:cs="Cambria Math"/>
          <w:lang w:val="fr-FR"/>
        </w:rPr>
        <w:t>ț</w:t>
      </w:r>
      <w:r>
        <w:rPr>
          <w:lang w:val="fr-FR"/>
        </w:rPr>
        <w:t xml:space="preserve">ie importantã pentru egalitatea de </w:t>
      </w:r>
      <w:r>
        <w:rPr>
          <w:rFonts w:ascii="Cambria Math" w:hAnsi="Cambria Math" w:cs="Cambria Math"/>
          <w:lang w:val="fr-FR"/>
        </w:rPr>
        <w:t>ș</w:t>
      </w:r>
      <w:r>
        <w:rPr>
          <w:lang w:val="fr-FR"/>
        </w:rPr>
        <w:t xml:space="preserve">anse, aceasta va primi un punct bonus în timpul procesului </w:t>
      </w:r>
      <w:proofErr w:type="gramStart"/>
      <w:r>
        <w:rPr>
          <w:lang w:val="fr-FR"/>
        </w:rPr>
        <w:t>de evaluare</w:t>
      </w:r>
      <w:proofErr w:type="gramEnd"/>
      <w:r>
        <w:rPr>
          <w:lang w:val="fr-FR"/>
        </w:rPr>
        <w:t xml:space="preserve">. </w:t>
      </w:r>
    </w:p>
    <w:p w:rsidR="00DB39AE" w:rsidRDefault="00DB39AE" w:rsidP="00F34893">
      <w:pPr>
        <w:rPr>
          <w:lang w:val="fr-FR"/>
        </w:rPr>
      </w:pPr>
      <w:r>
        <w:rPr>
          <w:lang w:val="fr-FR"/>
        </w:rPr>
        <w:t>Toate ac</w:t>
      </w:r>
      <w:r>
        <w:rPr>
          <w:rFonts w:ascii="Cambria Math" w:hAnsi="Cambria Math" w:cs="Cambria Math"/>
          <w:lang w:val="fr-FR"/>
        </w:rPr>
        <w:t>ț</w:t>
      </w:r>
      <w:r>
        <w:rPr>
          <w:lang w:val="fr-FR"/>
        </w:rPr>
        <w:t xml:space="preserve">iunile de mai sus vor fi monitorizate prin raportare în rapoartele de progres. </w:t>
      </w:r>
    </w:p>
    <w:p w:rsidR="00DB39AE" w:rsidRDefault="00DB39AE" w:rsidP="00F34893">
      <w:pPr>
        <w:rPr>
          <w:lang w:val="fr-FR"/>
        </w:rPr>
      </w:pPr>
      <w:r>
        <w:rPr>
          <w:lang w:val="fr-FR"/>
        </w:rPr>
        <w:t xml:space="preserve">În domeniile de monitorizare </w:t>
      </w:r>
      <w:r>
        <w:rPr>
          <w:rFonts w:ascii="Cambria Math" w:hAnsi="Cambria Math" w:cs="Cambria Math"/>
          <w:lang w:val="fr-FR"/>
        </w:rPr>
        <w:t>ș</w:t>
      </w:r>
      <w:r>
        <w:rPr>
          <w:lang w:val="fr-FR"/>
        </w:rPr>
        <w:t>i evaluare, se acordă aten</w:t>
      </w:r>
      <w:r>
        <w:rPr>
          <w:rFonts w:ascii="Cambria Math" w:hAnsi="Cambria Math" w:cs="Cambria Math"/>
          <w:lang w:val="fr-FR"/>
        </w:rPr>
        <w:t>ț</w:t>
      </w:r>
      <w:r>
        <w:rPr>
          <w:lang w:val="fr-FR"/>
        </w:rPr>
        <w:t>ie egalită</w:t>
      </w:r>
      <w:r>
        <w:rPr>
          <w:rFonts w:ascii="Cambria Math" w:hAnsi="Cambria Math" w:cs="Cambria Math"/>
          <w:lang w:val="fr-FR"/>
        </w:rPr>
        <w:t>ț</w:t>
      </w:r>
      <w:r>
        <w:rPr>
          <w:lang w:val="fr-FR"/>
        </w:rPr>
        <w:t xml:space="preserve">ii de </w:t>
      </w:r>
      <w:r>
        <w:rPr>
          <w:rFonts w:ascii="Cambria Math" w:hAnsi="Cambria Math" w:cs="Cambria Math"/>
          <w:lang w:val="fr-FR"/>
        </w:rPr>
        <w:t>ș</w:t>
      </w:r>
      <w:r>
        <w:rPr>
          <w:lang w:val="fr-FR"/>
        </w:rPr>
        <w:t xml:space="preserve">anse </w:t>
      </w:r>
      <w:r>
        <w:rPr>
          <w:rFonts w:ascii="Cambria Math" w:hAnsi="Cambria Math" w:cs="Cambria Math"/>
          <w:lang w:val="fr-FR"/>
        </w:rPr>
        <w:t>ș</w:t>
      </w:r>
      <w:r w:rsidR="0087741A">
        <w:rPr>
          <w:lang w:val="fr-FR"/>
        </w:rPr>
        <w:t>i a indicatorilor  ne</w:t>
      </w:r>
      <w:r>
        <w:rPr>
          <w:lang w:val="fr-FR"/>
        </w:rPr>
        <w:t>discriminãrii. Includerea păr</w:t>
      </w:r>
      <w:r>
        <w:rPr>
          <w:rFonts w:ascii="Cambria Math" w:hAnsi="Cambria Math" w:cs="Cambria Math"/>
          <w:lang w:val="fr-FR"/>
        </w:rPr>
        <w:t>ț</w:t>
      </w:r>
      <w:r>
        <w:rPr>
          <w:lang w:val="fr-FR"/>
        </w:rPr>
        <w:t xml:space="preserve">ilor interesate relevante în comitetele de monitorizare </w:t>
      </w:r>
      <w:r>
        <w:rPr>
          <w:rFonts w:ascii="Cambria Math" w:hAnsi="Cambria Math" w:cs="Cambria Math"/>
          <w:lang w:val="fr-FR"/>
        </w:rPr>
        <w:t>ș</w:t>
      </w:r>
      <w:r>
        <w:rPr>
          <w:lang w:val="fr-FR"/>
        </w:rPr>
        <w:t>i implicarea grupurilor poten</w:t>
      </w:r>
      <w:r>
        <w:rPr>
          <w:rFonts w:ascii="Cambria Math" w:hAnsi="Cambria Math" w:cs="Cambria Math"/>
          <w:lang w:val="fr-FR"/>
        </w:rPr>
        <w:t>ț</w:t>
      </w:r>
      <w:r>
        <w:rPr>
          <w:lang w:val="fr-FR"/>
        </w:rPr>
        <w:t>ial discriminate ar trebui să fie luate în considerare în activită</w:t>
      </w:r>
      <w:r>
        <w:rPr>
          <w:rFonts w:ascii="Cambria Math" w:hAnsi="Cambria Math" w:cs="Cambria Math"/>
          <w:lang w:val="fr-FR"/>
        </w:rPr>
        <w:t>ț</w:t>
      </w:r>
      <w:r>
        <w:rPr>
          <w:lang w:val="fr-FR"/>
        </w:rPr>
        <w:t xml:space="preserve">ile de evaluare. </w:t>
      </w:r>
    </w:p>
    <w:p w:rsidR="00DB39AE" w:rsidRDefault="00DB39AE" w:rsidP="00F34893">
      <w:pPr>
        <w:rPr>
          <w:lang w:val="fr-FR"/>
        </w:rPr>
      </w:pPr>
      <w:r>
        <w:rPr>
          <w:lang w:val="fr-FR"/>
        </w:rPr>
        <w:t xml:space="preserve">Secretariatul comun va oferi îndrumări cu privire la modul de abordare </w:t>
      </w:r>
      <w:proofErr w:type="gramStart"/>
      <w:r>
        <w:rPr>
          <w:lang w:val="fr-FR"/>
        </w:rPr>
        <w:t>a</w:t>
      </w:r>
      <w:proofErr w:type="gramEnd"/>
      <w:r>
        <w:rPr>
          <w:lang w:val="fr-FR"/>
        </w:rPr>
        <w:t xml:space="preserve"> acestor principii orizontale (de exemplu, ateliere de lucru pentru grupurile vulnerabile </w:t>
      </w:r>
      <w:r>
        <w:rPr>
          <w:rFonts w:ascii="Cambria Math" w:hAnsi="Cambria Math" w:cs="Cambria Math"/>
          <w:lang w:val="fr-FR"/>
        </w:rPr>
        <w:t>ș</w:t>
      </w:r>
      <w:r>
        <w:rPr>
          <w:lang w:val="fr-FR"/>
        </w:rPr>
        <w:t>i defavorizate).</w:t>
      </w:r>
    </w:p>
    <w:p w:rsidR="00DB39AE" w:rsidRDefault="00DB39AE" w:rsidP="00DB39AE">
      <w:pPr>
        <w:rPr>
          <w:lang w:val="fr-FR"/>
        </w:rPr>
      </w:pPr>
    </w:p>
    <w:p w:rsidR="00DB39AE" w:rsidRPr="002D1DA6" w:rsidRDefault="00F34893" w:rsidP="00F34893">
      <w:pPr>
        <w:pStyle w:val="Heading2"/>
        <w:rPr>
          <w:lang w:val="fr-FR"/>
        </w:rPr>
      </w:pPr>
      <w:bookmarkStart w:id="197" w:name="_Toc394837908"/>
      <w:r>
        <w:rPr>
          <w:lang w:val="fr-FR"/>
        </w:rPr>
        <w:t>8.3. Egalitatea de gen</w:t>
      </w:r>
      <w:bookmarkEnd w:id="197"/>
    </w:p>
    <w:p w:rsidR="00DB39AE" w:rsidRDefault="00DB39AE" w:rsidP="00F34893">
      <w:pPr>
        <w:rPr>
          <w:lang w:val="fr-FR"/>
        </w:rPr>
      </w:pPr>
      <w:r>
        <w:rPr>
          <w:lang w:val="fr-FR"/>
        </w:rPr>
        <w:t>Datorită condi</w:t>
      </w:r>
      <w:r>
        <w:rPr>
          <w:rFonts w:ascii="Cambria Math" w:hAnsi="Cambria Math" w:cs="Cambria Math"/>
          <w:lang w:val="fr-FR"/>
        </w:rPr>
        <w:t>ț</w:t>
      </w:r>
      <w:r>
        <w:rPr>
          <w:lang w:val="fr-FR"/>
        </w:rPr>
        <w:t>iilor-cadru sociale, femeile au un rol mai pu</w:t>
      </w:r>
      <w:r>
        <w:rPr>
          <w:rFonts w:ascii="Cambria Math" w:hAnsi="Cambria Math" w:cs="Cambria Math"/>
          <w:lang w:val="fr-FR"/>
        </w:rPr>
        <w:t>ț</w:t>
      </w:r>
      <w:r>
        <w:rPr>
          <w:lang w:val="fr-FR"/>
        </w:rPr>
        <w:t>in activ în via</w:t>
      </w:r>
      <w:r>
        <w:rPr>
          <w:rFonts w:ascii="Cambria Math" w:hAnsi="Cambria Math" w:cs="Cambria Math"/>
          <w:lang w:val="fr-FR"/>
        </w:rPr>
        <w:t>ț</w:t>
      </w:r>
      <w:r>
        <w:rPr>
          <w:lang w:val="fr-FR"/>
        </w:rPr>
        <w:t xml:space="preserve">a economică </w:t>
      </w:r>
      <w:r>
        <w:rPr>
          <w:rFonts w:ascii="Cambria Math" w:hAnsi="Cambria Math" w:cs="Cambria Math"/>
          <w:lang w:val="fr-FR"/>
        </w:rPr>
        <w:t>ș</w:t>
      </w:r>
      <w:r>
        <w:rPr>
          <w:lang w:val="fr-FR"/>
        </w:rPr>
        <w:t>i socială decât bărba</w:t>
      </w:r>
      <w:r>
        <w:rPr>
          <w:rFonts w:ascii="Cambria Math" w:hAnsi="Cambria Math" w:cs="Cambria Math"/>
          <w:lang w:val="fr-FR"/>
        </w:rPr>
        <w:t>ț</w:t>
      </w:r>
      <w:r>
        <w:rPr>
          <w:lang w:val="fr-FR"/>
        </w:rPr>
        <w:t>ii. Chiar dacă prezentul Program nu elimină diferen</w:t>
      </w:r>
      <w:r>
        <w:rPr>
          <w:rFonts w:ascii="Cambria Math" w:hAnsi="Cambria Math" w:cs="Cambria Math"/>
          <w:lang w:val="fr-FR"/>
        </w:rPr>
        <w:t>ț</w:t>
      </w:r>
      <w:r>
        <w:rPr>
          <w:lang w:val="fr-FR"/>
        </w:rPr>
        <w:t>ele în termeni</w:t>
      </w:r>
      <w:r w:rsidR="0087741A">
        <w:rPr>
          <w:lang w:val="fr-FR"/>
        </w:rPr>
        <w:t xml:space="preserve"> de</w:t>
      </w:r>
      <w:r>
        <w:rPr>
          <w:lang w:val="fr-FR"/>
        </w:rPr>
        <w:t xml:space="preserve"> locuri de muncă </w:t>
      </w:r>
      <w:r>
        <w:rPr>
          <w:rFonts w:ascii="Cambria Math" w:hAnsi="Cambria Math" w:cs="Cambria Math"/>
          <w:lang w:val="fr-FR"/>
        </w:rPr>
        <w:t>ș</w:t>
      </w:r>
      <w:r>
        <w:rPr>
          <w:lang w:val="fr-FR"/>
        </w:rPr>
        <w:t xml:space="preserve">i </w:t>
      </w:r>
      <w:r w:rsidR="0087741A">
        <w:rPr>
          <w:lang w:val="fr-FR"/>
        </w:rPr>
        <w:t>oportunitãţi</w:t>
      </w:r>
      <w:r>
        <w:rPr>
          <w:lang w:val="fr-FR"/>
        </w:rPr>
        <w:t xml:space="preserve"> pentru venituri, precum şi în ceea ce priveşte accesul la func</w:t>
      </w:r>
      <w:r>
        <w:rPr>
          <w:rFonts w:ascii="Cambria Math" w:hAnsi="Cambria Math" w:cs="Cambria Math"/>
          <w:lang w:val="fr-FR"/>
        </w:rPr>
        <w:t>ț</w:t>
      </w:r>
      <w:r>
        <w:rPr>
          <w:lang w:val="fr-FR"/>
        </w:rPr>
        <w:t xml:space="preserve">iile sociale </w:t>
      </w:r>
      <w:r>
        <w:rPr>
          <w:rFonts w:ascii="Cambria Math" w:hAnsi="Cambria Math" w:cs="Cambria Math"/>
          <w:lang w:val="fr-FR"/>
        </w:rPr>
        <w:t>ș</w:t>
      </w:r>
      <w:r>
        <w:rPr>
          <w:lang w:val="fr-FR"/>
        </w:rPr>
        <w:t>i politice, ar trebui depuse eforturi pentru a exploata toate posibilită</w:t>
      </w:r>
      <w:r>
        <w:rPr>
          <w:rFonts w:ascii="Cambria Math" w:hAnsi="Cambria Math" w:cs="Cambria Math"/>
          <w:lang w:val="fr-FR"/>
        </w:rPr>
        <w:t>ț</w:t>
      </w:r>
      <w:r>
        <w:rPr>
          <w:lang w:val="fr-FR"/>
        </w:rPr>
        <w:t xml:space="preserve">ile oferite de program în acest sens. </w:t>
      </w:r>
    </w:p>
    <w:p w:rsidR="00DB39AE" w:rsidRDefault="00DB39AE" w:rsidP="00DB39AE">
      <w:pPr>
        <w:rPr>
          <w:lang w:val="fr-FR"/>
        </w:rPr>
      </w:pPr>
      <w:r>
        <w:rPr>
          <w:lang w:val="fr-FR"/>
        </w:rPr>
        <w:t xml:space="preserve">În conformitate cu articolul 7 din Regulamentul General, Programul se angajează "sã  previnã orice discriminare bazată pe sex, rasă sau origine etnică, religie sau credinţã, handicap, vârstă sau orientare sexuală". Pe baza problemelor concrete specifice fiecărui sex, măsurile vor fi implementate în contextul politicilor europene </w:t>
      </w:r>
      <w:r>
        <w:rPr>
          <w:rFonts w:ascii="Cambria Math" w:hAnsi="Cambria Math" w:cs="Cambria Math"/>
          <w:lang w:val="fr-FR"/>
        </w:rPr>
        <w:t>ș</w:t>
      </w:r>
      <w:r>
        <w:rPr>
          <w:lang w:val="fr-FR"/>
        </w:rPr>
        <w:t xml:space="preserve">i </w:t>
      </w:r>
      <w:r>
        <w:rPr>
          <w:lang w:val="fr-FR"/>
        </w:rPr>
        <w:lastRenderedPageBreak/>
        <w:t>na</w:t>
      </w:r>
      <w:r>
        <w:rPr>
          <w:rFonts w:ascii="Cambria Math" w:hAnsi="Cambria Math" w:cs="Cambria Math"/>
          <w:lang w:val="fr-FR"/>
        </w:rPr>
        <w:t>ț</w:t>
      </w:r>
      <w:r>
        <w:rPr>
          <w:lang w:val="fr-FR"/>
        </w:rPr>
        <w:t>ionale a tratamentului egal. O aten</w:t>
      </w:r>
      <w:r>
        <w:rPr>
          <w:rFonts w:ascii="Cambria Math" w:hAnsi="Cambria Math" w:cs="Cambria Math"/>
          <w:lang w:val="fr-FR"/>
        </w:rPr>
        <w:t>ț</w:t>
      </w:r>
      <w:r>
        <w:rPr>
          <w:lang w:val="fr-FR"/>
        </w:rPr>
        <w:t>ie specială va fi acordată minorită</w:t>
      </w:r>
      <w:r>
        <w:rPr>
          <w:rFonts w:ascii="Cambria Math" w:hAnsi="Cambria Math" w:cs="Cambria Math"/>
          <w:lang w:val="fr-FR"/>
        </w:rPr>
        <w:t>ț</w:t>
      </w:r>
      <w:r>
        <w:rPr>
          <w:lang w:val="fr-FR"/>
        </w:rPr>
        <w:t>ilor entice  dezavantajate. Alinierea la investi</w:t>
      </w:r>
      <w:r>
        <w:rPr>
          <w:rFonts w:ascii="Cambria Math" w:hAnsi="Cambria Math" w:cs="Cambria Math"/>
          <w:lang w:val="fr-FR"/>
        </w:rPr>
        <w:t>ț</w:t>
      </w:r>
      <w:r>
        <w:rPr>
          <w:lang w:val="fr-FR"/>
        </w:rPr>
        <w:t>iile pentru programele opera</w:t>
      </w:r>
      <w:r>
        <w:rPr>
          <w:rFonts w:ascii="Cambria Math" w:hAnsi="Cambria Math" w:cs="Cambria Math"/>
          <w:lang w:val="fr-FR"/>
        </w:rPr>
        <w:t>ț</w:t>
      </w:r>
      <w:r>
        <w:rPr>
          <w:lang w:val="fr-FR"/>
        </w:rPr>
        <w:t>ionale</w:t>
      </w:r>
      <w:r w:rsidR="0087741A">
        <w:rPr>
          <w:lang w:val="fr-FR"/>
        </w:rPr>
        <w:t>,</w:t>
      </w:r>
      <w:r>
        <w:rPr>
          <w:lang w:val="fr-FR"/>
        </w:rPr>
        <w:t xml:space="preserve"> prin dezvoltarea locurilor de muncă în ceea ce prive</w:t>
      </w:r>
      <w:r>
        <w:rPr>
          <w:rFonts w:ascii="Cambria Math" w:hAnsi="Cambria Math" w:cs="Cambria Math"/>
          <w:lang w:val="fr-FR"/>
        </w:rPr>
        <w:t>ș</w:t>
      </w:r>
      <w:r>
        <w:rPr>
          <w:lang w:val="fr-FR"/>
        </w:rPr>
        <w:t xml:space="preserve">te resursele umane </w:t>
      </w:r>
      <w:r>
        <w:rPr>
          <w:rFonts w:ascii="Cambria Math" w:hAnsi="Cambria Math" w:cs="Cambria Math"/>
          <w:lang w:val="fr-FR"/>
        </w:rPr>
        <w:t>ș</w:t>
      </w:r>
      <w:r>
        <w:rPr>
          <w:lang w:val="fr-FR"/>
        </w:rPr>
        <w:t>i planurile na</w:t>
      </w:r>
      <w:r>
        <w:rPr>
          <w:rFonts w:ascii="Cambria Math" w:hAnsi="Cambria Math" w:cs="Cambria Math"/>
          <w:lang w:val="fr-FR"/>
        </w:rPr>
        <w:t>ț</w:t>
      </w:r>
      <w:r>
        <w:rPr>
          <w:lang w:val="fr-FR"/>
        </w:rPr>
        <w:t>ionale de ac</w:t>
      </w:r>
      <w:r>
        <w:rPr>
          <w:rFonts w:ascii="Cambria Math" w:hAnsi="Cambria Math" w:cs="Cambria Math"/>
          <w:lang w:val="fr-FR"/>
        </w:rPr>
        <w:t>ț</w:t>
      </w:r>
      <w:r>
        <w:rPr>
          <w:lang w:val="fr-FR"/>
        </w:rPr>
        <w:t>iune pentru ocuparea for</w:t>
      </w:r>
      <w:r>
        <w:rPr>
          <w:rFonts w:ascii="Cambria Math" w:hAnsi="Cambria Math" w:cs="Cambria Math"/>
          <w:lang w:val="fr-FR"/>
        </w:rPr>
        <w:t>ț</w:t>
      </w:r>
      <w:r>
        <w:rPr>
          <w:lang w:val="fr-FR"/>
        </w:rPr>
        <w:t>ei de muncă</w:t>
      </w:r>
      <w:r w:rsidR="0087741A">
        <w:rPr>
          <w:lang w:val="fr-FR"/>
        </w:rPr>
        <w:t>,</w:t>
      </w:r>
      <w:r>
        <w:rPr>
          <w:lang w:val="fr-FR"/>
        </w:rPr>
        <w:t xml:space="preserve"> deschid noi poten</w:t>
      </w:r>
      <w:r>
        <w:rPr>
          <w:rFonts w:ascii="Cambria Math" w:hAnsi="Cambria Math" w:cs="Cambria Math"/>
          <w:lang w:val="fr-FR"/>
        </w:rPr>
        <w:t>ț</w:t>
      </w:r>
      <w:r>
        <w:rPr>
          <w:lang w:val="fr-FR"/>
        </w:rPr>
        <w:t xml:space="preserve">iale sinergetice. </w:t>
      </w:r>
    </w:p>
    <w:p w:rsidR="00DB39AE" w:rsidRDefault="00DB39AE" w:rsidP="00F34893">
      <w:pPr>
        <w:rPr>
          <w:lang w:val="fr-FR"/>
        </w:rPr>
      </w:pPr>
      <w:r>
        <w:rPr>
          <w:lang w:val="fr-FR"/>
        </w:rPr>
        <w:t>Fiecare proiect va fi evaluat în func</w:t>
      </w:r>
      <w:r>
        <w:rPr>
          <w:rFonts w:ascii="Cambria Math" w:hAnsi="Cambria Math" w:cs="Cambria Math"/>
          <w:lang w:val="fr-FR"/>
        </w:rPr>
        <w:t>ț</w:t>
      </w:r>
      <w:r>
        <w:rPr>
          <w:lang w:val="fr-FR"/>
        </w:rPr>
        <w:t xml:space="preserve">ie de acest principiu </w:t>
      </w:r>
      <w:r>
        <w:rPr>
          <w:rFonts w:ascii="Cambria Math" w:hAnsi="Cambria Math" w:cs="Cambria Math"/>
          <w:lang w:val="fr-FR"/>
        </w:rPr>
        <w:t>ș</w:t>
      </w:r>
      <w:r>
        <w:rPr>
          <w:lang w:val="fr-FR"/>
        </w:rPr>
        <w:t>i dacă se gãsesc chestiuni cu  impact negativ asupra egalită</w:t>
      </w:r>
      <w:r>
        <w:rPr>
          <w:rFonts w:ascii="Cambria Math" w:hAnsi="Cambria Math" w:cs="Cambria Math"/>
          <w:lang w:val="fr-FR"/>
        </w:rPr>
        <w:t>ț</w:t>
      </w:r>
      <w:r>
        <w:rPr>
          <w:lang w:val="fr-FR"/>
        </w:rPr>
        <w:t>ii dintre bărba</w:t>
      </w:r>
      <w:r>
        <w:rPr>
          <w:rFonts w:ascii="Cambria Math" w:hAnsi="Cambria Math" w:cs="Cambria Math"/>
          <w:lang w:val="fr-FR"/>
        </w:rPr>
        <w:t>ț</w:t>
      </w:r>
      <w:r>
        <w:rPr>
          <w:lang w:val="fr-FR"/>
        </w:rPr>
        <w:t xml:space="preserve">i </w:t>
      </w:r>
      <w:r>
        <w:rPr>
          <w:rFonts w:ascii="Cambria Math" w:hAnsi="Cambria Math" w:cs="Cambria Math"/>
          <w:lang w:val="fr-FR"/>
        </w:rPr>
        <w:t>ș</w:t>
      </w:r>
      <w:r>
        <w:rPr>
          <w:lang w:val="fr-FR"/>
        </w:rPr>
        <w:t>i femei, proiectele nu vor fi propuse pentru finan</w:t>
      </w:r>
      <w:r>
        <w:rPr>
          <w:rFonts w:ascii="Cambria Math" w:hAnsi="Cambria Math" w:cs="Cambria Math"/>
          <w:lang w:val="fr-FR"/>
        </w:rPr>
        <w:t>ț</w:t>
      </w:r>
      <w:r>
        <w:rPr>
          <w:lang w:val="fr-FR"/>
        </w:rPr>
        <w:t xml:space="preserve">are </w:t>
      </w:r>
      <w:r w:rsidR="0087741A">
        <w:rPr>
          <w:lang w:val="fr-FR"/>
        </w:rPr>
        <w:t xml:space="preserve">de </w:t>
      </w:r>
      <w:r>
        <w:rPr>
          <w:lang w:val="fr-FR"/>
        </w:rPr>
        <w:t>cãtre CM. Prin urmare, proiectele depuse vor fi încuraja</w:t>
      </w:r>
      <w:r>
        <w:rPr>
          <w:rFonts w:ascii="Cambria Math" w:hAnsi="Cambria Math" w:cs="Cambria Math"/>
          <w:lang w:val="fr-FR"/>
        </w:rPr>
        <w:t>te</w:t>
      </w:r>
      <w:r>
        <w:rPr>
          <w:lang w:val="fr-FR"/>
        </w:rPr>
        <w:t xml:space="preserve"> să includă activită</w:t>
      </w:r>
      <w:r>
        <w:rPr>
          <w:rFonts w:ascii="Cambria Math" w:hAnsi="Cambria Math" w:cs="Cambria Math"/>
          <w:lang w:val="fr-FR"/>
        </w:rPr>
        <w:t>ț</w:t>
      </w:r>
      <w:r>
        <w:rPr>
          <w:lang w:val="fr-FR"/>
        </w:rPr>
        <w:t xml:space="preserve">i care respectă egalitatea între sexe, cum ar fi participarea egală a femeilor în grupurile </w:t>
      </w:r>
      <w:r>
        <w:rPr>
          <w:rFonts w:ascii="Cambria Math" w:hAnsi="Cambria Math" w:cs="Cambria Math"/>
          <w:lang w:val="fr-FR"/>
        </w:rPr>
        <w:t>ț</w:t>
      </w:r>
      <w:r>
        <w:rPr>
          <w:lang w:val="fr-FR"/>
        </w:rPr>
        <w:t xml:space="preserve">intă </w:t>
      </w:r>
      <w:r>
        <w:rPr>
          <w:rFonts w:ascii="Cambria Math" w:hAnsi="Cambria Math" w:cs="Cambria Math"/>
          <w:lang w:val="fr-FR"/>
        </w:rPr>
        <w:t>ș</w:t>
      </w:r>
      <w:r>
        <w:rPr>
          <w:lang w:val="fr-FR"/>
        </w:rPr>
        <w:t>i promovarea principiului egalită</w:t>
      </w:r>
      <w:r>
        <w:rPr>
          <w:rFonts w:ascii="Cambria Math" w:hAnsi="Cambria Math" w:cs="Cambria Math"/>
          <w:lang w:val="fr-FR"/>
        </w:rPr>
        <w:t>ț</w:t>
      </w:r>
      <w:r>
        <w:rPr>
          <w:lang w:val="fr-FR"/>
        </w:rPr>
        <w:t xml:space="preserve">ii sexelor. </w:t>
      </w:r>
    </w:p>
    <w:p w:rsidR="00DB39AE" w:rsidRDefault="00DB39AE" w:rsidP="00DB39AE">
      <w:pPr>
        <w:rPr>
          <w:lang w:val="fr-FR"/>
        </w:rPr>
      </w:pPr>
      <w:r>
        <w:rPr>
          <w:lang w:val="fr-FR"/>
        </w:rPr>
        <w:t>Astfel, toate proiectele depuse în cadrul acestui PO vor confirma că activită</w:t>
      </w:r>
      <w:r>
        <w:rPr>
          <w:rFonts w:ascii="Cambria Math" w:hAnsi="Cambria Math" w:cs="Cambria Math"/>
          <w:lang w:val="fr-FR"/>
        </w:rPr>
        <w:t>ț</w:t>
      </w:r>
      <w:r>
        <w:rPr>
          <w:lang w:val="fr-FR"/>
        </w:rPr>
        <w:t>ile prevăzute sunt în conformitate cu principiul egalită</w:t>
      </w:r>
      <w:r>
        <w:rPr>
          <w:rFonts w:ascii="Cambria Math" w:hAnsi="Cambria Math" w:cs="Cambria Math"/>
          <w:lang w:val="fr-FR"/>
        </w:rPr>
        <w:t>ț</w:t>
      </w:r>
      <w:r>
        <w:rPr>
          <w:lang w:val="fr-FR"/>
        </w:rPr>
        <w:t>ii între bărba</w:t>
      </w:r>
      <w:r>
        <w:rPr>
          <w:rFonts w:ascii="Cambria Math" w:hAnsi="Cambria Math" w:cs="Cambria Math"/>
          <w:lang w:val="fr-FR"/>
        </w:rPr>
        <w:t>ț</w:t>
      </w:r>
      <w:r>
        <w:rPr>
          <w:lang w:val="fr-FR"/>
        </w:rPr>
        <w:t xml:space="preserve">i </w:t>
      </w:r>
      <w:r>
        <w:rPr>
          <w:rFonts w:ascii="Cambria Math" w:hAnsi="Cambria Math" w:cs="Cambria Math"/>
          <w:lang w:val="fr-FR"/>
        </w:rPr>
        <w:t>ș</w:t>
      </w:r>
      <w:r>
        <w:rPr>
          <w:lang w:val="fr-FR"/>
        </w:rPr>
        <w:t xml:space="preserve">i femei </w:t>
      </w:r>
      <w:r>
        <w:rPr>
          <w:rFonts w:ascii="Cambria Math" w:hAnsi="Cambria Math" w:cs="Cambria Math"/>
          <w:lang w:val="fr-FR"/>
        </w:rPr>
        <w:t>ș</w:t>
      </w:r>
      <w:r>
        <w:rPr>
          <w:lang w:val="fr-FR"/>
        </w:rPr>
        <w:t>i nu generează nici o discriminare între sexe. To</w:t>
      </w:r>
      <w:r>
        <w:rPr>
          <w:rFonts w:ascii="Cambria Math" w:hAnsi="Cambria Math" w:cs="Cambria Math"/>
          <w:lang w:val="fr-FR"/>
        </w:rPr>
        <w:t>ț</w:t>
      </w:r>
      <w:r w:rsidR="00A4748F">
        <w:rPr>
          <w:lang w:val="fr-FR"/>
        </w:rPr>
        <w:t>i aplican</w:t>
      </w:r>
      <w:r>
        <w:rPr>
          <w:rFonts w:ascii="Cambria Math" w:hAnsi="Cambria Math" w:cs="Cambria Math"/>
          <w:lang w:val="fr-FR"/>
        </w:rPr>
        <w:t>ț</w:t>
      </w:r>
      <w:r>
        <w:rPr>
          <w:lang w:val="fr-FR"/>
        </w:rPr>
        <w:t>ii vor trebui să demonstreze contribu</w:t>
      </w:r>
      <w:r>
        <w:rPr>
          <w:rFonts w:ascii="Cambria Math" w:hAnsi="Cambria Math" w:cs="Cambria Math"/>
          <w:lang w:val="fr-FR"/>
        </w:rPr>
        <w:t>ț</w:t>
      </w:r>
      <w:r>
        <w:rPr>
          <w:lang w:val="fr-FR"/>
        </w:rPr>
        <w:t xml:space="preserve">ia </w:t>
      </w:r>
      <w:proofErr w:type="gramStart"/>
      <w:r>
        <w:rPr>
          <w:lang w:val="fr-FR"/>
        </w:rPr>
        <w:t>la acest</w:t>
      </w:r>
      <w:proofErr w:type="gramEnd"/>
      <w:r>
        <w:rPr>
          <w:lang w:val="fr-FR"/>
        </w:rPr>
        <w:t xml:space="preserve"> principiu </w:t>
      </w:r>
      <w:r>
        <w:rPr>
          <w:rFonts w:ascii="Cambria Math" w:hAnsi="Cambria Math" w:cs="Cambria Math"/>
          <w:lang w:val="fr-FR"/>
        </w:rPr>
        <w:t>ș</w:t>
      </w:r>
      <w:r>
        <w:rPr>
          <w:lang w:val="fr-FR"/>
        </w:rPr>
        <w:t>i să explice modul în care problema este abordată în cadrul activită</w:t>
      </w:r>
      <w:r>
        <w:rPr>
          <w:rFonts w:ascii="Cambria Math" w:hAnsi="Cambria Math" w:cs="Cambria Math"/>
          <w:lang w:val="fr-FR"/>
        </w:rPr>
        <w:t>ț</w:t>
      </w:r>
      <w:r>
        <w:rPr>
          <w:lang w:val="fr-FR"/>
        </w:rPr>
        <w:t>ilor propuse. Aplican</w:t>
      </w:r>
      <w:r>
        <w:rPr>
          <w:rFonts w:ascii="Cambria Math" w:hAnsi="Cambria Math" w:cs="Cambria Math"/>
          <w:lang w:val="fr-FR"/>
        </w:rPr>
        <w:t>ț</w:t>
      </w:r>
      <w:r>
        <w:rPr>
          <w:lang w:val="fr-FR"/>
        </w:rPr>
        <w:t>ii care sus</w:t>
      </w:r>
      <w:r>
        <w:rPr>
          <w:rFonts w:ascii="Cambria Math" w:hAnsi="Cambria Math" w:cs="Cambria Math"/>
          <w:lang w:val="fr-FR"/>
        </w:rPr>
        <w:t>ț</w:t>
      </w:r>
      <w:r>
        <w:rPr>
          <w:lang w:val="fr-FR"/>
        </w:rPr>
        <w:t xml:space="preserve">in în mod special egalitatea între sexe vor primi puncte bonus în timpul procesului </w:t>
      </w:r>
      <w:proofErr w:type="gramStart"/>
      <w:r>
        <w:rPr>
          <w:lang w:val="fr-FR"/>
        </w:rPr>
        <w:t>de evaluare</w:t>
      </w:r>
      <w:proofErr w:type="gramEnd"/>
      <w:r>
        <w:rPr>
          <w:lang w:val="fr-FR"/>
        </w:rPr>
        <w:t xml:space="preserve">. </w:t>
      </w:r>
    </w:p>
    <w:p w:rsidR="00DB39AE" w:rsidRDefault="00DB39AE" w:rsidP="00F34893">
      <w:pPr>
        <w:rPr>
          <w:lang w:val="fr-FR"/>
        </w:rPr>
      </w:pPr>
      <w:r>
        <w:rPr>
          <w:lang w:val="fr-FR"/>
        </w:rPr>
        <w:t>Acest principiu va fi, de asemenea, luat în considerare în ceea ce prive</w:t>
      </w:r>
      <w:r>
        <w:rPr>
          <w:rFonts w:ascii="Cambria Math" w:hAnsi="Cambria Math" w:cs="Cambria Math"/>
          <w:lang w:val="fr-FR"/>
        </w:rPr>
        <w:t>ș</w:t>
      </w:r>
      <w:r>
        <w:rPr>
          <w:lang w:val="fr-FR"/>
        </w:rPr>
        <w:t xml:space="preserve">te structura de management </w:t>
      </w:r>
      <w:proofErr w:type="gramStart"/>
      <w:r>
        <w:rPr>
          <w:lang w:val="fr-FR"/>
        </w:rPr>
        <w:t>a</w:t>
      </w:r>
      <w:proofErr w:type="gramEnd"/>
      <w:r>
        <w:rPr>
          <w:lang w:val="fr-FR"/>
        </w:rPr>
        <w:t xml:space="preserve"> programului, precum </w:t>
      </w:r>
      <w:r>
        <w:rPr>
          <w:rFonts w:ascii="Cambria Math" w:hAnsi="Cambria Math" w:cs="Cambria Math"/>
          <w:lang w:val="fr-FR"/>
        </w:rPr>
        <w:t>ș</w:t>
      </w:r>
      <w:r>
        <w:rPr>
          <w:lang w:val="fr-FR"/>
        </w:rPr>
        <w:t xml:space="preserve">i procedurile de punere în aplicare a programului </w:t>
      </w:r>
      <w:r>
        <w:rPr>
          <w:rFonts w:ascii="Cambria Math" w:hAnsi="Cambria Math" w:cs="Cambria Math"/>
          <w:lang w:val="fr-FR"/>
        </w:rPr>
        <w:t>ș</w:t>
      </w:r>
      <w:r>
        <w:rPr>
          <w:lang w:val="fr-FR"/>
        </w:rPr>
        <w:t xml:space="preserve">i de monitorizare, de exemplu, recrutarea de personal </w:t>
      </w:r>
      <w:r>
        <w:rPr>
          <w:rFonts w:ascii="Cambria Math" w:hAnsi="Cambria Math" w:cs="Cambria Math"/>
          <w:lang w:val="fr-FR"/>
        </w:rPr>
        <w:t>ș</w:t>
      </w:r>
      <w:r>
        <w:rPr>
          <w:lang w:val="fr-FR"/>
        </w:rPr>
        <w:t>i politicile de personal.  Datele relevante</w:t>
      </w:r>
      <w:r w:rsidR="00A4748F">
        <w:rPr>
          <w:lang w:val="fr-FR"/>
        </w:rPr>
        <w:t>,</w:t>
      </w:r>
      <w:r>
        <w:rPr>
          <w:lang w:val="fr-FR"/>
        </w:rPr>
        <w:t xml:space="preserve"> privind egalitatea de </w:t>
      </w:r>
      <w:r>
        <w:rPr>
          <w:rFonts w:ascii="Cambria Math" w:hAnsi="Cambria Math" w:cs="Cambria Math"/>
          <w:lang w:val="fr-FR"/>
        </w:rPr>
        <w:t>ș</w:t>
      </w:r>
      <w:r>
        <w:rPr>
          <w:lang w:val="fr-FR"/>
        </w:rPr>
        <w:t>anse</w:t>
      </w:r>
      <w:r w:rsidR="00A4748F">
        <w:rPr>
          <w:lang w:val="fr-FR"/>
        </w:rPr>
        <w:t>,</w:t>
      </w:r>
      <w:r>
        <w:rPr>
          <w:lang w:val="fr-FR"/>
        </w:rPr>
        <w:t xml:space="preserve"> vor fi colectate în mod regulat de către Autoritatea de Management </w:t>
      </w:r>
      <w:r>
        <w:rPr>
          <w:rFonts w:ascii="Cambria Math" w:hAnsi="Cambria Math" w:cs="Cambria Math"/>
          <w:lang w:val="fr-FR"/>
        </w:rPr>
        <w:t>ș</w:t>
      </w:r>
      <w:r>
        <w:rPr>
          <w:lang w:val="fr-FR"/>
        </w:rPr>
        <w:t>i monitorizate prin intermediul Programului. Comitetul de Monitorizare va analiza oportunită</w:t>
      </w:r>
      <w:r>
        <w:rPr>
          <w:rFonts w:ascii="Cambria Math" w:hAnsi="Cambria Math" w:cs="Cambria Math"/>
          <w:lang w:val="fr-FR"/>
        </w:rPr>
        <w:t>ț</w:t>
      </w:r>
      <w:r>
        <w:rPr>
          <w:lang w:val="fr-FR"/>
        </w:rPr>
        <w:t xml:space="preserve">ile egale prin date statistice, în mod regulat, </w:t>
      </w:r>
      <w:r>
        <w:rPr>
          <w:rFonts w:ascii="Cambria Math" w:hAnsi="Cambria Math" w:cs="Cambria Math"/>
          <w:lang w:val="fr-FR"/>
        </w:rPr>
        <w:t>ș</w:t>
      </w:r>
      <w:r>
        <w:rPr>
          <w:lang w:val="fr-FR"/>
        </w:rPr>
        <w:t>i va identifica activită</w:t>
      </w:r>
      <w:r>
        <w:rPr>
          <w:rFonts w:ascii="Cambria Math" w:hAnsi="Cambria Math" w:cs="Cambria Math"/>
          <w:lang w:val="fr-FR"/>
        </w:rPr>
        <w:t>ț</w:t>
      </w:r>
      <w:r>
        <w:rPr>
          <w:lang w:val="fr-FR"/>
        </w:rPr>
        <w:t xml:space="preserve">ile care vor fi dezvoltate </w:t>
      </w:r>
      <w:r>
        <w:rPr>
          <w:rFonts w:ascii="Cambria Math" w:hAnsi="Cambria Math" w:cs="Cambria Math"/>
          <w:lang w:val="fr-FR"/>
        </w:rPr>
        <w:t>ș</w:t>
      </w:r>
      <w:r>
        <w:rPr>
          <w:lang w:val="fr-FR"/>
        </w:rPr>
        <w:t>i consolidate în scopul egalită</w:t>
      </w:r>
      <w:r>
        <w:rPr>
          <w:rFonts w:ascii="Cambria Math" w:hAnsi="Cambria Math" w:cs="Cambria Math"/>
          <w:lang w:val="fr-FR"/>
        </w:rPr>
        <w:t>ț</w:t>
      </w:r>
      <w:r>
        <w:rPr>
          <w:lang w:val="fr-FR"/>
        </w:rPr>
        <w:t xml:space="preserve">ii de </w:t>
      </w:r>
      <w:r w:rsidR="00A4748F">
        <w:rPr>
          <w:rFonts w:ascii="Cambria Math" w:hAnsi="Cambria Math" w:cs="Cambria Math"/>
          <w:lang w:val="fr-FR"/>
        </w:rPr>
        <w:t>gen</w:t>
      </w:r>
      <w:r>
        <w:rPr>
          <w:lang w:val="fr-FR"/>
        </w:rPr>
        <w:t>.</w:t>
      </w:r>
    </w:p>
    <w:p w:rsidR="00DB39AE" w:rsidRDefault="00DB39AE" w:rsidP="00DB39AE">
      <w:pPr>
        <w:ind w:firstLine="720"/>
        <w:rPr>
          <w:lang w:val="fr-FR"/>
        </w:rPr>
      </w:pPr>
    </w:p>
    <w:p w:rsidR="00DB39AE" w:rsidRDefault="00DB39AE" w:rsidP="00DB39AE">
      <w:pPr>
        <w:ind w:firstLine="720"/>
        <w:rPr>
          <w:lang w:val="fr-FR"/>
        </w:rPr>
      </w:pPr>
    </w:p>
    <w:p w:rsidR="00DB39AE" w:rsidRDefault="00DB39AE" w:rsidP="00DB39AE">
      <w:pPr>
        <w:ind w:firstLine="720"/>
        <w:rPr>
          <w:lang w:val="fr-FR"/>
        </w:rPr>
      </w:pPr>
    </w:p>
    <w:p w:rsidR="00DB39AE" w:rsidRDefault="00DB39AE" w:rsidP="00DB39AE">
      <w:pPr>
        <w:ind w:firstLine="720"/>
        <w:rPr>
          <w:lang w:val="fr-FR"/>
        </w:rPr>
      </w:pPr>
    </w:p>
    <w:p w:rsidR="00DB39AE" w:rsidRDefault="00DB39AE" w:rsidP="00DB39AE">
      <w:pPr>
        <w:ind w:firstLine="720"/>
        <w:rPr>
          <w:lang w:val="fr-FR"/>
        </w:rPr>
      </w:pPr>
    </w:p>
    <w:p w:rsidR="00DB39AE" w:rsidRDefault="00DB39AE" w:rsidP="00DB39AE">
      <w:pPr>
        <w:ind w:firstLine="720"/>
        <w:rPr>
          <w:lang w:val="fr-FR"/>
        </w:rPr>
      </w:pPr>
    </w:p>
    <w:p w:rsidR="00DB39AE" w:rsidRDefault="00DB39AE" w:rsidP="00DB39AE">
      <w:pPr>
        <w:ind w:firstLine="720"/>
        <w:rPr>
          <w:lang w:val="fr-FR"/>
        </w:rPr>
      </w:pPr>
    </w:p>
    <w:p w:rsidR="00DB39AE" w:rsidRDefault="00DB39AE" w:rsidP="00DB39AE">
      <w:pPr>
        <w:ind w:firstLine="720"/>
        <w:rPr>
          <w:lang w:val="fr-FR"/>
        </w:rPr>
      </w:pPr>
    </w:p>
    <w:p w:rsidR="00F34893" w:rsidRPr="00A77C97" w:rsidRDefault="00F34893" w:rsidP="00F34893">
      <w:pPr>
        <w:pStyle w:val="Heading1"/>
        <w:rPr>
          <w:lang w:val="fr-FR"/>
        </w:rPr>
        <w:sectPr w:rsidR="00F34893" w:rsidRPr="00A77C97" w:rsidSect="00DB39AE">
          <w:pgSz w:w="11900" w:h="16840"/>
          <w:pgMar w:top="1440" w:right="1800" w:bottom="1440" w:left="1800" w:header="340" w:footer="340" w:gutter="0"/>
          <w:cols w:space="720"/>
          <w:docGrid w:linePitch="326"/>
        </w:sectPr>
      </w:pPr>
      <w:bookmarkStart w:id="198" w:name="_Toc394063589"/>
    </w:p>
    <w:p w:rsidR="00DB39AE" w:rsidRPr="006C6828" w:rsidRDefault="00DB39AE" w:rsidP="00F34893">
      <w:pPr>
        <w:pStyle w:val="Heading1"/>
        <w:rPr>
          <w:lang w:val="it-IT"/>
        </w:rPr>
      </w:pPr>
      <w:bookmarkStart w:id="199" w:name="_Toc394837909"/>
      <w:r w:rsidRPr="006C6828">
        <w:rPr>
          <w:lang w:val="it-IT"/>
        </w:rPr>
        <w:lastRenderedPageBreak/>
        <w:t>SECŢIUNEA 9. ELEMENTE SEPARATE</w:t>
      </w:r>
      <w:r>
        <w:rPr>
          <w:vertAlign w:val="superscript"/>
        </w:rPr>
        <w:footnoteReference w:id="23"/>
      </w:r>
      <w:bookmarkEnd w:id="198"/>
      <w:bookmarkEnd w:id="199"/>
    </w:p>
    <w:p w:rsidR="00DB39AE" w:rsidRPr="006C6828" w:rsidRDefault="00DB39AE" w:rsidP="00F34893">
      <w:pPr>
        <w:pStyle w:val="Heading2"/>
        <w:rPr>
          <w:lang w:val="it-IT"/>
        </w:rPr>
      </w:pPr>
      <w:bookmarkStart w:id="200" w:name="_Toc394063590"/>
      <w:bookmarkStart w:id="201" w:name="_Toc394837910"/>
      <w:r w:rsidRPr="006C6828">
        <w:rPr>
          <w:lang w:val="it-IT"/>
        </w:rPr>
        <w:t xml:space="preserve">9.1. </w:t>
      </w:r>
      <w:bookmarkEnd w:id="200"/>
      <w:r w:rsidR="00F34893" w:rsidRPr="006C6828">
        <w:rPr>
          <w:lang w:val="it-IT"/>
        </w:rPr>
        <w:t>Proiecte majore care vor fi implementate în cursul perioadei de programare</w:t>
      </w:r>
      <w:bookmarkEnd w:id="201"/>
    </w:p>
    <w:p w:rsidR="00DB39AE" w:rsidRDefault="00DB39AE" w:rsidP="008970A8">
      <w:pPr>
        <w:pStyle w:val="Heading2"/>
      </w:pPr>
      <w:bookmarkStart w:id="202" w:name="_Toc394063591"/>
      <w:bookmarkStart w:id="203" w:name="_Toc394837911"/>
      <w:r>
        <w:t>Tabel</w:t>
      </w:r>
      <w:r w:rsidR="00F34893">
        <w:t>ul</w:t>
      </w:r>
      <w:r>
        <w:t xml:space="preserve"> 23: Lista proiectelor majore</w:t>
      </w:r>
      <w:r>
        <w:rPr>
          <w:vertAlign w:val="superscript"/>
        </w:rPr>
        <w:footnoteReference w:id="24"/>
      </w:r>
      <w:bookmarkEnd w:id="202"/>
      <w:bookmarkEnd w:id="203"/>
    </w:p>
    <w:tbl>
      <w:tblPr>
        <w:tblW w:w="5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952"/>
        <w:gridCol w:w="1498"/>
        <w:gridCol w:w="1498"/>
        <w:gridCol w:w="2893"/>
      </w:tblGrid>
      <w:tr w:rsidR="00DB39AE" w:rsidRPr="00A158A9" w:rsidTr="000A7D0A">
        <w:trPr>
          <w:jc w:val="center"/>
        </w:trPr>
        <w:tc>
          <w:tcPr>
            <w:tcW w:w="1032" w:type="pct"/>
            <w:tcBorders>
              <w:top w:val="single" w:sz="4" w:space="0" w:color="auto"/>
              <w:left w:val="single" w:sz="4" w:space="0" w:color="auto"/>
              <w:bottom w:val="single" w:sz="4" w:space="0" w:color="auto"/>
              <w:right w:val="single" w:sz="4" w:space="0" w:color="auto"/>
            </w:tcBorders>
            <w:shd w:val="clear" w:color="auto" w:fill="DBE5F1"/>
            <w:hideMark/>
          </w:tcPr>
          <w:p w:rsidR="00DB39AE" w:rsidRPr="000A7D0A" w:rsidRDefault="00DB39AE" w:rsidP="000A7D0A">
            <w:pPr>
              <w:spacing w:before="0" w:after="0" w:line="276" w:lineRule="auto"/>
              <w:jc w:val="left"/>
              <w:rPr>
                <w:b/>
                <w:sz w:val="20"/>
              </w:rPr>
            </w:pPr>
            <w:r w:rsidRPr="000A7D0A">
              <w:rPr>
                <w:b/>
                <w:sz w:val="20"/>
              </w:rPr>
              <w:t>Proiect</w:t>
            </w:r>
          </w:p>
        </w:tc>
        <w:tc>
          <w:tcPr>
            <w:tcW w:w="988" w:type="pct"/>
            <w:tcBorders>
              <w:top w:val="single" w:sz="4" w:space="0" w:color="auto"/>
              <w:left w:val="single" w:sz="4" w:space="0" w:color="auto"/>
              <w:bottom w:val="single" w:sz="4" w:space="0" w:color="auto"/>
              <w:right w:val="single" w:sz="4" w:space="0" w:color="auto"/>
            </w:tcBorders>
            <w:shd w:val="clear" w:color="auto" w:fill="DBE5F1"/>
            <w:hideMark/>
          </w:tcPr>
          <w:p w:rsidR="00DB39AE" w:rsidRPr="006C6828" w:rsidRDefault="00F34893" w:rsidP="000A7D0A">
            <w:pPr>
              <w:spacing w:before="0" w:after="0" w:line="276" w:lineRule="auto"/>
              <w:jc w:val="left"/>
              <w:rPr>
                <w:b/>
                <w:sz w:val="20"/>
                <w:lang w:val="it-IT"/>
              </w:rPr>
            </w:pPr>
            <w:r w:rsidRPr="006C6828">
              <w:rPr>
                <w:b/>
                <w:sz w:val="20"/>
                <w:lang w:val="it-IT"/>
              </w:rPr>
              <w:t>Notificarea/data de depunere planificată (an, trimestru)</w:t>
            </w:r>
          </w:p>
        </w:tc>
        <w:tc>
          <w:tcPr>
            <w:tcW w:w="758" w:type="pct"/>
            <w:tcBorders>
              <w:top w:val="single" w:sz="4" w:space="0" w:color="auto"/>
              <w:left w:val="single" w:sz="4" w:space="0" w:color="auto"/>
              <w:bottom w:val="single" w:sz="4" w:space="0" w:color="auto"/>
              <w:right w:val="single" w:sz="4" w:space="0" w:color="auto"/>
            </w:tcBorders>
            <w:shd w:val="clear" w:color="auto" w:fill="DBE5F1"/>
            <w:hideMark/>
          </w:tcPr>
          <w:p w:rsidR="00DB39AE" w:rsidRPr="006C6828" w:rsidRDefault="00F34893" w:rsidP="000A7D0A">
            <w:pPr>
              <w:spacing w:before="0" w:after="0" w:line="276" w:lineRule="auto"/>
              <w:jc w:val="left"/>
              <w:rPr>
                <w:b/>
                <w:sz w:val="20"/>
                <w:lang w:val="it-IT"/>
              </w:rPr>
            </w:pPr>
            <w:r w:rsidRPr="006C6828">
              <w:rPr>
                <w:b/>
                <w:sz w:val="20"/>
                <w:lang w:val="it-IT"/>
              </w:rPr>
              <w:t>Data planificată pentru începerea implementării (an, trimestru)</w:t>
            </w:r>
          </w:p>
        </w:tc>
        <w:tc>
          <w:tcPr>
            <w:tcW w:w="758" w:type="pct"/>
            <w:tcBorders>
              <w:top w:val="single" w:sz="4" w:space="0" w:color="auto"/>
              <w:left w:val="single" w:sz="4" w:space="0" w:color="auto"/>
              <w:bottom w:val="single" w:sz="4" w:space="0" w:color="auto"/>
              <w:right w:val="single" w:sz="4" w:space="0" w:color="auto"/>
            </w:tcBorders>
            <w:shd w:val="clear" w:color="auto" w:fill="DBE5F1"/>
            <w:hideMark/>
          </w:tcPr>
          <w:p w:rsidR="00DB39AE" w:rsidRPr="006C6828" w:rsidRDefault="00F34893" w:rsidP="000A7D0A">
            <w:pPr>
              <w:spacing w:before="0" w:after="0" w:line="276" w:lineRule="auto"/>
              <w:jc w:val="left"/>
              <w:rPr>
                <w:b/>
                <w:sz w:val="20"/>
                <w:lang w:val="it-IT"/>
              </w:rPr>
            </w:pPr>
            <w:r w:rsidRPr="006C6828">
              <w:rPr>
                <w:b/>
                <w:sz w:val="20"/>
                <w:lang w:val="it-IT"/>
              </w:rPr>
              <w:t>Data planificată a finalizării (an, trimestru)</w:t>
            </w:r>
          </w:p>
        </w:tc>
        <w:tc>
          <w:tcPr>
            <w:tcW w:w="1464" w:type="pct"/>
            <w:tcBorders>
              <w:top w:val="single" w:sz="4" w:space="0" w:color="auto"/>
              <w:left w:val="single" w:sz="4" w:space="0" w:color="auto"/>
              <w:bottom w:val="single" w:sz="4" w:space="0" w:color="auto"/>
              <w:right w:val="single" w:sz="4" w:space="0" w:color="auto"/>
            </w:tcBorders>
            <w:shd w:val="clear" w:color="auto" w:fill="DBE5F1"/>
            <w:hideMark/>
          </w:tcPr>
          <w:p w:rsidR="00DB39AE" w:rsidRPr="000A7D0A" w:rsidRDefault="00F34893" w:rsidP="000A7D0A">
            <w:pPr>
              <w:spacing w:before="0" w:after="0" w:line="276" w:lineRule="auto"/>
              <w:jc w:val="left"/>
              <w:rPr>
                <w:b/>
                <w:sz w:val="20"/>
                <w:lang w:val="fr-FR"/>
              </w:rPr>
            </w:pPr>
            <w:r w:rsidRPr="000A7D0A">
              <w:rPr>
                <w:b/>
                <w:sz w:val="20"/>
                <w:lang w:val="fr-FR"/>
              </w:rPr>
              <w:t xml:space="preserve">Axe prioritare/priorități </w:t>
            </w:r>
            <w:proofErr w:type="gramStart"/>
            <w:r w:rsidRPr="000A7D0A">
              <w:rPr>
                <w:b/>
                <w:sz w:val="20"/>
                <w:lang w:val="fr-FR"/>
              </w:rPr>
              <w:t>de investiții</w:t>
            </w:r>
            <w:proofErr w:type="gramEnd"/>
          </w:p>
        </w:tc>
      </w:tr>
      <w:tr w:rsidR="00DB39AE" w:rsidRPr="00A158A9" w:rsidTr="000A7D0A">
        <w:trPr>
          <w:trHeight w:val="459"/>
          <w:jc w:val="center"/>
        </w:trPr>
        <w:tc>
          <w:tcPr>
            <w:tcW w:w="1032" w:type="pct"/>
            <w:tcBorders>
              <w:top w:val="single" w:sz="4" w:space="0" w:color="auto"/>
              <w:left w:val="single" w:sz="4" w:space="0" w:color="auto"/>
              <w:bottom w:val="single" w:sz="4" w:space="0" w:color="auto"/>
              <w:right w:val="single" w:sz="4" w:space="0" w:color="auto"/>
            </w:tcBorders>
          </w:tcPr>
          <w:p w:rsidR="00DB39AE" w:rsidRPr="00F34893" w:rsidRDefault="00DB39AE" w:rsidP="000A7D0A">
            <w:pPr>
              <w:spacing w:before="0" w:after="0" w:line="276" w:lineRule="auto"/>
              <w:jc w:val="left"/>
              <w:rPr>
                <w:szCs w:val="24"/>
                <w:lang w:val="fr-FR"/>
              </w:rPr>
            </w:pPr>
          </w:p>
        </w:tc>
        <w:tc>
          <w:tcPr>
            <w:tcW w:w="988" w:type="pct"/>
            <w:tcBorders>
              <w:top w:val="single" w:sz="4" w:space="0" w:color="auto"/>
              <w:left w:val="single" w:sz="4" w:space="0" w:color="auto"/>
              <w:bottom w:val="single" w:sz="4" w:space="0" w:color="auto"/>
              <w:right w:val="single" w:sz="4" w:space="0" w:color="auto"/>
            </w:tcBorders>
          </w:tcPr>
          <w:p w:rsidR="00DB39AE" w:rsidRPr="00F34893" w:rsidRDefault="00DB39AE" w:rsidP="000A7D0A">
            <w:pPr>
              <w:spacing w:before="0" w:after="0" w:line="276" w:lineRule="auto"/>
              <w:jc w:val="left"/>
              <w:rPr>
                <w:szCs w:val="24"/>
                <w:lang w:val="fr-FR"/>
              </w:rPr>
            </w:pPr>
          </w:p>
        </w:tc>
        <w:tc>
          <w:tcPr>
            <w:tcW w:w="758" w:type="pct"/>
            <w:tcBorders>
              <w:top w:val="single" w:sz="4" w:space="0" w:color="auto"/>
              <w:left w:val="single" w:sz="4" w:space="0" w:color="auto"/>
              <w:bottom w:val="single" w:sz="4" w:space="0" w:color="auto"/>
              <w:right w:val="single" w:sz="4" w:space="0" w:color="auto"/>
            </w:tcBorders>
          </w:tcPr>
          <w:p w:rsidR="00DB39AE" w:rsidRPr="00F34893" w:rsidRDefault="00DB39AE" w:rsidP="000A7D0A">
            <w:pPr>
              <w:spacing w:before="0" w:after="0" w:line="276" w:lineRule="auto"/>
              <w:jc w:val="left"/>
              <w:rPr>
                <w:szCs w:val="24"/>
                <w:lang w:val="fr-FR"/>
              </w:rPr>
            </w:pPr>
          </w:p>
        </w:tc>
        <w:tc>
          <w:tcPr>
            <w:tcW w:w="758" w:type="pct"/>
            <w:tcBorders>
              <w:top w:val="single" w:sz="4" w:space="0" w:color="auto"/>
              <w:left w:val="single" w:sz="4" w:space="0" w:color="auto"/>
              <w:bottom w:val="single" w:sz="4" w:space="0" w:color="auto"/>
              <w:right w:val="single" w:sz="4" w:space="0" w:color="auto"/>
            </w:tcBorders>
          </w:tcPr>
          <w:p w:rsidR="00DB39AE" w:rsidRPr="00F34893" w:rsidRDefault="00DB39AE" w:rsidP="000A7D0A">
            <w:pPr>
              <w:spacing w:before="0" w:after="0" w:line="276" w:lineRule="auto"/>
              <w:jc w:val="left"/>
              <w:rPr>
                <w:szCs w:val="24"/>
                <w:lang w:val="fr-FR"/>
              </w:rPr>
            </w:pPr>
          </w:p>
        </w:tc>
        <w:tc>
          <w:tcPr>
            <w:tcW w:w="1464" w:type="pct"/>
            <w:tcBorders>
              <w:top w:val="single" w:sz="4" w:space="0" w:color="auto"/>
              <w:left w:val="single" w:sz="4" w:space="0" w:color="auto"/>
              <w:bottom w:val="single" w:sz="4" w:space="0" w:color="auto"/>
              <w:right w:val="single" w:sz="4" w:space="0" w:color="auto"/>
            </w:tcBorders>
          </w:tcPr>
          <w:p w:rsidR="00DB39AE" w:rsidRPr="00F34893" w:rsidRDefault="00DB39AE" w:rsidP="000A7D0A">
            <w:pPr>
              <w:spacing w:before="0" w:after="0" w:line="276" w:lineRule="auto"/>
              <w:jc w:val="left"/>
              <w:rPr>
                <w:szCs w:val="24"/>
                <w:lang w:val="fr-FR"/>
              </w:rPr>
            </w:pPr>
          </w:p>
        </w:tc>
      </w:tr>
    </w:tbl>
    <w:p w:rsidR="00DB39AE" w:rsidRPr="00F34893" w:rsidRDefault="00DB39AE" w:rsidP="00DB39AE">
      <w:pPr>
        <w:rPr>
          <w:rFonts w:eastAsia="Times New Roman"/>
          <w:szCs w:val="24"/>
          <w:lang w:val="fr-FR"/>
        </w:rPr>
      </w:pPr>
    </w:p>
    <w:p w:rsidR="00DB39AE" w:rsidRDefault="00DB39AE" w:rsidP="00F34893">
      <w:pPr>
        <w:pStyle w:val="Heading2"/>
        <w:rPr>
          <w:lang w:val="fr-FR"/>
        </w:rPr>
      </w:pPr>
      <w:bookmarkStart w:id="204" w:name="_Toc394063592"/>
      <w:bookmarkStart w:id="205" w:name="_Toc394837912"/>
      <w:r>
        <w:rPr>
          <w:lang w:val="fr-FR"/>
        </w:rPr>
        <w:t xml:space="preserve">9.2. </w:t>
      </w:r>
      <w:bookmarkStart w:id="206" w:name="_Toc394063593"/>
      <w:bookmarkEnd w:id="204"/>
      <w:r w:rsidR="00F34893" w:rsidRPr="00F34893">
        <w:rPr>
          <w:lang w:val="fr-FR"/>
        </w:rPr>
        <w:t>Cadrul de performanță al programului de cooperare</w:t>
      </w:r>
      <w:bookmarkEnd w:id="205"/>
    </w:p>
    <w:p w:rsidR="00DB39AE" w:rsidRDefault="00DB39AE" w:rsidP="00F34893">
      <w:pPr>
        <w:pStyle w:val="Heading2"/>
        <w:rPr>
          <w:lang w:val="fr-FR"/>
        </w:rPr>
      </w:pPr>
      <w:bookmarkStart w:id="207" w:name="_Toc394837913"/>
      <w:r>
        <w:rPr>
          <w:lang w:val="fr-FR"/>
        </w:rPr>
        <w:t>Tabel</w:t>
      </w:r>
      <w:r w:rsidR="00F34893">
        <w:rPr>
          <w:lang w:val="fr-FR"/>
        </w:rPr>
        <w:t>ul</w:t>
      </w:r>
      <w:r>
        <w:rPr>
          <w:lang w:val="fr-FR"/>
        </w:rPr>
        <w:t xml:space="preserve"> 24: </w:t>
      </w:r>
      <w:bookmarkEnd w:id="206"/>
      <w:r w:rsidR="00F34893" w:rsidRPr="00F34893">
        <w:rPr>
          <w:lang w:val="fr-FR"/>
        </w:rPr>
        <w:t>Cadrul de performanță (tabel rezumativ)</w:t>
      </w:r>
      <w:bookmarkEnd w:id="207"/>
    </w:p>
    <w:tbl>
      <w:tblPr>
        <w:tblStyle w:val="TableGrid"/>
        <w:tblW w:w="0" w:type="auto"/>
        <w:jc w:val="center"/>
        <w:tblLook w:val="04A0" w:firstRow="1" w:lastRow="0" w:firstColumn="1" w:lastColumn="0" w:noHBand="0" w:noVBand="1"/>
      </w:tblPr>
      <w:tblGrid>
        <w:gridCol w:w="1703"/>
        <w:gridCol w:w="1703"/>
        <w:gridCol w:w="1703"/>
        <w:gridCol w:w="1703"/>
        <w:gridCol w:w="1704"/>
      </w:tblGrid>
      <w:tr w:rsidR="000A7D0A" w:rsidRPr="004F0E88" w:rsidTr="004F0E88">
        <w:trPr>
          <w:jc w:val="center"/>
        </w:trPr>
        <w:tc>
          <w:tcPr>
            <w:tcW w:w="1703" w:type="dxa"/>
            <w:vAlign w:val="center"/>
          </w:tcPr>
          <w:p w:rsidR="000A7D0A" w:rsidRPr="004F0E88" w:rsidRDefault="000A7D0A" w:rsidP="004F0E88">
            <w:pPr>
              <w:jc w:val="center"/>
              <w:rPr>
                <w:sz w:val="22"/>
                <w:szCs w:val="22"/>
                <w:lang w:val="fr-FR"/>
              </w:rPr>
            </w:pPr>
            <w:r w:rsidRPr="004F0E88">
              <w:rPr>
                <w:rFonts w:eastAsia="Times New Roman"/>
                <w:b/>
                <w:sz w:val="22"/>
                <w:szCs w:val="22"/>
              </w:rPr>
              <w:t>Axa prioritară</w:t>
            </w:r>
          </w:p>
        </w:tc>
        <w:tc>
          <w:tcPr>
            <w:tcW w:w="1703" w:type="dxa"/>
            <w:vAlign w:val="center"/>
          </w:tcPr>
          <w:p w:rsidR="000A7D0A" w:rsidRPr="004F0E88" w:rsidRDefault="000A7D0A" w:rsidP="004F0E88">
            <w:pPr>
              <w:jc w:val="center"/>
              <w:rPr>
                <w:sz w:val="22"/>
                <w:szCs w:val="22"/>
                <w:lang w:val="fr-FR"/>
              </w:rPr>
            </w:pPr>
            <w:r w:rsidRPr="004F0E88">
              <w:rPr>
                <w:rFonts w:eastAsia="Times New Roman"/>
                <w:b/>
                <w:sz w:val="22"/>
                <w:szCs w:val="22"/>
                <w:lang w:val="fr-FR"/>
              </w:rPr>
              <w:t xml:space="preserve">Indicator sau etapă cheie </w:t>
            </w:r>
            <w:proofErr w:type="gramStart"/>
            <w:r w:rsidRPr="004F0E88">
              <w:rPr>
                <w:rFonts w:eastAsia="Times New Roman"/>
                <w:b/>
                <w:sz w:val="22"/>
                <w:szCs w:val="22"/>
                <w:lang w:val="fr-FR"/>
              </w:rPr>
              <w:t>de implementare</w:t>
            </w:r>
            <w:proofErr w:type="gramEnd"/>
          </w:p>
        </w:tc>
        <w:tc>
          <w:tcPr>
            <w:tcW w:w="1703" w:type="dxa"/>
            <w:vAlign w:val="center"/>
          </w:tcPr>
          <w:p w:rsidR="000A7D0A" w:rsidRPr="004F0E88" w:rsidRDefault="000A7D0A" w:rsidP="004F0E88">
            <w:pPr>
              <w:jc w:val="center"/>
              <w:rPr>
                <w:sz w:val="22"/>
                <w:szCs w:val="22"/>
                <w:lang w:val="fr-FR"/>
              </w:rPr>
            </w:pPr>
            <w:r w:rsidRPr="004F0E88">
              <w:rPr>
                <w:rFonts w:eastAsia="Times New Roman"/>
                <w:b/>
                <w:sz w:val="22"/>
                <w:szCs w:val="22"/>
                <w:lang w:val="fr-FR"/>
              </w:rPr>
              <w:t>Unitate de măsură, dacă este cazul</w:t>
            </w:r>
          </w:p>
        </w:tc>
        <w:tc>
          <w:tcPr>
            <w:tcW w:w="1703" w:type="dxa"/>
            <w:vAlign w:val="center"/>
          </w:tcPr>
          <w:p w:rsidR="000A7D0A" w:rsidRPr="004F0E88" w:rsidRDefault="000A7D0A" w:rsidP="004F0E88">
            <w:pPr>
              <w:jc w:val="center"/>
              <w:rPr>
                <w:sz w:val="22"/>
                <w:szCs w:val="22"/>
                <w:lang w:val="fr-FR"/>
              </w:rPr>
            </w:pPr>
            <w:r w:rsidRPr="004F0E88">
              <w:rPr>
                <w:rFonts w:eastAsia="Times New Roman"/>
                <w:b/>
                <w:sz w:val="22"/>
                <w:szCs w:val="22"/>
              </w:rPr>
              <w:t>Punctul de referință pentru 2018</w:t>
            </w:r>
          </w:p>
        </w:tc>
        <w:tc>
          <w:tcPr>
            <w:tcW w:w="1704" w:type="dxa"/>
            <w:vAlign w:val="center"/>
          </w:tcPr>
          <w:p w:rsidR="000A7D0A" w:rsidRPr="004F0E88" w:rsidRDefault="000A7D0A" w:rsidP="004F0E88">
            <w:pPr>
              <w:jc w:val="center"/>
              <w:rPr>
                <w:sz w:val="22"/>
                <w:szCs w:val="22"/>
                <w:lang w:val="fr-FR"/>
              </w:rPr>
            </w:pPr>
            <w:r w:rsidRPr="004F0E88">
              <w:rPr>
                <w:rFonts w:eastAsia="Times New Roman"/>
                <w:b/>
                <w:sz w:val="22"/>
                <w:szCs w:val="22"/>
              </w:rPr>
              <w:t>Obiectivul final (2023)</w:t>
            </w:r>
          </w:p>
        </w:tc>
      </w:tr>
      <w:tr w:rsidR="000A7D0A" w:rsidRPr="004F0E88" w:rsidTr="004F0E88">
        <w:trPr>
          <w:jc w:val="center"/>
        </w:trPr>
        <w:tc>
          <w:tcPr>
            <w:tcW w:w="1703" w:type="dxa"/>
            <w:vAlign w:val="center"/>
          </w:tcPr>
          <w:p w:rsidR="000A7D0A" w:rsidRPr="004F0E88" w:rsidRDefault="000A7D0A" w:rsidP="004F0E88">
            <w:pPr>
              <w:jc w:val="left"/>
              <w:rPr>
                <w:sz w:val="22"/>
                <w:szCs w:val="22"/>
                <w:lang w:val="fr-FR"/>
              </w:rPr>
            </w:pPr>
            <w:r w:rsidRPr="004F0E88">
              <w:rPr>
                <w:sz w:val="22"/>
                <w:szCs w:val="22"/>
              </w:rPr>
              <w:t>AP 1</w:t>
            </w:r>
          </w:p>
        </w:tc>
        <w:tc>
          <w:tcPr>
            <w:tcW w:w="1703" w:type="dxa"/>
            <w:vAlign w:val="center"/>
          </w:tcPr>
          <w:p w:rsidR="000A7D0A" w:rsidRPr="004F0E88" w:rsidRDefault="000A7D0A" w:rsidP="004F0E88">
            <w:pPr>
              <w:jc w:val="left"/>
              <w:rPr>
                <w:sz w:val="22"/>
                <w:szCs w:val="22"/>
                <w:lang w:val="fr-FR"/>
              </w:rPr>
            </w:pPr>
            <w:r w:rsidRPr="004F0E88">
              <w:rPr>
                <w:sz w:val="22"/>
                <w:szCs w:val="22"/>
              </w:rPr>
              <w:t>Etapa cheie de implementare</w:t>
            </w:r>
          </w:p>
        </w:tc>
        <w:tc>
          <w:tcPr>
            <w:tcW w:w="1703" w:type="dxa"/>
            <w:vAlign w:val="center"/>
          </w:tcPr>
          <w:p w:rsidR="000A7D0A" w:rsidRPr="004F0E88" w:rsidRDefault="000A7D0A" w:rsidP="004F0E88">
            <w:pPr>
              <w:jc w:val="left"/>
              <w:rPr>
                <w:sz w:val="22"/>
                <w:szCs w:val="22"/>
                <w:lang w:val="fr-FR"/>
              </w:rPr>
            </w:pPr>
            <w:r w:rsidRPr="004F0E88">
              <w:rPr>
                <w:sz w:val="22"/>
                <w:szCs w:val="22"/>
                <w:lang w:val="fr-FR"/>
              </w:rPr>
              <w:t>Nr. KM</w:t>
            </w:r>
          </w:p>
        </w:tc>
        <w:tc>
          <w:tcPr>
            <w:tcW w:w="1703" w:type="dxa"/>
            <w:vAlign w:val="center"/>
          </w:tcPr>
          <w:p w:rsidR="000A7D0A" w:rsidRPr="004F0E88" w:rsidRDefault="000A7D0A" w:rsidP="004F0E88">
            <w:pPr>
              <w:jc w:val="left"/>
              <w:rPr>
                <w:sz w:val="22"/>
                <w:szCs w:val="22"/>
                <w:lang w:val="fr-FR"/>
              </w:rPr>
            </w:pPr>
            <w:r w:rsidRPr="004F0E88">
              <w:rPr>
                <w:sz w:val="22"/>
                <w:szCs w:val="22"/>
                <w:lang w:val="fr-FR"/>
              </w:rPr>
              <w:t>60 km</w:t>
            </w:r>
          </w:p>
        </w:tc>
        <w:tc>
          <w:tcPr>
            <w:tcW w:w="1704" w:type="dxa"/>
            <w:vAlign w:val="center"/>
          </w:tcPr>
          <w:p w:rsidR="000A7D0A" w:rsidRPr="004F0E88" w:rsidRDefault="000A7D0A" w:rsidP="004F0E88">
            <w:pPr>
              <w:jc w:val="left"/>
              <w:rPr>
                <w:sz w:val="22"/>
                <w:szCs w:val="22"/>
                <w:lang w:val="fr-FR"/>
              </w:rPr>
            </w:pPr>
          </w:p>
        </w:tc>
      </w:tr>
      <w:tr w:rsidR="000A7D0A" w:rsidRPr="004F0E88" w:rsidTr="004F0E88">
        <w:trPr>
          <w:jc w:val="center"/>
        </w:trPr>
        <w:tc>
          <w:tcPr>
            <w:tcW w:w="1703" w:type="dxa"/>
            <w:vAlign w:val="center"/>
          </w:tcPr>
          <w:p w:rsidR="000A7D0A" w:rsidRPr="004F0E88" w:rsidRDefault="000A7D0A" w:rsidP="004F0E88">
            <w:pPr>
              <w:jc w:val="left"/>
              <w:rPr>
                <w:sz w:val="22"/>
                <w:szCs w:val="22"/>
                <w:lang w:val="fr-FR"/>
              </w:rPr>
            </w:pPr>
            <w:r w:rsidRPr="004F0E88">
              <w:rPr>
                <w:sz w:val="22"/>
                <w:szCs w:val="22"/>
                <w:lang w:val="fr-FR"/>
              </w:rPr>
              <w:t>AP 1</w:t>
            </w:r>
          </w:p>
        </w:tc>
        <w:tc>
          <w:tcPr>
            <w:tcW w:w="1703" w:type="dxa"/>
            <w:vAlign w:val="center"/>
          </w:tcPr>
          <w:p w:rsidR="000A7D0A" w:rsidRPr="004F0E88" w:rsidRDefault="000A7D0A" w:rsidP="004F0E88">
            <w:pPr>
              <w:jc w:val="left"/>
              <w:rPr>
                <w:sz w:val="22"/>
                <w:szCs w:val="22"/>
                <w:lang w:val="fr-FR"/>
              </w:rPr>
            </w:pPr>
            <w:r w:rsidRPr="004F0E88">
              <w:rPr>
                <w:sz w:val="22"/>
                <w:szCs w:val="22"/>
                <w:lang w:val="fr-FR"/>
              </w:rPr>
              <w:t>Indicat</w:t>
            </w:r>
            <w:r w:rsidRPr="004F0E88">
              <w:rPr>
                <w:sz w:val="22"/>
                <w:szCs w:val="22"/>
              </w:rPr>
              <w:t>or de rezultat</w:t>
            </w:r>
          </w:p>
        </w:tc>
        <w:tc>
          <w:tcPr>
            <w:tcW w:w="1703" w:type="dxa"/>
            <w:vAlign w:val="center"/>
          </w:tcPr>
          <w:p w:rsidR="000A7D0A" w:rsidRPr="004F0E88" w:rsidRDefault="000A7D0A" w:rsidP="004F0E88">
            <w:pPr>
              <w:jc w:val="left"/>
              <w:rPr>
                <w:sz w:val="22"/>
                <w:szCs w:val="22"/>
                <w:lang w:val="fr-FR"/>
              </w:rPr>
            </w:pPr>
            <w:r w:rsidRPr="004F0E88">
              <w:rPr>
                <w:sz w:val="22"/>
                <w:szCs w:val="22"/>
                <w:lang w:val="fr-FR"/>
              </w:rPr>
              <w:t>Nr. Km a</w:t>
            </w:r>
            <w:r w:rsidR="004F0E88">
              <w:rPr>
                <w:sz w:val="22"/>
                <w:szCs w:val="22"/>
                <w:lang w:val="fr-FR"/>
              </w:rPr>
              <w:t>i</w:t>
            </w:r>
            <w:r w:rsidRPr="004F0E88">
              <w:rPr>
                <w:sz w:val="22"/>
                <w:szCs w:val="22"/>
                <w:lang w:val="fr-FR"/>
              </w:rPr>
              <w:t xml:space="preserve"> drumurilor reconstruite sau modernizate</w:t>
            </w:r>
          </w:p>
        </w:tc>
        <w:tc>
          <w:tcPr>
            <w:tcW w:w="1703" w:type="dxa"/>
            <w:vAlign w:val="center"/>
          </w:tcPr>
          <w:p w:rsidR="000A7D0A" w:rsidRPr="004F0E88" w:rsidRDefault="000A7D0A" w:rsidP="004F0E88">
            <w:pPr>
              <w:jc w:val="left"/>
              <w:rPr>
                <w:sz w:val="22"/>
                <w:szCs w:val="22"/>
                <w:lang w:val="fr-FR"/>
              </w:rPr>
            </w:pPr>
          </w:p>
        </w:tc>
        <w:tc>
          <w:tcPr>
            <w:tcW w:w="1704" w:type="dxa"/>
            <w:vAlign w:val="center"/>
          </w:tcPr>
          <w:p w:rsidR="000A7D0A" w:rsidRPr="004F0E88" w:rsidRDefault="000A7D0A" w:rsidP="004F0E88">
            <w:pPr>
              <w:jc w:val="left"/>
              <w:rPr>
                <w:sz w:val="22"/>
                <w:szCs w:val="22"/>
                <w:lang w:val="fr-FR"/>
              </w:rPr>
            </w:pPr>
            <w:r w:rsidRPr="004F0E88">
              <w:rPr>
                <w:sz w:val="22"/>
                <w:szCs w:val="22"/>
                <w:lang w:val="fr-FR"/>
              </w:rPr>
              <w:t>120 km</w:t>
            </w:r>
          </w:p>
        </w:tc>
      </w:tr>
      <w:tr w:rsidR="000A7D0A" w:rsidRPr="004F0E88" w:rsidTr="004F0E88">
        <w:trPr>
          <w:jc w:val="center"/>
        </w:trPr>
        <w:tc>
          <w:tcPr>
            <w:tcW w:w="1703" w:type="dxa"/>
            <w:vAlign w:val="center"/>
          </w:tcPr>
          <w:p w:rsidR="000A7D0A" w:rsidRPr="004F0E88" w:rsidRDefault="000A7D0A" w:rsidP="004F0E88">
            <w:pPr>
              <w:jc w:val="left"/>
              <w:rPr>
                <w:sz w:val="22"/>
                <w:szCs w:val="22"/>
                <w:lang w:val="fr-FR"/>
              </w:rPr>
            </w:pPr>
            <w:r w:rsidRPr="004F0E88">
              <w:rPr>
                <w:sz w:val="22"/>
                <w:szCs w:val="22"/>
                <w:lang w:val="fr-FR"/>
              </w:rPr>
              <w:t>AP 1</w:t>
            </w:r>
          </w:p>
        </w:tc>
        <w:tc>
          <w:tcPr>
            <w:tcW w:w="1703" w:type="dxa"/>
            <w:vAlign w:val="center"/>
          </w:tcPr>
          <w:p w:rsidR="000A7D0A" w:rsidRPr="004F0E88" w:rsidRDefault="000A7D0A" w:rsidP="004F0E88">
            <w:pPr>
              <w:jc w:val="left"/>
              <w:rPr>
                <w:sz w:val="22"/>
                <w:szCs w:val="22"/>
                <w:lang w:val="fr-FR"/>
              </w:rPr>
            </w:pPr>
            <w:r w:rsidRPr="004F0E88">
              <w:rPr>
                <w:sz w:val="22"/>
                <w:szCs w:val="22"/>
                <w:lang w:val="fr-FR"/>
              </w:rPr>
              <w:t>Indicator financ</w:t>
            </w:r>
            <w:r w:rsidRPr="004F0E88">
              <w:rPr>
                <w:sz w:val="22"/>
                <w:szCs w:val="22"/>
              </w:rPr>
              <w:t>iar</w:t>
            </w:r>
          </w:p>
        </w:tc>
        <w:tc>
          <w:tcPr>
            <w:tcW w:w="1703" w:type="dxa"/>
            <w:vAlign w:val="center"/>
          </w:tcPr>
          <w:p w:rsidR="000A7D0A" w:rsidRPr="004F0E88" w:rsidRDefault="000A7D0A" w:rsidP="004F0E88">
            <w:pPr>
              <w:jc w:val="left"/>
              <w:rPr>
                <w:sz w:val="22"/>
                <w:szCs w:val="22"/>
                <w:lang w:val="fr-FR"/>
              </w:rPr>
            </w:pPr>
            <w:r w:rsidRPr="004F0E88">
              <w:rPr>
                <w:sz w:val="22"/>
                <w:szCs w:val="22"/>
                <w:lang w:val="fr-FR"/>
              </w:rPr>
              <w:t>euro</w:t>
            </w:r>
          </w:p>
        </w:tc>
        <w:tc>
          <w:tcPr>
            <w:tcW w:w="1703" w:type="dxa"/>
            <w:vAlign w:val="center"/>
          </w:tcPr>
          <w:p w:rsidR="000A7D0A" w:rsidRPr="004F0E88" w:rsidRDefault="000A7D0A" w:rsidP="004F0E88">
            <w:pPr>
              <w:jc w:val="left"/>
              <w:rPr>
                <w:sz w:val="22"/>
                <w:szCs w:val="22"/>
                <w:lang w:val="fr-FR"/>
              </w:rPr>
            </w:pPr>
            <w:r w:rsidRPr="004F0E88">
              <w:rPr>
                <w:sz w:val="22"/>
                <w:szCs w:val="22"/>
              </w:rPr>
              <w:t>7,000,000</w:t>
            </w:r>
          </w:p>
        </w:tc>
        <w:tc>
          <w:tcPr>
            <w:tcW w:w="1704" w:type="dxa"/>
            <w:vAlign w:val="center"/>
          </w:tcPr>
          <w:p w:rsidR="000A7D0A" w:rsidRPr="004F0E88" w:rsidRDefault="000A7D0A" w:rsidP="004F0E88">
            <w:pPr>
              <w:jc w:val="left"/>
              <w:rPr>
                <w:sz w:val="22"/>
                <w:szCs w:val="22"/>
                <w:lang w:val="fr-FR"/>
              </w:rPr>
            </w:pPr>
            <w:r w:rsidRPr="004F0E88">
              <w:rPr>
                <w:sz w:val="22"/>
                <w:szCs w:val="22"/>
              </w:rPr>
              <w:t>80,000,000</w:t>
            </w:r>
          </w:p>
        </w:tc>
      </w:tr>
      <w:tr w:rsidR="000A7D0A" w:rsidRPr="004F0E88" w:rsidTr="004F0E88">
        <w:trPr>
          <w:jc w:val="center"/>
        </w:trPr>
        <w:tc>
          <w:tcPr>
            <w:tcW w:w="1703" w:type="dxa"/>
            <w:vAlign w:val="center"/>
          </w:tcPr>
          <w:p w:rsidR="000A7D0A" w:rsidRPr="004F0E88" w:rsidRDefault="004F0E88" w:rsidP="004F0E88">
            <w:pPr>
              <w:jc w:val="left"/>
              <w:rPr>
                <w:sz w:val="22"/>
                <w:szCs w:val="22"/>
                <w:lang w:val="fr-FR"/>
              </w:rPr>
            </w:pPr>
            <w:r w:rsidRPr="004F0E88">
              <w:rPr>
                <w:sz w:val="22"/>
                <w:szCs w:val="22"/>
                <w:lang w:val="fr-FR"/>
              </w:rPr>
              <w:t>AP 2</w:t>
            </w:r>
          </w:p>
        </w:tc>
        <w:tc>
          <w:tcPr>
            <w:tcW w:w="1703" w:type="dxa"/>
            <w:vAlign w:val="center"/>
          </w:tcPr>
          <w:p w:rsidR="000A7D0A" w:rsidRPr="004F0E88" w:rsidRDefault="004F0E88" w:rsidP="004F0E88">
            <w:pPr>
              <w:jc w:val="left"/>
              <w:rPr>
                <w:sz w:val="22"/>
                <w:szCs w:val="22"/>
                <w:lang w:val="fr-FR"/>
              </w:rPr>
            </w:pPr>
            <w:r w:rsidRPr="004F0E88">
              <w:rPr>
                <w:sz w:val="22"/>
                <w:szCs w:val="22"/>
              </w:rPr>
              <w:t>Indicator de rezultat</w:t>
            </w:r>
          </w:p>
        </w:tc>
        <w:tc>
          <w:tcPr>
            <w:tcW w:w="1703" w:type="dxa"/>
            <w:vAlign w:val="center"/>
          </w:tcPr>
          <w:p w:rsidR="000A7D0A" w:rsidRPr="004F0E88" w:rsidRDefault="004F0E88" w:rsidP="004F0E88">
            <w:pPr>
              <w:jc w:val="left"/>
              <w:rPr>
                <w:sz w:val="22"/>
                <w:szCs w:val="22"/>
                <w:lang w:val="fr-FR"/>
              </w:rPr>
            </w:pPr>
            <w:r w:rsidRPr="004F0E88">
              <w:rPr>
                <w:sz w:val="22"/>
                <w:szCs w:val="22"/>
              </w:rPr>
              <w:t>cifrã</w:t>
            </w:r>
          </w:p>
        </w:tc>
        <w:tc>
          <w:tcPr>
            <w:tcW w:w="1703" w:type="dxa"/>
            <w:vAlign w:val="center"/>
          </w:tcPr>
          <w:p w:rsidR="000A7D0A" w:rsidRPr="004F0E88" w:rsidRDefault="004F0E88" w:rsidP="004F0E88">
            <w:pPr>
              <w:jc w:val="left"/>
              <w:rPr>
                <w:sz w:val="22"/>
                <w:szCs w:val="22"/>
                <w:lang w:val="fr-FR"/>
              </w:rPr>
            </w:pPr>
            <w:r w:rsidRPr="004F0E88">
              <w:rPr>
                <w:sz w:val="22"/>
                <w:szCs w:val="22"/>
              </w:rPr>
              <w:t>20,000</w:t>
            </w:r>
          </w:p>
        </w:tc>
        <w:tc>
          <w:tcPr>
            <w:tcW w:w="1704" w:type="dxa"/>
            <w:vAlign w:val="center"/>
          </w:tcPr>
          <w:p w:rsidR="000A7D0A" w:rsidRPr="004F0E88" w:rsidRDefault="004F0E88" w:rsidP="004F0E88">
            <w:pPr>
              <w:jc w:val="left"/>
              <w:rPr>
                <w:sz w:val="22"/>
                <w:szCs w:val="22"/>
                <w:lang w:val="fr-FR"/>
              </w:rPr>
            </w:pPr>
            <w:r w:rsidRPr="004F0E88">
              <w:rPr>
                <w:sz w:val="22"/>
                <w:szCs w:val="22"/>
              </w:rPr>
              <w:t>10,000.00</w:t>
            </w:r>
          </w:p>
        </w:tc>
      </w:tr>
      <w:tr w:rsidR="000A7D0A" w:rsidRPr="004F0E88" w:rsidTr="004F0E88">
        <w:trPr>
          <w:jc w:val="center"/>
        </w:trPr>
        <w:tc>
          <w:tcPr>
            <w:tcW w:w="1703" w:type="dxa"/>
            <w:vAlign w:val="center"/>
          </w:tcPr>
          <w:p w:rsidR="000A7D0A" w:rsidRPr="004F0E88" w:rsidRDefault="004F0E88" w:rsidP="004F0E88">
            <w:pPr>
              <w:jc w:val="left"/>
              <w:rPr>
                <w:sz w:val="22"/>
                <w:szCs w:val="22"/>
                <w:lang w:val="fr-FR"/>
              </w:rPr>
            </w:pPr>
            <w:r w:rsidRPr="004F0E88">
              <w:rPr>
                <w:sz w:val="22"/>
                <w:szCs w:val="22"/>
                <w:lang w:val="fr-FR"/>
              </w:rPr>
              <w:t>AP 2</w:t>
            </w:r>
          </w:p>
        </w:tc>
        <w:tc>
          <w:tcPr>
            <w:tcW w:w="1703" w:type="dxa"/>
            <w:vAlign w:val="center"/>
          </w:tcPr>
          <w:p w:rsidR="000A7D0A" w:rsidRPr="004F0E88" w:rsidRDefault="004F0E88" w:rsidP="004F0E88">
            <w:pPr>
              <w:jc w:val="left"/>
              <w:rPr>
                <w:sz w:val="22"/>
                <w:szCs w:val="22"/>
                <w:lang w:val="fr-FR"/>
              </w:rPr>
            </w:pPr>
            <w:r w:rsidRPr="004F0E88">
              <w:rPr>
                <w:sz w:val="22"/>
                <w:szCs w:val="22"/>
              </w:rPr>
              <w:t>Indicator de rezultat</w:t>
            </w:r>
          </w:p>
        </w:tc>
        <w:tc>
          <w:tcPr>
            <w:tcW w:w="1703" w:type="dxa"/>
            <w:vAlign w:val="center"/>
          </w:tcPr>
          <w:p w:rsidR="000A7D0A" w:rsidRPr="004F0E88" w:rsidRDefault="004F0E88" w:rsidP="004F0E88">
            <w:pPr>
              <w:jc w:val="left"/>
              <w:rPr>
                <w:sz w:val="22"/>
                <w:szCs w:val="22"/>
                <w:lang w:val="fr-FR"/>
              </w:rPr>
            </w:pPr>
            <w:r w:rsidRPr="004F0E88">
              <w:rPr>
                <w:sz w:val="22"/>
                <w:szCs w:val="22"/>
              </w:rPr>
              <w:t>cifrã</w:t>
            </w:r>
          </w:p>
        </w:tc>
        <w:tc>
          <w:tcPr>
            <w:tcW w:w="1703" w:type="dxa"/>
            <w:vAlign w:val="center"/>
          </w:tcPr>
          <w:p w:rsidR="000A7D0A" w:rsidRPr="004F0E88" w:rsidRDefault="004F0E88" w:rsidP="004F0E88">
            <w:pPr>
              <w:jc w:val="left"/>
              <w:rPr>
                <w:sz w:val="22"/>
                <w:szCs w:val="22"/>
                <w:lang w:val="fr-FR"/>
              </w:rPr>
            </w:pPr>
            <w:r w:rsidRPr="004F0E88">
              <w:rPr>
                <w:sz w:val="22"/>
                <w:szCs w:val="22"/>
                <w:lang w:val="fr-FR"/>
              </w:rPr>
              <w:t>10</w:t>
            </w:r>
          </w:p>
        </w:tc>
        <w:tc>
          <w:tcPr>
            <w:tcW w:w="1704" w:type="dxa"/>
            <w:vAlign w:val="center"/>
          </w:tcPr>
          <w:p w:rsidR="000A7D0A" w:rsidRPr="004F0E88" w:rsidRDefault="004F0E88" w:rsidP="004F0E88">
            <w:pPr>
              <w:jc w:val="left"/>
              <w:rPr>
                <w:sz w:val="22"/>
                <w:szCs w:val="22"/>
                <w:lang w:val="fr-FR"/>
              </w:rPr>
            </w:pPr>
            <w:r w:rsidRPr="004F0E88">
              <w:rPr>
                <w:sz w:val="22"/>
                <w:szCs w:val="22"/>
                <w:lang w:val="fr-FR"/>
              </w:rPr>
              <w:t>100</w:t>
            </w:r>
          </w:p>
        </w:tc>
      </w:tr>
      <w:tr w:rsidR="000A7D0A" w:rsidRPr="004F0E88" w:rsidTr="004F0E88">
        <w:trPr>
          <w:jc w:val="center"/>
        </w:trPr>
        <w:tc>
          <w:tcPr>
            <w:tcW w:w="1703" w:type="dxa"/>
            <w:vAlign w:val="center"/>
          </w:tcPr>
          <w:p w:rsidR="000A7D0A" w:rsidRPr="004F0E88" w:rsidRDefault="004F0E88" w:rsidP="004F0E88">
            <w:pPr>
              <w:jc w:val="left"/>
              <w:rPr>
                <w:sz w:val="22"/>
                <w:szCs w:val="22"/>
                <w:lang w:val="fr-FR"/>
              </w:rPr>
            </w:pPr>
            <w:r w:rsidRPr="004F0E88">
              <w:rPr>
                <w:sz w:val="22"/>
                <w:szCs w:val="22"/>
                <w:lang w:val="fr-FR"/>
              </w:rPr>
              <w:t>AP 2</w:t>
            </w:r>
          </w:p>
        </w:tc>
        <w:tc>
          <w:tcPr>
            <w:tcW w:w="1703" w:type="dxa"/>
            <w:vAlign w:val="center"/>
          </w:tcPr>
          <w:p w:rsidR="000A7D0A" w:rsidRPr="004F0E88" w:rsidRDefault="004F0E88" w:rsidP="004F0E88">
            <w:pPr>
              <w:jc w:val="left"/>
              <w:rPr>
                <w:sz w:val="22"/>
                <w:szCs w:val="22"/>
                <w:lang w:val="fr-FR"/>
              </w:rPr>
            </w:pPr>
            <w:r w:rsidRPr="004F0E88">
              <w:rPr>
                <w:sz w:val="22"/>
                <w:szCs w:val="22"/>
                <w:lang w:val="fr-FR"/>
              </w:rPr>
              <w:t>Indicator financ</w:t>
            </w:r>
            <w:r w:rsidRPr="004F0E88">
              <w:rPr>
                <w:sz w:val="22"/>
                <w:szCs w:val="22"/>
              </w:rPr>
              <w:t>iar</w:t>
            </w:r>
          </w:p>
        </w:tc>
        <w:tc>
          <w:tcPr>
            <w:tcW w:w="1703" w:type="dxa"/>
            <w:vAlign w:val="center"/>
          </w:tcPr>
          <w:p w:rsidR="000A7D0A" w:rsidRPr="004F0E88" w:rsidRDefault="004F0E88" w:rsidP="004F0E88">
            <w:pPr>
              <w:jc w:val="left"/>
              <w:rPr>
                <w:sz w:val="22"/>
                <w:szCs w:val="22"/>
                <w:lang w:val="fr-FR"/>
              </w:rPr>
            </w:pPr>
            <w:r w:rsidRPr="004F0E88">
              <w:rPr>
                <w:sz w:val="22"/>
                <w:szCs w:val="22"/>
                <w:lang w:val="fr-FR"/>
              </w:rPr>
              <w:t>euro</w:t>
            </w:r>
          </w:p>
        </w:tc>
        <w:tc>
          <w:tcPr>
            <w:tcW w:w="1703" w:type="dxa"/>
            <w:vAlign w:val="center"/>
          </w:tcPr>
          <w:p w:rsidR="000A7D0A" w:rsidRPr="004F0E88" w:rsidRDefault="004F0E88" w:rsidP="004F0E88">
            <w:pPr>
              <w:jc w:val="left"/>
              <w:rPr>
                <w:sz w:val="22"/>
                <w:szCs w:val="22"/>
                <w:lang w:val="fr-FR"/>
              </w:rPr>
            </w:pPr>
            <w:r w:rsidRPr="004F0E88">
              <w:rPr>
                <w:sz w:val="22"/>
                <w:szCs w:val="22"/>
              </w:rPr>
              <w:t>4,500,000</w:t>
            </w:r>
          </w:p>
        </w:tc>
        <w:tc>
          <w:tcPr>
            <w:tcW w:w="1704" w:type="dxa"/>
            <w:vAlign w:val="center"/>
          </w:tcPr>
          <w:p w:rsidR="000A7D0A" w:rsidRPr="004F0E88" w:rsidRDefault="004F0E88" w:rsidP="004F0E88">
            <w:pPr>
              <w:jc w:val="left"/>
              <w:rPr>
                <w:sz w:val="22"/>
                <w:szCs w:val="22"/>
                <w:lang w:val="fr-FR"/>
              </w:rPr>
            </w:pPr>
            <w:r w:rsidRPr="004F0E88">
              <w:rPr>
                <w:sz w:val="22"/>
                <w:szCs w:val="22"/>
              </w:rPr>
              <w:t>52,000,000</w:t>
            </w:r>
          </w:p>
        </w:tc>
      </w:tr>
      <w:tr w:rsidR="000A7D0A" w:rsidRPr="004F0E88" w:rsidTr="004F0E88">
        <w:trPr>
          <w:jc w:val="center"/>
        </w:trPr>
        <w:tc>
          <w:tcPr>
            <w:tcW w:w="1703" w:type="dxa"/>
            <w:vAlign w:val="center"/>
          </w:tcPr>
          <w:p w:rsidR="000A7D0A" w:rsidRPr="004F0E88" w:rsidRDefault="004F0E88" w:rsidP="004F0E88">
            <w:pPr>
              <w:jc w:val="left"/>
              <w:rPr>
                <w:sz w:val="22"/>
                <w:szCs w:val="22"/>
                <w:lang w:val="fr-FR"/>
              </w:rPr>
            </w:pPr>
            <w:r w:rsidRPr="004F0E88">
              <w:rPr>
                <w:sz w:val="22"/>
                <w:szCs w:val="22"/>
                <w:lang w:val="fr-FR"/>
              </w:rPr>
              <w:t>AP 3</w:t>
            </w:r>
          </w:p>
        </w:tc>
        <w:tc>
          <w:tcPr>
            <w:tcW w:w="1703" w:type="dxa"/>
            <w:vAlign w:val="center"/>
          </w:tcPr>
          <w:p w:rsidR="000A7D0A" w:rsidRPr="004F0E88" w:rsidRDefault="004F0E88" w:rsidP="004F0E88">
            <w:pPr>
              <w:jc w:val="left"/>
              <w:rPr>
                <w:sz w:val="22"/>
                <w:szCs w:val="22"/>
                <w:lang w:val="fr-FR"/>
              </w:rPr>
            </w:pPr>
            <w:r w:rsidRPr="004F0E88">
              <w:rPr>
                <w:sz w:val="22"/>
                <w:szCs w:val="22"/>
              </w:rPr>
              <w:t>Indicator de rezultat</w:t>
            </w:r>
          </w:p>
        </w:tc>
        <w:tc>
          <w:tcPr>
            <w:tcW w:w="1703" w:type="dxa"/>
            <w:vAlign w:val="center"/>
          </w:tcPr>
          <w:p w:rsidR="000A7D0A" w:rsidRPr="004F0E88" w:rsidRDefault="004F0E88" w:rsidP="004F0E88">
            <w:pPr>
              <w:jc w:val="left"/>
              <w:rPr>
                <w:sz w:val="22"/>
                <w:szCs w:val="22"/>
                <w:lang w:val="fr-FR"/>
              </w:rPr>
            </w:pPr>
            <w:r w:rsidRPr="004F0E88">
              <w:rPr>
                <w:sz w:val="22"/>
                <w:szCs w:val="22"/>
                <w:lang w:val="fr-FR"/>
              </w:rPr>
              <w:t xml:space="preserve">Nr </w:t>
            </w:r>
          </w:p>
        </w:tc>
        <w:tc>
          <w:tcPr>
            <w:tcW w:w="1703" w:type="dxa"/>
            <w:vAlign w:val="center"/>
          </w:tcPr>
          <w:p w:rsidR="000A7D0A" w:rsidRPr="004F0E88" w:rsidRDefault="004F0E88" w:rsidP="004F0E88">
            <w:pPr>
              <w:jc w:val="left"/>
              <w:rPr>
                <w:sz w:val="22"/>
                <w:szCs w:val="22"/>
                <w:lang w:val="fr-FR"/>
              </w:rPr>
            </w:pPr>
            <w:r w:rsidRPr="004F0E88">
              <w:rPr>
                <w:sz w:val="22"/>
                <w:szCs w:val="22"/>
                <w:lang w:val="fr-FR"/>
              </w:rPr>
              <w:t>10</w:t>
            </w:r>
          </w:p>
        </w:tc>
        <w:tc>
          <w:tcPr>
            <w:tcW w:w="1704" w:type="dxa"/>
            <w:vAlign w:val="center"/>
          </w:tcPr>
          <w:p w:rsidR="000A7D0A" w:rsidRPr="004F0E88" w:rsidRDefault="004F0E88" w:rsidP="004F0E88">
            <w:pPr>
              <w:jc w:val="left"/>
              <w:rPr>
                <w:sz w:val="22"/>
                <w:szCs w:val="22"/>
                <w:lang w:val="fr-FR"/>
              </w:rPr>
            </w:pPr>
            <w:r w:rsidRPr="004F0E88">
              <w:rPr>
                <w:sz w:val="22"/>
                <w:szCs w:val="22"/>
                <w:lang w:val="fr-FR"/>
              </w:rPr>
              <w:t>50</w:t>
            </w:r>
          </w:p>
        </w:tc>
      </w:tr>
      <w:tr w:rsidR="004F0E88" w:rsidRPr="004F0E88" w:rsidTr="004F0E88">
        <w:trPr>
          <w:jc w:val="center"/>
        </w:trPr>
        <w:tc>
          <w:tcPr>
            <w:tcW w:w="1703" w:type="dxa"/>
            <w:vAlign w:val="center"/>
          </w:tcPr>
          <w:p w:rsidR="004F0E88" w:rsidRPr="004F0E88" w:rsidRDefault="004F0E88" w:rsidP="004F0E88">
            <w:pPr>
              <w:jc w:val="left"/>
              <w:rPr>
                <w:sz w:val="22"/>
                <w:szCs w:val="22"/>
                <w:lang w:val="fr-FR"/>
              </w:rPr>
            </w:pPr>
            <w:r w:rsidRPr="004F0E88">
              <w:rPr>
                <w:sz w:val="22"/>
                <w:szCs w:val="22"/>
                <w:lang w:val="fr-FR"/>
              </w:rPr>
              <w:t>AP 3</w:t>
            </w:r>
          </w:p>
        </w:tc>
        <w:tc>
          <w:tcPr>
            <w:tcW w:w="1703" w:type="dxa"/>
            <w:vAlign w:val="center"/>
          </w:tcPr>
          <w:p w:rsidR="004F0E88" w:rsidRPr="004F0E88" w:rsidRDefault="004F0E88" w:rsidP="004F0E88">
            <w:pPr>
              <w:jc w:val="left"/>
              <w:rPr>
                <w:sz w:val="22"/>
                <w:szCs w:val="22"/>
                <w:lang w:val="fr-FR"/>
              </w:rPr>
            </w:pPr>
            <w:r w:rsidRPr="004F0E88">
              <w:rPr>
                <w:sz w:val="22"/>
                <w:szCs w:val="22"/>
                <w:lang w:val="fr-FR"/>
              </w:rPr>
              <w:t>Indicator financ</w:t>
            </w:r>
            <w:r w:rsidRPr="004F0E88">
              <w:rPr>
                <w:sz w:val="22"/>
                <w:szCs w:val="22"/>
              </w:rPr>
              <w:t>iar</w:t>
            </w:r>
          </w:p>
        </w:tc>
        <w:tc>
          <w:tcPr>
            <w:tcW w:w="1703" w:type="dxa"/>
            <w:vAlign w:val="center"/>
          </w:tcPr>
          <w:p w:rsidR="004F0E88" w:rsidRPr="004F0E88" w:rsidRDefault="004F0E88" w:rsidP="004F0E88">
            <w:pPr>
              <w:jc w:val="left"/>
              <w:rPr>
                <w:sz w:val="22"/>
                <w:szCs w:val="22"/>
                <w:lang w:val="fr-FR"/>
              </w:rPr>
            </w:pPr>
            <w:r w:rsidRPr="004F0E88">
              <w:rPr>
                <w:sz w:val="22"/>
                <w:szCs w:val="22"/>
                <w:lang w:val="fr-FR"/>
              </w:rPr>
              <w:t>euro</w:t>
            </w:r>
          </w:p>
        </w:tc>
        <w:tc>
          <w:tcPr>
            <w:tcW w:w="1703" w:type="dxa"/>
            <w:vAlign w:val="center"/>
          </w:tcPr>
          <w:p w:rsidR="004F0E88" w:rsidRPr="004F0E88" w:rsidRDefault="004F0E88" w:rsidP="004F0E88">
            <w:pPr>
              <w:jc w:val="left"/>
              <w:rPr>
                <w:sz w:val="22"/>
                <w:szCs w:val="22"/>
                <w:lang w:val="fr-FR"/>
              </w:rPr>
            </w:pPr>
            <w:r w:rsidRPr="004F0E88">
              <w:rPr>
                <w:sz w:val="22"/>
                <w:szCs w:val="22"/>
              </w:rPr>
              <w:t>4,000,000</w:t>
            </w:r>
          </w:p>
        </w:tc>
        <w:tc>
          <w:tcPr>
            <w:tcW w:w="1704" w:type="dxa"/>
            <w:vAlign w:val="center"/>
          </w:tcPr>
          <w:p w:rsidR="004F0E88" w:rsidRPr="004F0E88" w:rsidRDefault="004F0E88" w:rsidP="004F0E88">
            <w:pPr>
              <w:jc w:val="left"/>
              <w:rPr>
                <w:sz w:val="22"/>
                <w:szCs w:val="22"/>
                <w:lang w:val="fr-FR"/>
              </w:rPr>
            </w:pPr>
            <w:r w:rsidRPr="004F0E88">
              <w:rPr>
                <w:sz w:val="22"/>
                <w:szCs w:val="22"/>
              </w:rPr>
              <w:t>40,000,000</w:t>
            </w:r>
          </w:p>
        </w:tc>
      </w:tr>
      <w:tr w:rsidR="004F0E88" w:rsidRPr="004F0E88" w:rsidTr="004F0E88">
        <w:trPr>
          <w:jc w:val="center"/>
        </w:trPr>
        <w:tc>
          <w:tcPr>
            <w:tcW w:w="1703" w:type="dxa"/>
            <w:vAlign w:val="center"/>
          </w:tcPr>
          <w:p w:rsidR="004F0E88" w:rsidRPr="004F0E88" w:rsidRDefault="004F0E88" w:rsidP="004F0E88">
            <w:pPr>
              <w:jc w:val="left"/>
              <w:rPr>
                <w:sz w:val="22"/>
                <w:szCs w:val="22"/>
                <w:lang w:val="fr-FR"/>
              </w:rPr>
            </w:pPr>
            <w:r w:rsidRPr="004F0E88">
              <w:rPr>
                <w:sz w:val="22"/>
                <w:szCs w:val="22"/>
                <w:lang w:val="fr-FR"/>
              </w:rPr>
              <w:lastRenderedPageBreak/>
              <w:t>AP 4</w:t>
            </w:r>
          </w:p>
        </w:tc>
        <w:tc>
          <w:tcPr>
            <w:tcW w:w="1703" w:type="dxa"/>
            <w:vAlign w:val="center"/>
          </w:tcPr>
          <w:p w:rsidR="004F0E88" w:rsidRPr="004F0E88" w:rsidRDefault="004F0E88" w:rsidP="004F0E88">
            <w:pPr>
              <w:jc w:val="left"/>
              <w:rPr>
                <w:sz w:val="22"/>
                <w:szCs w:val="22"/>
                <w:lang w:val="fr-FR"/>
              </w:rPr>
            </w:pPr>
            <w:r w:rsidRPr="004F0E88">
              <w:rPr>
                <w:sz w:val="22"/>
                <w:szCs w:val="22"/>
              </w:rPr>
              <w:t>Indicator de rezultat</w:t>
            </w:r>
          </w:p>
        </w:tc>
        <w:tc>
          <w:tcPr>
            <w:tcW w:w="1703" w:type="dxa"/>
            <w:vAlign w:val="center"/>
          </w:tcPr>
          <w:p w:rsidR="004F0E88" w:rsidRPr="004F0E88" w:rsidRDefault="004F0E88" w:rsidP="004F0E88">
            <w:pPr>
              <w:jc w:val="left"/>
              <w:rPr>
                <w:sz w:val="22"/>
                <w:szCs w:val="22"/>
                <w:lang w:val="fr-FR"/>
              </w:rPr>
            </w:pPr>
            <w:r w:rsidRPr="004F0E88">
              <w:rPr>
                <w:sz w:val="22"/>
                <w:szCs w:val="22"/>
                <w:lang w:val="fr-FR"/>
              </w:rPr>
              <w:t xml:space="preserve">Nr </w:t>
            </w:r>
          </w:p>
        </w:tc>
        <w:tc>
          <w:tcPr>
            <w:tcW w:w="1703" w:type="dxa"/>
            <w:vAlign w:val="center"/>
          </w:tcPr>
          <w:p w:rsidR="004F0E88" w:rsidRPr="004F0E88" w:rsidRDefault="004F0E88" w:rsidP="004F0E88">
            <w:pPr>
              <w:jc w:val="left"/>
              <w:rPr>
                <w:sz w:val="22"/>
                <w:szCs w:val="22"/>
                <w:lang w:val="fr-FR"/>
              </w:rPr>
            </w:pPr>
            <w:r w:rsidRPr="004F0E88">
              <w:rPr>
                <w:sz w:val="22"/>
                <w:szCs w:val="22"/>
                <w:lang w:val="fr-FR"/>
              </w:rPr>
              <w:t>10</w:t>
            </w:r>
          </w:p>
        </w:tc>
        <w:tc>
          <w:tcPr>
            <w:tcW w:w="1704" w:type="dxa"/>
            <w:vAlign w:val="center"/>
          </w:tcPr>
          <w:p w:rsidR="004F0E88" w:rsidRPr="004F0E88" w:rsidRDefault="004F0E88" w:rsidP="004F0E88">
            <w:pPr>
              <w:jc w:val="left"/>
              <w:rPr>
                <w:sz w:val="22"/>
                <w:szCs w:val="22"/>
                <w:lang w:val="fr-FR"/>
              </w:rPr>
            </w:pPr>
            <w:r w:rsidRPr="004F0E88">
              <w:rPr>
                <w:sz w:val="22"/>
                <w:szCs w:val="22"/>
                <w:lang w:val="fr-FR"/>
              </w:rPr>
              <w:t>50</w:t>
            </w:r>
          </w:p>
        </w:tc>
      </w:tr>
      <w:tr w:rsidR="004F0E88" w:rsidRPr="004F0E88" w:rsidTr="004F0E88">
        <w:trPr>
          <w:jc w:val="center"/>
        </w:trPr>
        <w:tc>
          <w:tcPr>
            <w:tcW w:w="1703" w:type="dxa"/>
            <w:vAlign w:val="center"/>
          </w:tcPr>
          <w:p w:rsidR="004F0E88" w:rsidRPr="004F0E88" w:rsidRDefault="004F0E88" w:rsidP="004F0E88">
            <w:pPr>
              <w:jc w:val="left"/>
              <w:rPr>
                <w:sz w:val="22"/>
                <w:szCs w:val="22"/>
                <w:lang w:val="fr-FR"/>
              </w:rPr>
            </w:pPr>
            <w:r w:rsidRPr="004F0E88">
              <w:rPr>
                <w:sz w:val="22"/>
                <w:szCs w:val="22"/>
                <w:lang w:val="fr-FR"/>
              </w:rPr>
              <w:t>AP4</w:t>
            </w:r>
          </w:p>
        </w:tc>
        <w:tc>
          <w:tcPr>
            <w:tcW w:w="1703" w:type="dxa"/>
            <w:vAlign w:val="center"/>
          </w:tcPr>
          <w:p w:rsidR="004F0E88" w:rsidRPr="004F0E88" w:rsidRDefault="004F0E88" w:rsidP="004F0E88">
            <w:pPr>
              <w:jc w:val="left"/>
              <w:rPr>
                <w:sz w:val="22"/>
                <w:szCs w:val="22"/>
                <w:lang w:val="fr-FR"/>
              </w:rPr>
            </w:pPr>
            <w:r w:rsidRPr="004F0E88">
              <w:rPr>
                <w:sz w:val="22"/>
                <w:szCs w:val="22"/>
                <w:lang w:val="fr-FR"/>
              </w:rPr>
              <w:t>Indicator financ</w:t>
            </w:r>
            <w:r w:rsidRPr="004F0E88">
              <w:rPr>
                <w:sz w:val="22"/>
                <w:szCs w:val="22"/>
              </w:rPr>
              <w:t>iar</w:t>
            </w:r>
          </w:p>
        </w:tc>
        <w:tc>
          <w:tcPr>
            <w:tcW w:w="1703" w:type="dxa"/>
            <w:vAlign w:val="center"/>
          </w:tcPr>
          <w:p w:rsidR="004F0E88" w:rsidRPr="004F0E88" w:rsidRDefault="004F0E88" w:rsidP="004F0E88">
            <w:pPr>
              <w:jc w:val="left"/>
              <w:rPr>
                <w:sz w:val="22"/>
                <w:szCs w:val="22"/>
                <w:lang w:val="fr-FR"/>
              </w:rPr>
            </w:pPr>
            <w:r w:rsidRPr="004F0E88">
              <w:rPr>
                <w:sz w:val="22"/>
                <w:szCs w:val="22"/>
                <w:lang w:val="fr-FR"/>
              </w:rPr>
              <w:t>euro</w:t>
            </w:r>
          </w:p>
        </w:tc>
        <w:tc>
          <w:tcPr>
            <w:tcW w:w="1703" w:type="dxa"/>
            <w:vAlign w:val="center"/>
          </w:tcPr>
          <w:p w:rsidR="004F0E88" w:rsidRPr="004F0E88" w:rsidRDefault="004F0E88" w:rsidP="004F0E88">
            <w:pPr>
              <w:jc w:val="left"/>
              <w:rPr>
                <w:sz w:val="22"/>
                <w:szCs w:val="22"/>
                <w:lang w:val="fr-FR"/>
              </w:rPr>
            </w:pPr>
            <w:r w:rsidRPr="004F0E88">
              <w:rPr>
                <w:sz w:val="22"/>
                <w:szCs w:val="22"/>
              </w:rPr>
              <w:t>1,000,000</w:t>
            </w:r>
          </w:p>
        </w:tc>
        <w:tc>
          <w:tcPr>
            <w:tcW w:w="1704" w:type="dxa"/>
            <w:vAlign w:val="center"/>
          </w:tcPr>
          <w:p w:rsidR="004F0E88" w:rsidRPr="004F0E88" w:rsidRDefault="004F0E88" w:rsidP="004F0E88">
            <w:pPr>
              <w:jc w:val="left"/>
              <w:rPr>
                <w:sz w:val="22"/>
                <w:szCs w:val="22"/>
                <w:lang w:val="fr-FR"/>
              </w:rPr>
            </w:pPr>
            <w:r w:rsidRPr="004F0E88">
              <w:rPr>
                <w:sz w:val="22"/>
                <w:szCs w:val="22"/>
              </w:rPr>
              <w:t>14,000,000</w:t>
            </w:r>
          </w:p>
        </w:tc>
      </w:tr>
      <w:tr w:rsidR="004F0E88" w:rsidRPr="004F0E88" w:rsidTr="004F0E88">
        <w:trPr>
          <w:jc w:val="center"/>
        </w:trPr>
        <w:tc>
          <w:tcPr>
            <w:tcW w:w="1703" w:type="dxa"/>
            <w:vAlign w:val="center"/>
          </w:tcPr>
          <w:p w:rsidR="004F0E88" w:rsidRPr="004F0E88" w:rsidRDefault="004F0E88" w:rsidP="004F0E88">
            <w:pPr>
              <w:jc w:val="left"/>
              <w:rPr>
                <w:sz w:val="22"/>
                <w:szCs w:val="22"/>
                <w:lang w:val="fr-FR"/>
              </w:rPr>
            </w:pPr>
            <w:r w:rsidRPr="004F0E88">
              <w:rPr>
                <w:sz w:val="22"/>
                <w:szCs w:val="22"/>
                <w:lang w:val="fr-FR"/>
              </w:rPr>
              <w:t>AP 5</w:t>
            </w:r>
          </w:p>
        </w:tc>
        <w:tc>
          <w:tcPr>
            <w:tcW w:w="1703" w:type="dxa"/>
            <w:vAlign w:val="center"/>
          </w:tcPr>
          <w:p w:rsidR="004F0E88" w:rsidRPr="004F0E88" w:rsidRDefault="004F0E88" w:rsidP="004F0E88">
            <w:pPr>
              <w:jc w:val="left"/>
              <w:rPr>
                <w:sz w:val="22"/>
                <w:szCs w:val="22"/>
                <w:lang w:val="fr-FR"/>
              </w:rPr>
            </w:pPr>
            <w:r w:rsidRPr="004F0E88">
              <w:rPr>
                <w:sz w:val="22"/>
                <w:szCs w:val="22"/>
              </w:rPr>
              <w:t>Indicator de rezultat</w:t>
            </w:r>
          </w:p>
        </w:tc>
        <w:tc>
          <w:tcPr>
            <w:tcW w:w="1703" w:type="dxa"/>
            <w:vAlign w:val="center"/>
          </w:tcPr>
          <w:p w:rsidR="004F0E88" w:rsidRPr="004F0E88" w:rsidRDefault="004F0E88" w:rsidP="004F0E88">
            <w:pPr>
              <w:jc w:val="left"/>
              <w:rPr>
                <w:sz w:val="22"/>
                <w:szCs w:val="22"/>
                <w:lang w:val="fr-FR"/>
              </w:rPr>
            </w:pPr>
            <w:r w:rsidRPr="004F0E88">
              <w:rPr>
                <w:sz w:val="22"/>
                <w:szCs w:val="22"/>
                <w:lang w:val="fr-FR"/>
              </w:rPr>
              <w:t xml:space="preserve">Nr </w:t>
            </w:r>
          </w:p>
        </w:tc>
        <w:tc>
          <w:tcPr>
            <w:tcW w:w="1703" w:type="dxa"/>
            <w:vAlign w:val="center"/>
          </w:tcPr>
          <w:p w:rsidR="004F0E88" w:rsidRPr="004F0E88" w:rsidRDefault="004F0E88" w:rsidP="004F0E88">
            <w:pPr>
              <w:jc w:val="left"/>
              <w:rPr>
                <w:sz w:val="22"/>
                <w:szCs w:val="22"/>
                <w:lang w:val="fr-FR"/>
              </w:rPr>
            </w:pPr>
            <w:r w:rsidRPr="004F0E88">
              <w:rPr>
                <w:sz w:val="22"/>
                <w:szCs w:val="22"/>
                <w:lang w:val="fr-FR"/>
              </w:rPr>
              <w:t>10</w:t>
            </w:r>
          </w:p>
        </w:tc>
        <w:tc>
          <w:tcPr>
            <w:tcW w:w="1704" w:type="dxa"/>
            <w:vAlign w:val="center"/>
          </w:tcPr>
          <w:p w:rsidR="004F0E88" w:rsidRPr="004F0E88" w:rsidRDefault="004F0E88" w:rsidP="004F0E88">
            <w:pPr>
              <w:jc w:val="left"/>
              <w:rPr>
                <w:sz w:val="22"/>
                <w:szCs w:val="22"/>
                <w:lang w:val="fr-FR"/>
              </w:rPr>
            </w:pPr>
            <w:r w:rsidRPr="004F0E88">
              <w:rPr>
                <w:sz w:val="22"/>
                <w:szCs w:val="22"/>
                <w:lang w:val="fr-FR"/>
              </w:rPr>
              <w:t>100</w:t>
            </w:r>
          </w:p>
        </w:tc>
      </w:tr>
      <w:tr w:rsidR="004F0E88" w:rsidRPr="004F0E88" w:rsidTr="004F0E88">
        <w:trPr>
          <w:jc w:val="center"/>
        </w:trPr>
        <w:tc>
          <w:tcPr>
            <w:tcW w:w="1703" w:type="dxa"/>
            <w:vAlign w:val="center"/>
          </w:tcPr>
          <w:p w:rsidR="004F0E88" w:rsidRPr="004F0E88" w:rsidRDefault="004F0E88" w:rsidP="004F0E88">
            <w:pPr>
              <w:jc w:val="left"/>
              <w:rPr>
                <w:sz w:val="22"/>
                <w:szCs w:val="22"/>
                <w:lang w:val="fr-FR"/>
              </w:rPr>
            </w:pPr>
            <w:r w:rsidRPr="004F0E88">
              <w:rPr>
                <w:sz w:val="22"/>
                <w:szCs w:val="22"/>
                <w:lang w:val="fr-FR"/>
              </w:rPr>
              <w:t>AP 5</w:t>
            </w:r>
          </w:p>
        </w:tc>
        <w:tc>
          <w:tcPr>
            <w:tcW w:w="1703" w:type="dxa"/>
            <w:vAlign w:val="center"/>
          </w:tcPr>
          <w:p w:rsidR="004F0E88" w:rsidRPr="004F0E88" w:rsidRDefault="004F0E88" w:rsidP="004F0E88">
            <w:pPr>
              <w:jc w:val="left"/>
              <w:rPr>
                <w:sz w:val="22"/>
                <w:szCs w:val="22"/>
                <w:lang w:val="fr-FR"/>
              </w:rPr>
            </w:pPr>
            <w:r w:rsidRPr="004F0E88">
              <w:rPr>
                <w:sz w:val="22"/>
                <w:szCs w:val="22"/>
                <w:lang w:val="fr-FR"/>
              </w:rPr>
              <w:t>Indicator financ</w:t>
            </w:r>
            <w:r w:rsidRPr="004F0E88">
              <w:rPr>
                <w:sz w:val="22"/>
                <w:szCs w:val="22"/>
              </w:rPr>
              <w:t>iar</w:t>
            </w:r>
          </w:p>
        </w:tc>
        <w:tc>
          <w:tcPr>
            <w:tcW w:w="1703" w:type="dxa"/>
            <w:vAlign w:val="center"/>
          </w:tcPr>
          <w:p w:rsidR="004F0E88" w:rsidRPr="004F0E88" w:rsidRDefault="004F0E88" w:rsidP="004F0E88">
            <w:pPr>
              <w:jc w:val="left"/>
              <w:rPr>
                <w:sz w:val="22"/>
                <w:szCs w:val="22"/>
                <w:lang w:val="fr-FR"/>
              </w:rPr>
            </w:pPr>
            <w:r w:rsidRPr="004F0E88">
              <w:rPr>
                <w:sz w:val="22"/>
                <w:szCs w:val="22"/>
                <w:lang w:val="fr-FR"/>
              </w:rPr>
              <w:t>euro</w:t>
            </w:r>
          </w:p>
        </w:tc>
        <w:tc>
          <w:tcPr>
            <w:tcW w:w="1703" w:type="dxa"/>
            <w:vAlign w:val="center"/>
          </w:tcPr>
          <w:p w:rsidR="004F0E88" w:rsidRPr="004F0E88" w:rsidRDefault="004F0E88" w:rsidP="004F0E88">
            <w:pPr>
              <w:jc w:val="left"/>
              <w:rPr>
                <w:sz w:val="22"/>
                <w:szCs w:val="22"/>
                <w:lang w:val="fr-FR"/>
              </w:rPr>
            </w:pPr>
            <w:r w:rsidRPr="004F0E88">
              <w:rPr>
                <w:sz w:val="22"/>
                <w:szCs w:val="22"/>
              </w:rPr>
              <w:t>1,000,000</w:t>
            </w:r>
          </w:p>
        </w:tc>
        <w:tc>
          <w:tcPr>
            <w:tcW w:w="1704" w:type="dxa"/>
            <w:vAlign w:val="center"/>
          </w:tcPr>
          <w:p w:rsidR="004F0E88" w:rsidRPr="004F0E88" w:rsidRDefault="004F0E88" w:rsidP="004F0E88">
            <w:pPr>
              <w:jc w:val="left"/>
              <w:rPr>
                <w:sz w:val="22"/>
                <w:szCs w:val="22"/>
                <w:lang w:val="fr-FR"/>
              </w:rPr>
            </w:pPr>
            <w:r w:rsidRPr="004F0E88">
              <w:rPr>
                <w:sz w:val="22"/>
                <w:szCs w:val="22"/>
              </w:rPr>
              <w:t>10,000,000</w:t>
            </w:r>
          </w:p>
        </w:tc>
      </w:tr>
    </w:tbl>
    <w:p w:rsidR="000A7D0A" w:rsidRPr="000A7D0A" w:rsidRDefault="000A7D0A" w:rsidP="000A7D0A">
      <w:pPr>
        <w:rPr>
          <w:lang w:val="fr-FR"/>
        </w:rPr>
      </w:pPr>
    </w:p>
    <w:p w:rsidR="00DB39AE" w:rsidRPr="002D1DA6" w:rsidRDefault="00DB39AE" w:rsidP="008970A8">
      <w:pPr>
        <w:pStyle w:val="Heading2"/>
        <w:rPr>
          <w:lang w:val="fr-FR"/>
        </w:rPr>
      </w:pPr>
      <w:bookmarkStart w:id="208" w:name="_Toc394837914"/>
      <w:r w:rsidRPr="002D1DA6">
        <w:rPr>
          <w:lang w:val="fr-FR"/>
        </w:rPr>
        <w:t>9.3. Partenerii relevanţi implicaţi în pregãtirea programului de cooperare</w:t>
      </w:r>
      <w:bookmarkEnd w:id="208"/>
    </w:p>
    <w:p w:rsidR="00DB39AE" w:rsidRDefault="00DB39AE" w:rsidP="00DB39AE">
      <w:pPr>
        <w:rPr>
          <w:lang w:val="fr-FR"/>
        </w:rPr>
      </w:pPr>
    </w:p>
    <w:p w:rsidR="00DB39AE" w:rsidRDefault="00DB39AE" w:rsidP="00DB39AE">
      <w:pPr>
        <w:rPr>
          <w:lang w:val="fr-FR"/>
        </w:rPr>
      </w:pPr>
      <w:r>
        <w:rPr>
          <w:lang w:val="fr-FR"/>
        </w:rPr>
        <w:t xml:space="preserve">A. Membrii Grupului Comun de Lucru pentru Planificarea şi Programarea Strategicã ale </w:t>
      </w:r>
      <w:r w:rsidR="00A4748F">
        <w:rPr>
          <w:lang w:val="fr-FR"/>
        </w:rPr>
        <w:t>P</w:t>
      </w:r>
      <w:r>
        <w:rPr>
          <w:lang w:val="fr-FR"/>
        </w:rPr>
        <w:t xml:space="preserve">rogramului de </w:t>
      </w:r>
      <w:r w:rsidR="00A4748F">
        <w:rPr>
          <w:lang w:val="fr-FR"/>
        </w:rPr>
        <w:t>C</w:t>
      </w:r>
      <w:r>
        <w:rPr>
          <w:lang w:val="fr-FR"/>
        </w:rPr>
        <w:t xml:space="preserve">ooperare </w:t>
      </w:r>
      <w:r w:rsidR="00A4748F">
        <w:rPr>
          <w:lang w:val="fr-FR"/>
        </w:rPr>
        <w:t>T</w:t>
      </w:r>
      <w:r>
        <w:rPr>
          <w:lang w:val="fr-FR"/>
        </w:rPr>
        <w:t>ransfrontalierã 2014-2020 sunt:</w:t>
      </w:r>
    </w:p>
    <w:p w:rsidR="00DB39AE" w:rsidRPr="008970A8" w:rsidRDefault="00DB39AE" w:rsidP="008970A8">
      <w:pPr>
        <w:rPr>
          <w:b/>
          <w:u w:val="single"/>
          <w:lang w:val="fr-FR"/>
        </w:rPr>
      </w:pPr>
      <w:r w:rsidRPr="008970A8">
        <w:rPr>
          <w:b/>
          <w:u w:val="single"/>
          <w:lang w:val="fr-FR"/>
        </w:rPr>
        <w:t>Pentru România</w:t>
      </w:r>
    </w:p>
    <w:p w:rsidR="00DB39AE" w:rsidRPr="008970A8" w:rsidRDefault="00DB39AE" w:rsidP="00EC1DA9">
      <w:pPr>
        <w:pStyle w:val="ListParagraph"/>
        <w:numPr>
          <w:ilvl w:val="0"/>
          <w:numId w:val="51"/>
        </w:numPr>
        <w:rPr>
          <w:lang w:val="fr-FR"/>
        </w:rPr>
      </w:pPr>
      <w:r w:rsidRPr="008970A8">
        <w:rPr>
          <w:lang w:val="fr-FR"/>
        </w:rPr>
        <w:t>Ministerul Dezvoltãrii Regionale şi Administraţiei Publice (3 reprezentanţi)</w:t>
      </w:r>
    </w:p>
    <w:p w:rsidR="00DB39AE" w:rsidRPr="008970A8" w:rsidRDefault="00DB39AE" w:rsidP="00EC1DA9">
      <w:pPr>
        <w:pStyle w:val="ListParagraph"/>
        <w:numPr>
          <w:ilvl w:val="0"/>
          <w:numId w:val="51"/>
        </w:numPr>
        <w:rPr>
          <w:lang w:val="en-US"/>
        </w:rPr>
      </w:pPr>
      <w:r>
        <w:t xml:space="preserve">Ministerul Transporturilor </w:t>
      </w:r>
    </w:p>
    <w:p w:rsidR="00DB39AE" w:rsidRPr="006C6828" w:rsidRDefault="00DB39AE" w:rsidP="00EC1DA9">
      <w:pPr>
        <w:pStyle w:val="ListParagraph"/>
        <w:numPr>
          <w:ilvl w:val="0"/>
          <w:numId w:val="51"/>
        </w:numPr>
        <w:rPr>
          <w:lang w:val="it-IT"/>
        </w:rPr>
      </w:pPr>
      <w:r w:rsidRPr="006C6828">
        <w:rPr>
          <w:lang w:val="it-IT"/>
        </w:rPr>
        <w:t>Ministerul Mediului şi Schimbãrilor Climatice;</w:t>
      </w:r>
    </w:p>
    <w:p w:rsidR="00DB39AE" w:rsidRPr="008970A8" w:rsidRDefault="00DB39AE" w:rsidP="00EC1DA9">
      <w:pPr>
        <w:pStyle w:val="ListParagraph"/>
        <w:numPr>
          <w:ilvl w:val="0"/>
          <w:numId w:val="51"/>
        </w:numPr>
        <w:rPr>
          <w:lang w:val="fr-FR"/>
        </w:rPr>
      </w:pPr>
      <w:r w:rsidRPr="008970A8">
        <w:rPr>
          <w:lang w:val="fr-FR"/>
        </w:rPr>
        <w:t>Ministerul Fondurilor Europene;</w:t>
      </w:r>
    </w:p>
    <w:p w:rsidR="00DB39AE" w:rsidRPr="008970A8" w:rsidRDefault="00DB39AE" w:rsidP="00EC1DA9">
      <w:pPr>
        <w:pStyle w:val="ListParagraph"/>
        <w:numPr>
          <w:ilvl w:val="0"/>
          <w:numId w:val="51"/>
        </w:numPr>
        <w:rPr>
          <w:lang w:val="fr-FR"/>
        </w:rPr>
      </w:pPr>
      <w:r w:rsidRPr="008970A8">
        <w:rPr>
          <w:lang w:val="fr-FR"/>
        </w:rPr>
        <w:t>Agenţia de Dezvoltare Regionalã Sud-Est;</w:t>
      </w:r>
    </w:p>
    <w:p w:rsidR="00DB39AE" w:rsidRPr="008970A8" w:rsidRDefault="00DB39AE" w:rsidP="00EC1DA9">
      <w:pPr>
        <w:pStyle w:val="ListParagraph"/>
        <w:numPr>
          <w:ilvl w:val="0"/>
          <w:numId w:val="51"/>
        </w:numPr>
        <w:rPr>
          <w:lang w:val="fr-FR"/>
        </w:rPr>
      </w:pPr>
      <w:r w:rsidRPr="008970A8">
        <w:rPr>
          <w:lang w:val="fr-FR"/>
        </w:rPr>
        <w:t>Agenţia de Dezvoltare Regionalã Muntenia Sud ;</w:t>
      </w:r>
    </w:p>
    <w:p w:rsidR="00DB39AE" w:rsidRPr="008970A8" w:rsidRDefault="00DB39AE" w:rsidP="00EC1DA9">
      <w:pPr>
        <w:pStyle w:val="ListParagraph"/>
        <w:numPr>
          <w:ilvl w:val="0"/>
          <w:numId w:val="51"/>
        </w:numPr>
        <w:rPr>
          <w:lang w:val="fr-FR"/>
        </w:rPr>
      </w:pPr>
      <w:r w:rsidRPr="008970A8">
        <w:rPr>
          <w:lang w:val="fr-FR"/>
        </w:rPr>
        <w:t>Agenţia de Dezvoltare Regionalã Sud-Vest Oltenia;</w:t>
      </w:r>
    </w:p>
    <w:p w:rsidR="00DB39AE" w:rsidRPr="008970A8" w:rsidRDefault="00DB39AE" w:rsidP="00EC1DA9">
      <w:pPr>
        <w:pStyle w:val="ListParagraph"/>
        <w:numPr>
          <w:ilvl w:val="0"/>
          <w:numId w:val="51"/>
        </w:numPr>
        <w:rPr>
          <w:lang w:val="en-US"/>
        </w:rPr>
      </w:pPr>
      <w:r>
        <w:t>Consiliul Judeţean Mehedinţi;</w:t>
      </w:r>
    </w:p>
    <w:p w:rsidR="00DB39AE" w:rsidRDefault="00DB39AE" w:rsidP="00EC1DA9">
      <w:pPr>
        <w:pStyle w:val="ListParagraph"/>
        <w:numPr>
          <w:ilvl w:val="0"/>
          <w:numId w:val="51"/>
        </w:numPr>
      </w:pPr>
      <w:r>
        <w:t>Consiliul Judeţean Dolj;</w:t>
      </w:r>
    </w:p>
    <w:p w:rsidR="00DB39AE" w:rsidRDefault="00DB39AE" w:rsidP="00EC1DA9">
      <w:pPr>
        <w:pStyle w:val="ListParagraph"/>
        <w:numPr>
          <w:ilvl w:val="0"/>
          <w:numId w:val="51"/>
        </w:numPr>
      </w:pPr>
      <w:r>
        <w:t>Consiliul Judeţean Olt;</w:t>
      </w:r>
    </w:p>
    <w:p w:rsidR="00DB39AE" w:rsidRDefault="00DB39AE" w:rsidP="00EC1DA9">
      <w:pPr>
        <w:pStyle w:val="ListParagraph"/>
        <w:numPr>
          <w:ilvl w:val="0"/>
          <w:numId w:val="51"/>
        </w:numPr>
      </w:pPr>
      <w:r>
        <w:t>Consiliul Judeţean Teleorman;</w:t>
      </w:r>
    </w:p>
    <w:p w:rsidR="00DB39AE" w:rsidRDefault="00DB39AE" w:rsidP="00EC1DA9">
      <w:pPr>
        <w:pStyle w:val="ListParagraph"/>
        <w:numPr>
          <w:ilvl w:val="0"/>
          <w:numId w:val="51"/>
        </w:numPr>
      </w:pPr>
      <w:r>
        <w:t>Consiliul Judeţean Giurgiu;</w:t>
      </w:r>
    </w:p>
    <w:p w:rsidR="00DB39AE" w:rsidRDefault="00DB39AE" w:rsidP="00EC1DA9">
      <w:pPr>
        <w:pStyle w:val="ListParagraph"/>
        <w:numPr>
          <w:ilvl w:val="0"/>
          <w:numId w:val="51"/>
        </w:numPr>
      </w:pPr>
      <w:r>
        <w:t>Consiliul Judeţean Călăraşi;</w:t>
      </w:r>
    </w:p>
    <w:p w:rsidR="00DB39AE" w:rsidRPr="008970A8" w:rsidRDefault="00DB39AE" w:rsidP="00EC1DA9">
      <w:pPr>
        <w:pStyle w:val="ListParagraph"/>
        <w:numPr>
          <w:ilvl w:val="0"/>
          <w:numId w:val="51"/>
        </w:numPr>
        <w:rPr>
          <w:lang w:val="fr-FR"/>
        </w:rPr>
      </w:pPr>
      <w:r w:rsidRPr="008970A8">
        <w:rPr>
          <w:lang w:val="fr-FR"/>
        </w:rPr>
        <w:t>Consiliul Judeţean Constanţa;</w:t>
      </w:r>
    </w:p>
    <w:p w:rsidR="00DB39AE" w:rsidRPr="008970A8" w:rsidRDefault="00DB39AE" w:rsidP="00EC1DA9">
      <w:pPr>
        <w:pStyle w:val="ListParagraph"/>
        <w:numPr>
          <w:ilvl w:val="0"/>
          <w:numId w:val="51"/>
        </w:numPr>
        <w:rPr>
          <w:lang w:val="fr-FR"/>
        </w:rPr>
      </w:pPr>
      <w:r w:rsidRPr="008970A8">
        <w:rPr>
          <w:lang w:val="fr-FR"/>
        </w:rPr>
        <w:t>ONG-uri în domeniul protecţiei mediului: Fundaţia Natura Vie ;</w:t>
      </w:r>
    </w:p>
    <w:p w:rsidR="00DB39AE" w:rsidRPr="008970A8" w:rsidRDefault="00DB39AE" w:rsidP="00EC1DA9">
      <w:pPr>
        <w:pStyle w:val="ListParagraph"/>
        <w:numPr>
          <w:ilvl w:val="0"/>
          <w:numId w:val="51"/>
        </w:numPr>
        <w:rPr>
          <w:lang w:val="fr-FR"/>
        </w:rPr>
      </w:pPr>
      <w:r w:rsidRPr="008970A8">
        <w:rPr>
          <w:lang w:val="fr-FR"/>
        </w:rPr>
        <w:t xml:space="preserve">ONG-uri în domeniul mediului de afaceri: Camera de Comerţ, Industrie, Navigaţie şi Agriculturã Constanţa;  </w:t>
      </w:r>
    </w:p>
    <w:p w:rsidR="00DB39AE" w:rsidRPr="008970A8" w:rsidRDefault="00DB39AE" w:rsidP="00EC1DA9">
      <w:pPr>
        <w:pStyle w:val="ListParagraph"/>
        <w:numPr>
          <w:ilvl w:val="0"/>
          <w:numId w:val="51"/>
        </w:numPr>
        <w:rPr>
          <w:lang w:val="fr-FR"/>
        </w:rPr>
      </w:pPr>
      <w:r w:rsidRPr="008970A8">
        <w:rPr>
          <w:lang w:val="fr-FR"/>
        </w:rPr>
        <w:t>ONG-uri în domeniul egalitãţii de şanse: Fundaţia Valori Umane;</w:t>
      </w:r>
    </w:p>
    <w:p w:rsidR="00DB39AE" w:rsidRDefault="00DB39AE" w:rsidP="008970A8">
      <w:pPr>
        <w:spacing w:after="200" w:line="276" w:lineRule="auto"/>
        <w:rPr>
          <w:i/>
          <w:u w:val="single"/>
          <w:lang w:val="en-US"/>
        </w:rPr>
      </w:pPr>
      <w:r>
        <w:rPr>
          <w:i/>
          <w:u w:val="single"/>
        </w:rPr>
        <w:t>Observatori români:</w:t>
      </w:r>
    </w:p>
    <w:p w:rsidR="00DB39AE" w:rsidRDefault="00DB39AE" w:rsidP="00EC1DA9">
      <w:pPr>
        <w:numPr>
          <w:ilvl w:val="0"/>
          <w:numId w:val="31"/>
        </w:numPr>
        <w:spacing w:after="200" w:line="276" w:lineRule="auto"/>
        <w:contextualSpacing/>
      </w:pPr>
      <w:r>
        <w:t>Ministerul  Afacerilor Externe ;</w:t>
      </w:r>
    </w:p>
    <w:p w:rsidR="00DB39AE" w:rsidRDefault="00DB39AE" w:rsidP="00EC1DA9">
      <w:pPr>
        <w:numPr>
          <w:ilvl w:val="0"/>
          <w:numId w:val="31"/>
        </w:numPr>
        <w:spacing w:after="200" w:line="276" w:lineRule="auto"/>
        <w:contextualSpacing/>
      </w:pPr>
      <w:r>
        <w:t>Ministerul  Finanţelor Publice;</w:t>
      </w:r>
    </w:p>
    <w:p w:rsidR="00DB39AE" w:rsidRDefault="00DB39AE" w:rsidP="00EC1DA9">
      <w:pPr>
        <w:numPr>
          <w:ilvl w:val="0"/>
          <w:numId w:val="31"/>
        </w:numPr>
        <w:spacing w:after="200" w:line="276" w:lineRule="auto"/>
        <w:contextualSpacing/>
      </w:pPr>
      <w:r>
        <w:t>Asociaţia municipiilor din România.</w:t>
      </w:r>
    </w:p>
    <w:p w:rsidR="00445CB4" w:rsidRPr="00445CB4" w:rsidRDefault="00445CB4" w:rsidP="00EC1DA9">
      <w:pPr>
        <w:numPr>
          <w:ilvl w:val="0"/>
          <w:numId w:val="31"/>
        </w:numPr>
        <w:spacing w:after="200" w:line="276" w:lineRule="auto"/>
        <w:contextualSpacing/>
        <w:rPr>
          <w:lang w:val="it-IT"/>
        </w:rPr>
      </w:pPr>
      <w:r w:rsidRPr="00445CB4">
        <w:rPr>
          <w:lang w:val="it-IT"/>
        </w:rPr>
        <w:t xml:space="preserve">Biroul Regional pentru Cooperare Transfrontalieră pentru Granița România-Bulgaria </w:t>
      </w:r>
    </w:p>
    <w:p w:rsidR="00DB39AE" w:rsidRPr="00445CB4" w:rsidRDefault="00DB39AE" w:rsidP="00DB39AE">
      <w:pPr>
        <w:rPr>
          <w:lang w:val="it-IT"/>
        </w:rPr>
      </w:pPr>
    </w:p>
    <w:p w:rsidR="00DB39AE" w:rsidRDefault="00DB39AE" w:rsidP="008970A8">
      <w:pPr>
        <w:spacing w:after="200" w:line="276" w:lineRule="auto"/>
        <w:rPr>
          <w:b/>
          <w:szCs w:val="24"/>
          <w:u w:val="single"/>
        </w:rPr>
      </w:pPr>
      <w:r>
        <w:rPr>
          <w:b/>
          <w:u w:val="single"/>
        </w:rPr>
        <w:t>Pentru Bulgaria</w:t>
      </w:r>
    </w:p>
    <w:p w:rsidR="00DB39AE" w:rsidRDefault="00DB39AE" w:rsidP="00EC1DA9">
      <w:pPr>
        <w:numPr>
          <w:ilvl w:val="0"/>
          <w:numId w:val="52"/>
        </w:numPr>
        <w:spacing w:after="200" w:line="276" w:lineRule="auto"/>
        <w:contextualSpacing/>
      </w:pPr>
      <w:r>
        <w:t>Consiliul Administraţiei Ministerelor  (Directoratul programãrii fondurilor UE);</w:t>
      </w:r>
    </w:p>
    <w:p w:rsidR="00DB39AE" w:rsidRDefault="00DB39AE" w:rsidP="00EC1DA9">
      <w:pPr>
        <w:numPr>
          <w:ilvl w:val="0"/>
          <w:numId w:val="52"/>
        </w:numPr>
        <w:spacing w:after="200" w:line="276" w:lineRule="auto"/>
        <w:contextualSpacing/>
      </w:pPr>
      <w:r>
        <w:t xml:space="preserve">Ministerul Finanţelor (Directoratul Instituţiilor Internaţionale Financiare şi de Cooperare); </w:t>
      </w:r>
    </w:p>
    <w:p w:rsidR="00DB39AE" w:rsidRDefault="00DB39AE" w:rsidP="00EC1DA9">
      <w:pPr>
        <w:numPr>
          <w:ilvl w:val="0"/>
          <w:numId w:val="52"/>
        </w:numPr>
        <w:spacing w:after="200" w:line="276" w:lineRule="auto"/>
        <w:contextualSpacing/>
        <w:rPr>
          <w:lang w:val="fr-FR"/>
        </w:rPr>
      </w:pPr>
      <w:r>
        <w:rPr>
          <w:lang w:val="fr-FR"/>
        </w:rPr>
        <w:t xml:space="preserve">Directoratul General al Ministerului de Interne, Protecţie contra Incendiilor şi Protecţia  Populaţiei (Sofia, Ruse);  </w:t>
      </w:r>
    </w:p>
    <w:p w:rsidR="00DB39AE" w:rsidRDefault="00DB39AE" w:rsidP="00EC1DA9">
      <w:pPr>
        <w:numPr>
          <w:ilvl w:val="0"/>
          <w:numId w:val="52"/>
        </w:numPr>
        <w:spacing w:after="200" w:line="276" w:lineRule="auto"/>
        <w:contextualSpacing/>
        <w:rPr>
          <w:lang w:val="en-US"/>
        </w:rPr>
      </w:pPr>
      <w:r>
        <w:t xml:space="preserve">Ministerul Afacerilor Externe  (Directoratul ţãrilor europene); </w:t>
      </w:r>
    </w:p>
    <w:p w:rsidR="00DB39AE" w:rsidRDefault="00DB39AE" w:rsidP="00EC1DA9">
      <w:pPr>
        <w:numPr>
          <w:ilvl w:val="0"/>
          <w:numId w:val="52"/>
        </w:numPr>
        <w:spacing w:after="200" w:line="276" w:lineRule="auto"/>
        <w:contextualSpacing/>
      </w:pPr>
      <w:r>
        <w:t>Ministerul Mediului şi Apelor ;</w:t>
      </w:r>
    </w:p>
    <w:p w:rsidR="00DB39AE" w:rsidRDefault="00DB39AE" w:rsidP="00EC1DA9">
      <w:pPr>
        <w:numPr>
          <w:ilvl w:val="0"/>
          <w:numId w:val="52"/>
        </w:numPr>
        <w:spacing w:after="200" w:line="276" w:lineRule="auto"/>
        <w:contextualSpacing/>
      </w:pPr>
      <w:r>
        <w:t xml:space="preserve">Ministerul  Transporturilor, Informaţiilor,  Tehnologiilor şi Comunicaţiilor (Directoratul coordonator a Programelor şi Proiectelor şi Directoratul Politicilor Naţionale de Transport); </w:t>
      </w:r>
    </w:p>
    <w:p w:rsidR="00DB39AE" w:rsidRDefault="00DB39AE" w:rsidP="00EC1DA9">
      <w:pPr>
        <w:numPr>
          <w:ilvl w:val="0"/>
          <w:numId w:val="52"/>
        </w:numPr>
        <w:spacing w:after="200" w:line="276" w:lineRule="auto"/>
        <w:contextualSpacing/>
        <w:rPr>
          <w:lang w:val="fr-FR"/>
        </w:rPr>
      </w:pPr>
      <w:r>
        <w:rPr>
          <w:lang w:val="fr-FR"/>
        </w:rPr>
        <w:t>Ministerul de Interne, Directoratul General “Poliţia de frontierã” – Ruse;</w:t>
      </w:r>
    </w:p>
    <w:p w:rsidR="00DB39AE" w:rsidRPr="006C6828" w:rsidRDefault="00DB39AE" w:rsidP="00EC1DA9">
      <w:pPr>
        <w:numPr>
          <w:ilvl w:val="0"/>
          <w:numId w:val="52"/>
        </w:numPr>
        <w:spacing w:after="200" w:line="276" w:lineRule="auto"/>
        <w:contextualSpacing/>
        <w:rPr>
          <w:lang w:val="it-IT"/>
        </w:rPr>
      </w:pPr>
      <w:r w:rsidRPr="006C6828">
        <w:rPr>
          <w:lang w:val="it-IT"/>
        </w:rPr>
        <w:t>Ministerul Dezvoltãrii Regionale (Directoratul General al Cooperãrii Teritoriale, Departamentul “Cooperarea teritorialã europeanã şi programele învecinate”) ;</w:t>
      </w:r>
    </w:p>
    <w:p w:rsidR="00DB39AE" w:rsidRPr="006C6828" w:rsidRDefault="00DB39AE" w:rsidP="00EC1DA9">
      <w:pPr>
        <w:numPr>
          <w:ilvl w:val="0"/>
          <w:numId w:val="52"/>
        </w:numPr>
        <w:spacing w:after="200" w:line="276" w:lineRule="auto"/>
        <w:contextualSpacing/>
        <w:rPr>
          <w:lang w:val="it-IT"/>
        </w:rPr>
      </w:pPr>
      <w:r w:rsidRPr="006C6828">
        <w:rPr>
          <w:lang w:val="it-IT"/>
        </w:rPr>
        <w:t>Ministerul Dezvoltãrii Regionale  (Directoratul General pentru Managementul Cooperãrii Teritoriale, Departamentul "Monitorizare, evaluare şi  programare";</w:t>
      </w:r>
    </w:p>
    <w:p w:rsidR="00DB39AE" w:rsidRPr="006C6828" w:rsidRDefault="00DB39AE" w:rsidP="00EC1DA9">
      <w:pPr>
        <w:numPr>
          <w:ilvl w:val="0"/>
          <w:numId w:val="52"/>
        </w:numPr>
        <w:spacing w:after="200" w:line="276" w:lineRule="auto"/>
        <w:contextualSpacing/>
        <w:rPr>
          <w:rFonts w:ascii="Calibri" w:hAnsi="Calibri"/>
          <w:sz w:val="22"/>
          <w:szCs w:val="22"/>
          <w:lang w:val="it-IT"/>
        </w:rPr>
      </w:pPr>
      <w:r w:rsidRPr="006C6828">
        <w:rPr>
          <w:lang w:val="it-IT"/>
        </w:rPr>
        <w:t>Ministerul Dezvoltãrii Regionale (Directoratul General al planificãrii strategice pentru Dezvoltare Regionalã şi structura Administrativã Teritorialã, “Planificare strategicã şi coordonarea dezvoltãrii regionale în zona de nord-vest” Departmentul Vidin)</w:t>
      </w:r>
      <w:r w:rsidRPr="006C6828">
        <w:rPr>
          <w:rFonts w:ascii="Calibri" w:hAnsi="Calibri"/>
          <w:sz w:val="22"/>
          <w:szCs w:val="22"/>
          <w:lang w:val="it-IT"/>
        </w:rPr>
        <w:t>;</w:t>
      </w:r>
    </w:p>
    <w:p w:rsidR="00DB39AE" w:rsidRPr="006C6828" w:rsidRDefault="00DB39AE" w:rsidP="00EC1DA9">
      <w:pPr>
        <w:numPr>
          <w:ilvl w:val="0"/>
          <w:numId w:val="52"/>
        </w:numPr>
        <w:spacing w:after="200" w:line="276" w:lineRule="auto"/>
        <w:contextualSpacing/>
        <w:rPr>
          <w:rFonts w:ascii="Calibri" w:hAnsi="Calibri"/>
          <w:sz w:val="22"/>
          <w:szCs w:val="22"/>
          <w:lang w:val="it-IT"/>
        </w:rPr>
      </w:pPr>
      <w:r w:rsidRPr="006C6828">
        <w:rPr>
          <w:lang w:val="it-IT"/>
        </w:rPr>
        <w:t>Ministerul Dezvoltãrii Regionale (Directoratul General al planificãrii strategice pentru Dezvoltare Regionalã şi structura Administrativã Teritorialã, “Planificare strategicã şi coordonarea dezvoltãrii regionale în zona centralã- nord” Departmentul Ruse)</w:t>
      </w:r>
      <w:r w:rsidRPr="006C6828">
        <w:rPr>
          <w:rFonts w:ascii="Calibri" w:hAnsi="Calibri"/>
          <w:sz w:val="22"/>
          <w:szCs w:val="22"/>
          <w:lang w:val="it-IT"/>
        </w:rPr>
        <w:t>;</w:t>
      </w:r>
    </w:p>
    <w:p w:rsidR="00DB39AE" w:rsidRPr="006C6828" w:rsidRDefault="00DB39AE" w:rsidP="00EC1DA9">
      <w:pPr>
        <w:numPr>
          <w:ilvl w:val="0"/>
          <w:numId w:val="52"/>
        </w:numPr>
        <w:spacing w:after="200" w:line="276" w:lineRule="auto"/>
        <w:contextualSpacing/>
        <w:rPr>
          <w:szCs w:val="24"/>
          <w:lang w:val="it-IT"/>
        </w:rPr>
      </w:pPr>
      <w:r w:rsidRPr="006C6828">
        <w:rPr>
          <w:lang w:val="it-IT"/>
        </w:rPr>
        <w:t>Consiliul de Dezvoltare Regionalã al regiunii nord-vest (Administraţia  districtualã Vratsa şi administraţia districtualã Pleven;</w:t>
      </w:r>
    </w:p>
    <w:p w:rsidR="00DB39AE" w:rsidRPr="006C6828" w:rsidRDefault="00DB39AE" w:rsidP="00EC1DA9">
      <w:pPr>
        <w:numPr>
          <w:ilvl w:val="0"/>
          <w:numId w:val="52"/>
        </w:numPr>
        <w:spacing w:after="200" w:line="276" w:lineRule="auto"/>
        <w:contextualSpacing/>
        <w:rPr>
          <w:lang w:val="it-IT"/>
        </w:rPr>
      </w:pPr>
      <w:r w:rsidRPr="006C6828">
        <w:rPr>
          <w:lang w:val="it-IT"/>
        </w:rPr>
        <w:t xml:space="preserve">Consiliul de Dezvoltare Regionalã al regiunii centrale – nord (Administraţia  districtualã Silistra şi administraţia districtualã Ruse </w:t>
      </w:r>
    </w:p>
    <w:p w:rsidR="00DB39AE" w:rsidRDefault="00DB39AE" w:rsidP="00EC1DA9">
      <w:pPr>
        <w:numPr>
          <w:ilvl w:val="0"/>
          <w:numId w:val="52"/>
        </w:numPr>
        <w:spacing w:after="200" w:line="276" w:lineRule="auto"/>
        <w:contextualSpacing/>
        <w:rPr>
          <w:lang w:val="fr-FR"/>
        </w:rPr>
      </w:pPr>
      <w:r>
        <w:rPr>
          <w:lang w:val="fr-FR"/>
        </w:rPr>
        <w:t>Consiliul de Dezvoltare Regionalã al regiunii nord-est (Administraţia  districtualã Dobrich şi municipiul Dobrich)</w:t>
      </w:r>
    </w:p>
    <w:p w:rsidR="00DB39AE" w:rsidRDefault="00DB39AE" w:rsidP="00EC1DA9">
      <w:pPr>
        <w:numPr>
          <w:ilvl w:val="0"/>
          <w:numId w:val="52"/>
        </w:numPr>
        <w:spacing w:after="200" w:line="276" w:lineRule="auto"/>
        <w:contextualSpacing/>
        <w:rPr>
          <w:lang w:val="en-US"/>
        </w:rPr>
      </w:pPr>
      <w:r>
        <w:t>Municipiul oraşului Ruse;</w:t>
      </w:r>
    </w:p>
    <w:p w:rsidR="00DB39AE" w:rsidRPr="006C6828" w:rsidRDefault="00DB39AE" w:rsidP="00EC1DA9">
      <w:pPr>
        <w:numPr>
          <w:ilvl w:val="0"/>
          <w:numId w:val="52"/>
        </w:numPr>
        <w:spacing w:after="200" w:line="276" w:lineRule="auto"/>
        <w:contextualSpacing/>
        <w:rPr>
          <w:lang w:val="it-IT"/>
        </w:rPr>
      </w:pPr>
      <w:r w:rsidRPr="006C6828">
        <w:rPr>
          <w:lang w:val="it-IT"/>
        </w:rPr>
        <w:t>Asociaţia Naţionalã a Municipiilor Republicii Bulgaria;</w:t>
      </w:r>
    </w:p>
    <w:p w:rsidR="00DB39AE" w:rsidRDefault="00DB39AE" w:rsidP="00EC1DA9">
      <w:pPr>
        <w:numPr>
          <w:ilvl w:val="0"/>
          <w:numId w:val="52"/>
        </w:numPr>
        <w:spacing w:after="200" w:line="276" w:lineRule="auto"/>
        <w:contextualSpacing/>
      </w:pPr>
      <w:r>
        <w:t>Asociaţiilor municipiilor dunãrene “Dunãrea”;</w:t>
      </w:r>
    </w:p>
    <w:p w:rsidR="00DB39AE" w:rsidRPr="006C6828" w:rsidRDefault="00DB39AE" w:rsidP="00EC1DA9">
      <w:pPr>
        <w:numPr>
          <w:ilvl w:val="0"/>
          <w:numId w:val="52"/>
        </w:numPr>
        <w:spacing w:after="200" w:line="276" w:lineRule="auto"/>
        <w:contextualSpacing/>
        <w:rPr>
          <w:lang w:val="it-IT"/>
        </w:rPr>
      </w:pPr>
      <w:r w:rsidRPr="006C6828">
        <w:rPr>
          <w:lang w:val="it-IT"/>
        </w:rPr>
        <w:t>Asociaţia bulgarã a agenţiilor de Dezvoltare Regionalã (Agenţia de Dezvoltare Regionalã şi Economicã– Vratsa, şi  Centrul de  Promovare a întreprinderilor mici şi medii– Ruse);</w:t>
      </w:r>
    </w:p>
    <w:p w:rsidR="00DB39AE" w:rsidRDefault="00DB39AE" w:rsidP="00EC1DA9">
      <w:pPr>
        <w:numPr>
          <w:ilvl w:val="0"/>
          <w:numId w:val="52"/>
        </w:numPr>
        <w:spacing w:after="200" w:line="276" w:lineRule="auto"/>
        <w:contextualSpacing/>
        <w:rPr>
          <w:lang w:val="fr-FR"/>
        </w:rPr>
      </w:pPr>
      <w:r>
        <w:rPr>
          <w:lang w:val="fr-FR"/>
        </w:rPr>
        <w:t>Camera de Comer</w:t>
      </w:r>
      <w:r w:rsidR="00A4748F">
        <w:rPr>
          <w:lang w:val="fr-FR"/>
        </w:rPr>
        <w:t>ţ şi Industrie din Bulgaria - (</w:t>
      </w:r>
      <w:r>
        <w:rPr>
          <w:lang w:val="fr-FR"/>
        </w:rPr>
        <w:t xml:space="preserve">Camera de Comerţ şi Industrie Dobrich şi  Camera de Comerţ şi Industrie – Silistra). </w:t>
      </w:r>
    </w:p>
    <w:p w:rsidR="00DB39AE" w:rsidRDefault="00A4748F" w:rsidP="008970A8">
      <w:pPr>
        <w:spacing w:after="200" w:line="276" w:lineRule="auto"/>
        <w:rPr>
          <w:lang w:val="fr-FR"/>
        </w:rPr>
      </w:pPr>
      <w:r>
        <w:rPr>
          <w:lang w:val="fr-FR"/>
        </w:rPr>
        <w:lastRenderedPageBreak/>
        <w:t>Reprezentanţii organismelor</w:t>
      </w:r>
      <w:r w:rsidR="00DB39AE">
        <w:rPr>
          <w:lang w:val="fr-FR"/>
        </w:rPr>
        <w:t xml:space="preserve"> naţionale responsabile pentru egali</w:t>
      </w:r>
      <w:r>
        <w:rPr>
          <w:lang w:val="fr-FR"/>
        </w:rPr>
        <w:t>tãţile de şanse au fost invitați</w:t>
      </w:r>
      <w:r w:rsidR="00DB39AE">
        <w:rPr>
          <w:lang w:val="fr-FR"/>
        </w:rPr>
        <w:t xml:space="preserve"> sã ia parte la toate evenimentele. Lista persoanelor care au participat </w:t>
      </w:r>
      <w:proofErr w:type="gramStart"/>
      <w:r w:rsidR="00DB39AE">
        <w:rPr>
          <w:lang w:val="fr-FR"/>
        </w:rPr>
        <w:t>la atelierele</w:t>
      </w:r>
      <w:proofErr w:type="gramEnd"/>
      <w:r w:rsidR="00DB39AE">
        <w:rPr>
          <w:lang w:val="fr-FR"/>
        </w:rPr>
        <w:t xml:space="preserve"> de lucru organizate în fiecare dintre statele membre (organizaţiile din sectorul guvernmental, non-guvernmental şi privat, conform îndrumãrilor Comisiei Europene din Codul de Conduitã) este prezentatã în Anexa 7.</w:t>
      </w:r>
    </w:p>
    <w:p w:rsidR="00DB39AE" w:rsidRDefault="00DB39AE" w:rsidP="00543BBD">
      <w:pPr>
        <w:pStyle w:val="Heading2"/>
        <w:rPr>
          <w:lang w:val="fr-FR"/>
        </w:rPr>
      </w:pPr>
      <w:bookmarkStart w:id="209" w:name="_Toc394063595"/>
      <w:bookmarkStart w:id="210" w:name="_Toc394837915"/>
      <w:r>
        <w:rPr>
          <w:lang w:val="fr-FR"/>
        </w:rPr>
        <w:t>9</w:t>
      </w:r>
      <w:r w:rsidRPr="00A77C97">
        <w:rPr>
          <w:lang w:val="fr-FR"/>
        </w:rPr>
        <w:t>.4.</w:t>
      </w:r>
      <w:r w:rsidRPr="00A77C97">
        <w:rPr>
          <w:lang w:val="fr-FR"/>
        </w:rPr>
        <w:tab/>
      </w:r>
      <w:bookmarkEnd w:id="209"/>
      <w:r w:rsidR="00543BBD" w:rsidRPr="00543BBD">
        <w:rPr>
          <w:lang w:val="fr-FR"/>
        </w:rPr>
        <w:t>Condițiile de implementare a programului aplicabile și care guvernează managementul financiar, programarea, monitorizarea, evaluarea și controlul participării țărilor terțe la programele transnaționale și interregionale prin contribuția cu resurse de la ENI și IPA</w:t>
      </w:r>
      <w:bookmarkEnd w:id="210"/>
    </w:p>
    <w:p w:rsidR="00DB39AE" w:rsidRPr="006C6828" w:rsidRDefault="00543BBD" w:rsidP="00543BBD">
      <w:pPr>
        <w:spacing w:after="200" w:line="276" w:lineRule="auto"/>
        <w:rPr>
          <w:sz w:val="20"/>
          <w:lang w:val="it-IT"/>
        </w:rPr>
      </w:pPr>
      <w:r w:rsidRPr="006C6828">
        <w:rPr>
          <w:sz w:val="20"/>
          <w:lang w:val="it-IT"/>
        </w:rPr>
        <w:t xml:space="preserve">[Referință: Articolul 26 din Regulamentul (UE) nr. 1299/2013] </w:t>
      </w:r>
    </w:p>
    <w:p w:rsidR="00543BBD" w:rsidRPr="006C6828" w:rsidRDefault="00543BBD" w:rsidP="00543BBD">
      <w:pPr>
        <w:spacing w:after="200" w:line="276" w:lineRule="auto"/>
        <w:rPr>
          <w:lang w:val="it-IT"/>
        </w:rPr>
        <w:sectPr w:rsidR="00543BBD" w:rsidRPr="006C6828" w:rsidSect="00DB39AE">
          <w:footnotePr>
            <w:numRestart w:val="eachSect"/>
          </w:footnotePr>
          <w:pgSz w:w="11900" w:h="16840"/>
          <w:pgMar w:top="1440" w:right="1800" w:bottom="1440" w:left="1800" w:header="340" w:footer="340" w:gutter="0"/>
          <w:cols w:space="720"/>
          <w:docGrid w:linePitch="326"/>
        </w:sectPr>
      </w:pPr>
    </w:p>
    <w:p w:rsidR="00DB39AE" w:rsidRPr="006C6828" w:rsidRDefault="00DB39AE" w:rsidP="008970A8">
      <w:pPr>
        <w:pStyle w:val="Heading1"/>
        <w:rPr>
          <w:lang w:val="it-IT"/>
        </w:rPr>
      </w:pPr>
      <w:bookmarkStart w:id="211" w:name="_Toc394063596"/>
      <w:bookmarkStart w:id="212" w:name="_Toc394837916"/>
      <w:r w:rsidRPr="006C6828">
        <w:rPr>
          <w:lang w:val="it-IT"/>
        </w:rPr>
        <w:lastRenderedPageBreak/>
        <w:t>ANEXE</w:t>
      </w:r>
      <w:bookmarkEnd w:id="211"/>
      <w:bookmarkEnd w:id="212"/>
    </w:p>
    <w:p w:rsidR="00DB39AE" w:rsidRPr="006C6828" w:rsidRDefault="00DB39AE" w:rsidP="00DB39AE">
      <w:pPr>
        <w:spacing w:after="200" w:line="276" w:lineRule="auto"/>
        <w:rPr>
          <w:szCs w:val="24"/>
          <w:lang w:val="it-IT"/>
        </w:rPr>
      </w:pPr>
      <w:r w:rsidRPr="006C6828">
        <w:rPr>
          <w:lang w:val="it-IT"/>
        </w:rPr>
        <w:t xml:space="preserve">Anexa 1 - PROIECTUL RAPORTULUI EVALUǍRII PRELIMINARE ŞI REZUMATUL EXECUTIV </w:t>
      </w:r>
    </w:p>
    <w:p w:rsidR="00DB39AE" w:rsidRPr="008970A8" w:rsidRDefault="008970A8" w:rsidP="00DB39AE">
      <w:pPr>
        <w:spacing w:after="200" w:line="276" w:lineRule="auto"/>
        <w:rPr>
          <w:lang w:val="fr-FR"/>
        </w:rPr>
      </w:pPr>
      <w:r w:rsidRPr="008970A8">
        <w:rPr>
          <w:lang w:val="fr-FR"/>
        </w:rPr>
        <w:t xml:space="preserve">Anexa 2 – CONFIRMAREA </w:t>
      </w:r>
      <w:r w:rsidR="00DB39AE" w:rsidRPr="008970A8">
        <w:rPr>
          <w:lang w:val="fr-FR"/>
        </w:rPr>
        <w:t xml:space="preserve">ACORDULUI ÎN SCRIS PENTRU CONŢINUTUL PROGRAMULUI DE COOPERARE  </w:t>
      </w:r>
    </w:p>
    <w:p w:rsidR="00DB39AE" w:rsidRPr="006C6828" w:rsidRDefault="00DB39AE" w:rsidP="00DB39AE">
      <w:pPr>
        <w:spacing w:after="200" w:line="276" w:lineRule="auto"/>
        <w:rPr>
          <w:lang w:val="it-IT"/>
        </w:rPr>
      </w:pPr>
      <w:r w:rsidRPr="006C6828">
        <w:rPr>
          <w:lang w:val="it-IT"/>
        </w:rPr>
        <w:t xml:space="preserve">Anexa 3 – HARTA REGIUNII CBC </w:t>
      </w:r>
    </w:p>
    <w:p w:rsidR="00DB39AE" w:rsidRPr="006C6828" w:rsidRDefault="00DB39AE" w:rsidP="00DB39AE">
      <w:pPr>
        <w:spacing w:after="200" w:line="276" w:lineRule="auto"/>
        <w:rPr>
          <w:lang w:val="it-IT"/>
        </w:rPr>
      </w:pPr>
      <w:r w:rsidRPr="006C6828">
        <w:rPr>
          <w:lang w:val="it-IT"/>
        </w:rPr>
        <w:t>Anexa 4 – ANALIZA TERITORIALǍ</w:t>
      </w:r>
    </w:p>
    <w:p w:rsidR="00DB39AE" w:rsidRPr="006C6828" w:rsidRDefault="00DB39AE" w:rsidP="00DB39AE">
      <w:pPr>
        <w:spacing w:after="200" w:line="276" w:lineRule="auto"/>
        <w:rPr>
          <w:lang w:val="it-IT"/>
        </w:rPr>
      </w:pPr>
      <w:r w:rsidRPr="006C6828">
        <w:rPr>
          <w:lang w:val="it-IT"/>
        </w:rPr>
        <w:t>Anexa 5 – COERENŢA DINTRE ANALIZA TERITORIALǍ ŞI OBIECTIVELE SPECIFICE</w:t>
      </w:r>
    </w:p>
    <w:p w:rsidR="00DB39AE" w:rsidRPr="006C6828" w:rsidRDefault="00DB39AE" w:rsidP="00DB39AE">
      <w:pPr>
        <w:spacing w:after="200" w:line="276" w:lineRule="auto"/>
        <w:rPr>
          <w:lang w:val="it-IT"/>
        </w:rPr>
      </w:pPr>
      <w:r w:rsidRPr="006C6828">
        <w:rPr>
          <w:lang w:val="it-IT"/>
        </w:rPr>
        <w:t xml:space="preserve">Anexa 6 – COERENŢA EXTERNǍ CU STRATEGIA UE PENTRU REGIUNEA DUNǍRII </w:t>
      </w:r>
    </w:p>
    <w:p w:rsidR="00DB39AE" w:rsidRPr="006C6828" w:rsidRDefault="00DB39AE" w:rsidP="00DB39AE">
      <w:pPr>
        <w:spacing w:after="200" w:line="276" w:lineRule="auto"/>
        <w:rPr>
          <w:lang w:val="it-IT"/>
        </w:rPr>
      </w:pPr>
      <w:r w:rsidRPr="006C6828">
        <w:rPr>
          <w:lang w:val="it-IT"/>
        </w:rPr>
        <w:t xml:space="preserve">Anexa 7 – LISTA PERSOANELOR INTERESATE CONSULTATE  </w:t>
      </w:r>
    </w:p>
    <w:p w:rsidR="00DB39AE" w:rsidRPr="006C6828" w:rsidRDefault="00DB39AE" w:rsidP="00DB39AE">
      <w:pPr>
        <w:spacing w:after="200" w:line="276" w:lineRule="auto"/>
        <w:rPr>
          <w:lang w:val="it-IT"/>
        </w:rPr>
      </w:pPr>
      <w:r w:rsidRPr="006C6828">
        <w:rPr>
          <w:lang w:val="it-IT"/>
        </w:rPr>
        <w:t xml:space="preserve">Anexa 8 – TABEL COORDONARE </w:t>
      </w:r>
    </w:p>
    <w:p w:rsidR="00DB39AE" w:rsidRDefault="00DB39AE" w:rsidP="00DB39AE">
      <w:pPr>
        <w:spacing w:after="200" w:line="276" w:lineRule="auto"/>
        <w:rPr>
          <w:lang w:val="fr-FR"/>
        </w:rPr>
      </w:pPr>
      <w:r>
        <w:rPr>
          <w:lang w:val="fr-FR"/>
        </w:rPr>
        <w:t>Anexa 9 – COMENTARII/PROPUNERI PRIMITE</w:t>
      </w:r>
    </w:p>
    <w:p w:rsidR="00DB39AE" w:rsidRDefault="00DB39AE" w:rsidP="00DB39AE">
      <w:pPr>
        <w:spacing w:after="200" w:line="276" w:lineRule="auto"/>
        <w:rPr>
          <w:lang w:val="fr-FR"/>
        </w:rPr>
      </w:pPr>
      <w:r>
        <w:rPr>
          <w:lang w:val="fr-FR"/>
        </w:rPr>
        <w:t>Anexa 10 - METODOLOGIA MǍSURǍRII INDICATORILOR</w:t>
      </w:r>
    </w:p>
    <w:p w:rsidR="00DB39AE" w:rsidRPr="00DB39AE" w:rsidRDefault="00DB39AE" w:rsidP="00DB39AE">
      <w:pPr>
        <w:rPr>
          <w:lang w:val="fr-FR"/>
        </w:rPr>
      </w:pPr>
    </w:p>
    <w:sectPr w:rsidR="00DB39AE" w:rsidRPr="00DB39AE" w:rsidSect="00DB39AE">
      <w:pgSz w:w="11906" w:h="16838"/>
      <w:pgMar w:top="1021" w:right="1418" w:bottom="1021" w:left="1418" w:header="601" w:footer="107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FFC" w:rsidRDefault="00C51FFC" w:rsidP="007A5DA0">
      <w:pPr>
        <w:spacing w:before="0" w:after="0"/>
      </w:pPr>
      <w:r>
        <w:separator/>
      </w:r>
    </w:p>
  </w:endnote>
  <w:endnote w:type="continuationSeparator" w:id="0">
    <w:p w:rsidR="00C51FFC" w:rsidRDefault="00C51FFC" w:rsidP="007A5DA0">
      <w:pPr>
        <w:spacing w:before="0" w:after="0"/>
      </w:pPr>
      <w:r>
        <w:continuationSeparator/>
      </w:r>
    </w:p>
  </w:endnote>
  <w:endnote w:type="continuationNotice" w:id="1">
    <w:p w:rsidR="00C51FFC" w:rsidRDefault="00C51FF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59"/>
    <w:family w:val="auto"/>
    <w:pitch w:val="variable"/>
    <w:sig w:usb0="00000000"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657729"/>
      <w:docPartObj>
        <w:docPartGallery w:val="Page Numbers (Bottom of Page)"/>
        <w:docPartUnique/>
      </w:docPartObj>
    </w:sdtPr>
    <w:sdtContent>
      <w:sdt>
        <w:sdtPr>
          <w:id w:val="216167504"/>
          <w:docPartObj>
            <w:docPartGallery w:val="Page Numbers (Top of Page)"/>
            <w:docPartUnique/>
          </w:docPartObj>
        </w:sdtPr>
        <w:sdtContent>
          <w:p w:rsidR="006D5DA0" w:rsidRDefault="006D5DA0" w:rsidP="00310A8C">
            <w:pPr>
              <w:pStyle w:val="Footer"/>
              <w:spacing w:before="0"/>
              <w:ind w:left="-851" w:right="-851"/>
              <w:jc w:val="center"/>
              <w:rPr>
                <w:b/>
                <w:bCs/>
                <w:szCs w:val="24"/>
              </w:rPr>
            </w:pPr>
            <w:r>
              <w:t xml:space="preserve">Page </w:t>
            </w:r>
            <w:r>
              <w:rPr>
                <w:b/>
                <w:bCs/>
                <w:szCs w:val="24"/>
              </w:rPr>
              <w:fldChar w:fldCharType="begin"/>
            </w:r>
            <w:r>
              <w:rPr>
                <w:b/>
                <w:bCs/>
              </w:rPr>
              <w:instrText xml:space="preserve"> PAGE </w:instrText>
            </w:r>
            <w:r>
              <w:rPr>
                <w:b/>
                <w:bCs/>
                <w:szCs w:val="24"/>
              </w:rPr>
              <w:fldChar w:fldCharType="separate"/>
            </w:r>
            <w:r w:rsidR="008608CF">
              <w:rPr>
                <w:b/>
                <w:bCs/>
                <w:noProof/>
              </w:rPr>
              <w:t>10</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8608CF">
              <w:rPr>
                <w:b/>
                <w:bCs/>
                <w:noProof/>
              </w:rPr>
              <w:t>136</w:t>
            </w:r>
            <w:r>
              <w:rPr>
                <w:b/>
                <w:bCs/>
                <w:szCs w:val="24"/>
              </w:rPr>
              <w:fldChar w:fldCharType="end"/>
            </w:r>
          </w:p>
          <w:p w:rsidR="006D5DA0" w:rsidRPr="00613EA2" w:rsidRDefault="006D5DA0" w:rsidP="00310A8C">
            <w:pPr>
              <w:pStyle w:val="Footer"/>
              <w:spacing w:before="0"/>
              <w:ind w:left="-851" w:right="-851"/>
              <w:rPr>
                <w:rFonts w:ascii="Arial" w:hAnsi="Arial" w:cs="Arial"/>
                <w:b/>
                <w:sz w:val="48"/>
              </w:rPr>
            </w:pPr>
            <w:r w:rsidRPr="00613EA2">
              <w:rPr>
                <w:rFonts w:ascii="Arial" w:hAnsi="Arial" w:cs="Arial"/>
                <w:b/>
                <w:sz w:val="48"/>
              </w:rPr>
              <w:t>EN</w:t>
            </w:r>
            <w:r w:rsidRPr="00613EA2">
              <w:rPr>
                <w:rFonts w:ascii="Arial" w:hAnsi="Arial" w:cs="Arial"/>
                <w:b/>
                <w:sz w:val="48"/>
              </w:rPr>
              <w:tab/>
            </w:r>
            <w:r w:rsidRPr="00613EA2">
              <w:rPr>
                <w:rFonts w:ascii="Arial" w:hAnsi="Arial" w:cs="Arial"/>
                <w:b/>
                <w:sz w:val="48"/>
              </w:rPr>
              <w:tab/>
            </w:r>
            <w:r>
              <w:fldChar w:fldCharType="begin"/>
            </w:r>
            <w:r>
              <w:instrText xml:space="preserve"> DOCVARIABLE "LW_Confidence" \* MERGEFORMAT </w:instrText>
            </w:r>
            <w:r>
              <w:fldChar w:fldCharType="end"/>
            </w:r>
            <w:r w:rsidRPr="00613EA2">
              <w:tab/>
            </w:r>
            <w:r w:rsidRPr="00613EA2">
              <w:rPr>
                <w:rFonts w:ascii="Arial" w:hAnsi="Arial" w:cs="Arial"/>
                <w:b/>
                <w:sz w:val="48"/>
              </w:rPr>
              <w:t>EN</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DA0" w:rsidRDefault="006D5DA0">
    <w:pPr>
      <w:pStyle w:val="FooterLandscape"/>
    </w:pPr>
    <w:r>
      <w:rPr>
        <w:rFonts w:ascii="Arial" w:hAnsi="Arial" w:cs="Arial"/>
        <w:b/>
        <w:sz w:val="48"/>
      </w:rPr>
      <w:t>EN</w:t>
    </w:r>
    <w:r>
      <w:rPr>
        <w:rFonts w:ascii="Arial" w:hAnsi="Arial" w:cs="Arial"/>
        <w:b/>
        <w:sz w:val="48"/>
      </w:rPr>
      <w:tab/>
    </w:r>
    <w:r>
      <w:fldChar w:fldCharType="begin"/>
    </w:r>
    <w:r>
      <w:instrText xml:space="preserve"> PAGE </w:instrText>
    </w:r>
    <w:r>
      <w:fldChar w:fldCharType="separate"/>
    </w:r>
    <w:r w:rsidR="008608CF">
      <w:rPr>
        <w:noProof/>
      </w:rPr>
      <w:t>36</w:t>
    </w:r>
    <w:r>
      <w:rPr>
        <w:noProof/>
      </w:rPr>
      <w:fldChar w:fldCharType="end"/>
    </w:r>
    <w:r>
      <w:tab/>
    </w:r>
    <w:r>
      <w:tab/>
    </w:r>
    <w:r>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DA0" w:rsidRDefault="006D5DA0">
    <w:pPr>
      <w:pStyle w:val="FooterLandscape"/>
    </w:pPr>
    <w:r>
      <w:rPr>
        <w:rFonts w:ascii="Arial" w:hAnsi="Arial" w:cs="Arial"/>
        <w:b/>
        <w:sz w:val="48"/>
      </w:rPr>
      <w:t>EN</w:t>
    </w:r>
    <w:r>
      <w:rPr>
        <w:rFonts w:ascii="Arial" w:hAnsi="Arial" w:cs="Arial"/>
        <w:b/>
        <w:sz w:val="48"/>
      </w:rPr>
      <w:tab/>
    </w:r>
    <w:r>
      <w:fldChar w:fldCharType="begin"/>
    </w:r>
    <w:r>
      <w:instrText xml:space="preserve"> PAGE </w:instrText>
    </w:r>
    <w:r>
      <w:fldChar w:fldCharType="separate"/>
    </w:r>
    <w:r w:rsidR="008608CF">
      <w:rPr>
        <w:noProof/>
      </w:rPr>
      <w:t>45</w:t>
    </w:r>
    <w:r>
      <w:rPr>
        <w:noProof/>
      </w:rPr>
      <w:fldChar w:fldCharType="end"/>
    </w:r>
    <w:r>
      <w:tab/>
    </w:r>
    <w:r>
      <w:tab/>
    </w:r>
    <w:r>
      <w:rPr>
        <w:rFonts w:ascii="Arial" w:hAnsi="Arial" w:cs="Arial"/>
        <w:b/>
        <w:sz w:val="48"/>
      </w:rPr>
      <w:t>EN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DA0" w:rsidRDefault="006D5DA0">
    <w:pPr>
      <w:pStyle w:val="FooterLandscape"/>
    </w:pPr>
    <w:r>
      <w:rPr>
        <w:rFonts w:ascii="Arial" w:hAnsi="Arial" w:cs="Arial"/>
        <w:b/>
        <w:sz w:val="48"/>
      </w:rPr>
      <w:t>EN</w:t>
    </w:r>
    <w:r>
      <w:rPr>
        <w:rFonts w:ascii="Arial" w:hAnsi="Arial" w:cs="Arial"/>
        <w:b/>
        <w:sz w:val="48"/>
      </w:rPr>
      <w:tab/>
    </w:r>
    <w:r>
      <w:fldChar w:fldCharType="begin"/>
    </w:r>
    <w:r>
      <w:instrText xml:space="preserve"> PAGE </w:instrText>
    </w:r>
    <w:r>
      <w:fldChar w:fldCharType="separate"/>
    </w:r>
    <w:r w:rsidR="008608CF">
      <w:rPr>
        <w:noProof/>
      </w:rPr>
      <w:t>73</w:t>
    </w:r>
    <w:r>
      <w:rPr>
        <w:noProof/>
      </w:rPr>
      <w:fldChar w:fldCharType="end"/>
    </w:r>
    <w:r>
      <w:tab/>
    </w:r>
    <w:r>
      <w:tab/>
    </w:r>
    <w:r>
      <w:rPr>
        <w:rFonts w:ascii="Arial" w:hAnsi="Arial" w:cs="Arial"/>
        <w:b/>
        <w:sz w:val="48"/>
      </w:rPr>
      <w:t>EN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DA0" w:rsidRDefault="006D5DA0">
    <w:pPr>
      <w:pStyle w:val="FooterLandscape"/>
    </w:pPr>
    <w:r>
      <w:rPr>
        <w:rFonts w:ascii="Arial" w:hAnsi="Arial" w:cs="Arial"/>
        <w:b/>
        <w:sz w:val="48"/>
      </w:rPr>
      <w:t>EN</w:t>
    </w:r>
    <w:r>
      <w:rPr>
        <w:rFonts w:ascii="Arial" w:hAnsi="Arial" w:cs="Arial"/>
        <w:b/>
        <w:sz w:val="48"/>
      </w:rPr>
      <w:tab/>
    </w:r>
    <w:r>
      <w:fldChar w:fldCharType="begin"/>
    </w:r>
    <w:r>
      <w:instrText xml:space="preserve"> PAGE </w:instrText>
    </w:r>
    <w:r>
      <w:fldChar w:fldCharType="separate"/>
    </w:r>
    <w:r w:rsidR="008608CF">
      <w:rPr>
        <w:noProof/>
      </w:rPr>
      <w:t>86</w:t>
    </w:r>
    <w:r>
      <w:rPr>
        <w:noProof/>
      </w:rPr>
      <w:fldChar w:fldCharType="end"/>
    </w:r>
    <w:r>
      <w:tab/>
    </w:r>
    <w:r>
      <w:tab/>
    </w:r>
    <w:r>
      <w:rPr>
        <w:rFonts w:ascii="Arial" w:hAnsi="Arial" w:cs="Arial"/>
        <w:b/>
        <w:sz w:val="48"/>
      </w:rPr>
      <w:t>EN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DA0" w:rsidRPr="00613EA2" w:rsidRDefault="006D5DA0" w:rsidP="00FB7824">
    <w:pPr>
      <w:pStyle w:val="Footer"/>
      <w:rPr>
        <w:rFonts w:ascii="Arial" w:hAnsi="Arial" w:cs="Arial"/>
        <w:b/>
        <w:sz w:val="48"/>
      </w:rPr>
    </w:pPr>
    <w:r w:rsidRPr="00613EA2">
      <w:rPr>
        <w:rFonts w:ascii="Arial" w:hAnsi="Arial" w:cs="Arial"/>
        <w:b/>
        <w:sz w:val="48"/>
      </w:rPr>
      <w:t>EN</w:t>
    </w:r>
    <w:r w:rsidRPr="00613EA2">
      <w:rPr>
        <w:rFonts w:ascii="Arial" w:hAnsi="Arial" w:cs="Arial"/>
        <w:b/>
        <w:sz w:val="48"/>
      </w:rPr>
      <w:tab/>
    </w:r>
    <w:r>
      <w:fldChar w:fldCharType="begin"/>
    </w:r>
    <w:r>
      <w:instrText xml:space="preserve"> PAGE  \* MERGEFORMAT </w:instrText>
    </w:r>
    <w:r>
      <w:fldChar w:fldCharType="separate"/>
    </w:r>
    <w:r w:rsidR="008608CF">
      <w:rPr>
        <w:noProof/>
      </w:rPr>
      <w:t>135</w:t>
    </w:r>
    <w:r>
      <w:rPr>
        <w:noProof/>
      </w:rPr>
      <w:fldChar w:fldCharType="end"/>
    </w:r>
    <w:r>
      <w:tab/>
    </w:r>
    <w:r>
      <w:fldChar w:fldCharType="begin"/>
    </w:r>
    <w:r>
      <w:instrText xml:space="preserve"> DOCVARIABLE "LW_Confidence" \* MERGEFORMAT </w:instrText>
    </w:r>
    <w:r>
      <w:fldChar w:fldCharType="end"/>
    </w:r>
    <w:r w:rsidRPr="00613EA2">
      <w:tab/>
    </w:r>
    <w:r w:rsidRPr="00613EA2">
      <w:rPr>
        <w:rFonts w:ascii="Arial" w:hAnsi="Arial" w:cs="Arial"/>
        <w:b/>
        <w:sz w:val="48"/>
      </w:rPr>
      <w:t>EN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DA0" w:rsidRPr="00613EA2" w:rsidRDefault="006D5DA0" w:rsidP="00FB78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FFC" w:rsidRDefault="00C51FFC" w:rsidP="007A5DA0">
      <w:pPr>
        <w:spacing w:before="0" w:after="0"/>
      </w:pPr>
      <w:r>
        <w:separator/>
      </w:r>
    </w:p>
  </w:footnote>
  <w:footnote w:type="continuationSeparator" w:id="0">
    <w:p w:rsidR="00C51FFC" w:rsidRDefault="00C51FFC" w:rsidP="007A5DA0">
      <w:pPr>
        <w:spacing w:before="0" w:after="0"/>
      </w:pPr>
      <w:r>
        <w:continuationSeparator/>
      </w:r>
    </w:p>
  </w:footnote>
  <w:footnote w:type="continuationNotice" w:id="1">
    <w:p w:rsidR="00C51FFC" w:rsidRDefault="00C51FFC">
      <w:pPr>
        <w:spacing w:before="0" w:after="0"/>
      </w:pPr>
    </w:p>
  </w:footnote>
  <w:footnote w:id="2">
    <w:p w:rsidR="006D5DA0" w:rsidRPr="00FA72D0" w:rsidRDefault="006D5DA0">
      <w:pPr>
        <w:pStyle w:val="FootnoteText"/>
        <w:rPr>
          <w:lang w:val="fr-FR"/>
        </w:rPr>
      </w:pPr>
      <w:r>
        <w:rPr>
          <w:rStyle w:val="FootnoteReference"/>
        </w:rPr>
        <w:footnoteRef/>
      </w:r>
      <w:r w:rsidRPr="00FA72D0">
        <w:rPr>
          <w:lang w:val="fr-FR"/>
        </w:rPr>
        <w:t xml:space="preserve">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(JO L 347, 20.12.2013, p. 320).</w:t>
      </w:r>
    </w:p>
  </w:footnote>
  <w:footnote w:id="3">
    <w:p w:rsidR="006D5DA0" w:rsidRPr="00FA72D0" w:rsidRDefault="006D5DA0">
      <w:pPr>
        <w:pStyle w:val="FootnoteText"/>
        <w:rPr>
          <w:lang w:val="ro-RO"/>
        </w:rPr>
      </w:pPr>
      <w:r>
        <w:rPr>
          <w:rStyle w:val="FootnoteReference"/>
        </w:rPr>
        <w:footnoteRef/>
      </w:r>
      <w:r w:rsidRPr="00FA72D0">
        <w:rPr>
          <w:lang w:val="fr-FR"/>
        </w:rPr>
        <w:t xml:space="preserve"> Regulamentul (UE) nr. 1299/2013 al Parlamentului European și al Consiliului din 17 decembrie 2013 privind dispoziții specifice pentru sprijinul din partea Fondului european de dezvoltare regională pentru obiectivul de cooperare teritorială europeană (JO L 347, 20.12.2013, p. 259)</w:t>
      </w:r>
    </w:p>
  </w:footnote>
  <w:footnote w:id="4">
    <w:p w:rsidR="006D5DA0" w:rsidRPr="00B60C4A" w:rsidRDefault="006D5DA0">
      <w:pPr>
        <w:pStyle w:val="FootnoteText"/>
        <w:rPr>
          <w:lang w:val="ro-RO"/>
        </w:rPr>
      </w:pPr>
      <w:r>
        <w:rPr>
          <w:rStyle w:val="FootnoteReference"/>
        </w:rPr>
        <w:footnoteRef/>
      </w:r>
      <w:r w:rsidRPr="00B60C4A">
        <w:rPr>
          <w:lang w:val="ro-RO"/>
        </w:rPr>
        <w:t>OIR și colab. (2011): Provocări regionale în perspectiva anului 2020 - Etapa 2: Aprofundarea și extinderea analizei; studiu comandat de Comisia Europeană, Direcția Generală pentru Politică Regională, Unitatea C1 Conception, studii prospective, de evaluare a impactului; Viena / Heisdorf / Bonn</w:t>
      </w:r>
    </w:p>
  </w:footnote>
  <w:footnote w:id="5">
    <w:p w:rsidR="006D5DA0" w:rsidRPr="00B60C4A" w:rsidRDefault="006D5DA0">
      <w:pPr>
        <w:pStyle w:val="FootnoteText"/>
        <w:rPr>
          <w:lang w:val="ro-RO"/>
        </w:rPr>
      </w:pPr>
      <w:r>
        <w:rPr>
          <w:rStyle w:val="FootnoteReference"/>
        </w:rPr>
        <w:footnoteRef/>
      </w:r>
      <w:r w:rsidRPr="00B60C4A">
        <w:rPr>
          <w:lang w:val="ro-RO"/>
        </w:rPr>
        <w:t xml:space="preserve">ECNC et (2007): Scenar 2020: Studiul scenariului privind agricultura și mediul rural; studiu de contract comandat de DG Agricultură, Direcția G: Analiză și evaluare economică; Bruxelles  </w:t>
      </w:r>
    </w:p>
  </w:footnote>
  <w:footnote w:id="6">
    <w:p w:rsidR="006D5DA0" w:rsidRPr="00B60C4A" w:rsidRDefault="006D5DA0">
      <w:pPr>
        <w:pStyle w:val="FootnoteText"/>
        <w:rPr>
          <w:lang w:val="ro-RO"/>
        </w:rPr>
      </w:pPr>
      <w:r>
        <w:rPr>
          <w:rStyle w:val="FootnoteReference"/>
        </w:rPr>
        <w:footnoteRef/>
      </w:r>
      <w:r w:rsidRPr="00B60C4A">
        <w:rPr>
          <w:lang w:val="ro-RO"/>
        </w:rPr>
        <w:t>ESPON 3.2 (2006): Scenarii spațiale și orientări în legătură cu ESDP și Politica de Coeziune – Raport Final, Volumul 3: Baze tematice finale și scenarii; Bruxelles</w:t>
      </w:r>
    </w:p>
  </w:footnote>
  <w:footnote w:id="7">
    <w:p w:rsidR="006D5DA0" w:rsidRPr="007173F3" w:rsidRDefault="006D5DA0" w:rsidP="002564E4">
      <w:pPr>
        <w:pStyle w:val="FootnoteText"/>
        <w:rPr>
          <w:lang w:val="fr-FR"/>
        </w:rPr>
      </w:pPr>
      <w:r>
        <w:rPr>
          <w:rStyle w:val="FootnoteReference"/>
        </w:rPr>
        <w:footnoteRef/>
      </w:r>
      <w:r w:rsidRPr="007173F3">
        <w:rPr>
          <w:lang w:val="fr-FR"/>
        </w:rPr>
        <w:tab/>
        <w:t xml:space="preserve">Valorile-țintă pot fi calitative sau cantitative. </w:t>
      </w:r>
    </w:p>
  </w:footnote>
  <w:footnote w:id="8">
    <w:p w:rsidR="006D5DA0" w:rsidRPr="007173F3" w:rsidRDefault="006D5DA0" w:rsidP="00E846D6">
      <w:pPr>
        <w:pStyle w:val="FootnoteText"/>
        <w:rPr>
          <w:lang w:val="fr-FR"/>
        </w:rPr>
      </w:pPr>
      <w:r>
        <w:rPr>
          <w:rStyle w:val="FootnoteReference"/>
        </w:rPr>
        <w:footnoteRef/>
      </w:r>
      <w:r w:rsidRPr="007173F3">
        <w:rPr>
          <w:lang w:val="fr-FR"/>
        </w:rPr>
        <w:tab/>
        <w:t xml:space="preserve">Valorile-țintă pot fi calitative sau cantitative. </w:t>
      </w:r>
    </w:p>
  </w:footnote>
  <w:footnote w:id="9">
    <w:p w:rsidR="006D5DA0" w:rsidRPr="007173F3" w:rsidRDefault="006D5DA0">
      <w:pPr>
        <w:pStyle w:val="FootnoteText"/>
        <w:rPr>
          <w:lang w:val="fr-FR"/>
        </w:rPr>
      </w:pPr>
      <w:r>
        <w:rPr>
          <w:rStyle w:val="FootnoteReference"/>
        </w:rPr>
        <w:footnoteRef/>
      </w:r>
      <w:r w:rsidRPr="00C90B9D">
        <w:rPr>
          <w:lang w:val="fr-FR"/>
        </w:rPr>
        <w:t>Valorile-țintă pot fi calitative sau cantitative.</w:t>
      </w:r>
    </w:p>
  </w:footnote>
  <w:footnote w:id="10">
    <w:p w:rsidR="006D5DA0" w:rsidRPr="007173F3" w:rsidRDefault="006D5DA0">
      <w:pPr>
        <w:pStyle w:val="FootnoteText"/>
        <w:rPr>
          <w:lang w:val="fr-FR"/>
        </w:rPr>
      </w:pPr>
      <w:r>
        <w:rPr>
          <w:rStyle w:val="FootnoteReference"/>
        </w:rPr>
        <w:footnoteRef/>
      </w:r>
      <w:r w:rsidRPr="007173F3">
        <w:rPr>
          <w:lang w:val="fr-FR"/>
        </w:rPr>
        <w:t xml:space="preserve"> Valorile-țintă pot fi calitative sau cantitative.</w:t>
      </w:r>
    </w:p>
  </w:footnote>
  <w:footnote w:id="11">
    <w:p w:rsidR="006D5DA0" w:rsidRPr="00C90B9D" w:rsidRDefault="006D5DA0">
      <w:pPr>
        <w:pStyle w:val="FootnoteText"/>
        <w:rPr>
          <w:lang w:val="fr-FR"/>
        </w:rPr>
      </w:pPr>
      <w:r>
        <w:rPr>
          <w:rStyle w:val="FootnoteReference"/>
        </w:rPr>
        <w:footnoteRef/>
      </w:r>
      <w:r w:rsidRPr="00C90B9D">
        <w:rPr>
          <w:lang w:val="fr-FR"/>
        </w:rPr>
        <w:t xml:space="preserve"> Valorile-țintă pot fi calitative sau cantitative</w:t>
      </w:r>
    </w:p>
  </w:footnote>
  <w:footnote w:id="12">
    <w:p w:rsidR="006D5DA0" w:rsidRPr="001327F3" w:rsidRDefault="006D5DA0">
      <w:pPr>
        <w:pStyle w:val="FootnoteText"/>
        <w:rPr>
          <w:lang w:val="fr-FR"/>
        </w:rPr>
      </w:pPr>
      <w:r>
        <w:rPr>
          <w:rStyle w:val="FootnoteReference"/>
        </w:rPr>
        <w:footnoteRef/>
      </w:r>
      <w:r w:rsidRPr="001327F3">
        <w:rPr>
          <w:lang w:val="fr-FR"/>
        </w:rPr>
        <w:t xml:space="preserve"> Valorile-țintă pot fi calitative sau cantitative.</w:t>
      </w:r>
    </w:p>
  </w:footnote>
  <w:footnote w:id="13">
    <w:p w:rsidR="006D5DA0" w:rsidRPr="00A65597" w:rsidRDefault="006D5DA0">
      <w:pPr>
        <w:pStyle w:val="FootnoteText"/>
        <w:rPr>
          <w:lang w:val="fr-FR"/>
        </w:rPr>
      </w:pPr>
      <w:r>
        <w:rPr>
          <w:rStyle w:val="FootnoteReference"/>
        </w:rPr>
        <w:footnoteRef/>
      </w:r>
      <w:r w:rsidRPr="00A65597">
        <w:rPr>
          <w:lang w:val="fr-FR"/>
        </w:rPr>
        <w:t xml:space="preserve"> Valorile-țintă pot fi calitative sau cantitative.</w:t>
      </w:r>
    </w:p>
  </w:footnote>
  <w:footnote w:id="14">
    <w:p w:rsidR="006D5DA0" w:rsidRPr="00DD4E34" w:rsidRDefault="006D5DA0">
      <w:pPr>
        <w:pStyle w:val="FootnoteText"/>
        <w:rPr>
          <w:lang w:val="fr-FR"/>
        </w:rPr>
      </w:pPr>
      <w:r>
        <w:rPr>
          <w:rStyle w:val="FootnoteReference"/>
        </w:rPr>
        <w:footnoteRef/>
      </w:r>
      <w:r w:rsidRPr="00DD4E34">
        <w:rPr>
          <w:lang w:val="fr-FR"/>
        </w:rPr>
        <w:t>Necesar dacă sprijinul acordat de Uniune pentru asistența tehnică aferentă programului de cooperare depășește 15 milioane EUR.</w:t>
      </w:r>
    </w:p>
  </w:footnote>
  <w:footnote w:id="15">
    <w:p w:rsidR="006D5DA0" w:rsidRPr="00FE62B0" w:rsidRDefault="006D5DA0">
      <w:pPr>
        <w:pStyle w:val="FootnoteText"/>
        <w:rPr>
          <w:lang w:val="fr-FR"/>
        </w:rPr>
      </w:pPr>
      <w:r>
        <w:rPr>
          <w:rStyle w:val="FootnoteReference"/>
        </w:rPr>
        <w:footnoteRef/>
      </w:r>
      <w:r w:rsidRPr="00FE62B0">
        <w:rPr>
          <w:lang w:val="fr-FR"/>
        </w:rPr>
        <w:t xml:space="preserve"> Necesar în cazul în care acest lucru este justificat în mod obiectiv având în vedere conținutul acțiunii și în cazul în care sprijinul Uniunii pentru asistență tehnică în program depășește 15 milioane EUR și în cazul în care acest lucru este justificat în mod obiectiv având în vedere conținutul acțiunilor.</w:t>
      </w:r>
    </w:p>
  </w:footnote>
  <w:footnote w:id="16">
    <w:p w:rsidR="006D5DA0" w:rsidRPr="008D5931" w:rsidRDefault="006D5DA0">
      <w:pPr>
        <w:pStyle w:val="FootnoteText"/>
        <w:rPr>
          <w:lang w:val="fr-FR"/>
        </w:rPr>
      </w:pPr>
      <w:r>
        <w:rPr>
          <w:rStyle w:val="FootnoteReference"/>
        </w:rPr>
        <w:footnoteRef/>
      </w:r>
      <w:r w:rsidRPr="008D5931">
        <w:rPr>
          <w:lang w:val="fr-FR"/>
        </w:rPr>
        <w:t xml:space="preserve"> Banca Europeană </w:t>
      </w:r>
      <w:proofErr w:type="gramStart"/>
      <w:r w:rsidRPr="008D5931">
        <w:rPr>
          <w:lang w:val="fr-FR"/>
        </w:rPr>
        <w:t>de Investiții</w:t>
      </w:r>
      <w:proofErr w:type="gramEnd"/>
    </w:p>
  </w:footnote>
  <w:footnote w:id="17">
    <w:p w:rsidR="006D5DA0" w:rsidRPr="00786C3C" w:rsidRDefault="006D5DA0">
      <w:pPr>
        <w:pStyle w:val="FootnoteText"/>
        <w:rPr>
          <w:lang w:val="fr-FR"/>
        </w:rPr>
      </w:pPr>
      <w:r>
        <w:rPr>
          <w:rStyle w:val="FootnoteReference"/>
        </w:rPr>
        <w:footnoteRef/>
      </w:r>
      <w:r w:rsidRPr="00952AC8">
        <w:rPr>
          <w:lang w:val="fr-FR"/>
        </w:rPr>
        <w:t>Această rată poate fi rotunjită la cea mai apropiată valoare întreagă din tabel. Rata exactă utilizată pentru rambursări este raportul (f).</w:t>
      </w:r>
    </w:p>
  </w:footnote>
  <w:footnote w:id="18">
    <w:p w:rsidR="006D5DA0" w:rsidRPr="00786C3C" w:rsidRDefault="006D5DA0">
      <w:pPr>
        <w:pStyle w:val="FootnoteText"/>
        <w:rPr>
          <w:lang w:val="fr-FR"/>
        </w:rPr>
      </w:pPr>
      <w:r>
        <w:rPr>
          <w:rStyle w:val="FootnoteReference"/>
        </w:rPr>
        <w:footnoteRef/>
      </w:r>
      <w:r w:rsidRPr="00952AC8">
        <w:rPr>
          <w:lang w:val="fr-FR"/>
        </w:rPr>
        <w:t>A se completa doar când axele prioritare sunt exprimate în costuri totale.</w:t>
      </w:r>
    </w:p>
  </w:footnote>
  <w:footnote w:id="19">
    <w:p w:rsidR="006D5DA0" w:rsidRPr="00786C3C" w:rsidRDefault="006D5DA0">
      <w:pPr>
        <w:pStyle w:val="FootnoteText"/>
        <w:rPr>
          <w:lang w:val="fr-FR"/>
        </w:rPr>
      </w:pPr>
      <w:r>
        <w:rPr>
          <w:rStyle w:val="FootnoteReference"/>
        </w:rPr>
        <w:footnoteRef/>
      </w:r>
      <w:r w:rsidRPr="00786C3C">
        <w:rPr>
          <w:lang w:val="fr-FR"/>
        </w:rPr>
        <w:t xml:space="preserve"> Prezentarea sumelor transferate de la ENI și IPA depinde </w:t>
      </w:r>
      <w:proofErr w:type="gramStart"/>
      <w:r w:rsidRPr="00786C3C">
        <w:rPr>
          <w:lang w:val="fr-FR"/>
        </w:rPr>
        <w:t>de opțiunea</w:t>
      </w:r>
      <w:proofErr w:type="gramEnd"/>
      <w:r w:rsidRPr="00786C3C">
        <w:rPr>
          <w:lang w:val="fr-FR"/>
        </w:rPr>
        <w:t xml:space="preserve"> de management selectată.</w:t>
      </w:r>
    </w:p>
  </w:footnote>
  <w:footnote w:id="20">
    <w:p w:rsidR="006D5DA0" w:rsidRPr="00B93017" w:rsidRDefault="006D5DA0">
      <w:pPr>
        <w:pStyle w:val="FootnoteText"/>
        <w:rPr>
          <w:lang w:val="fr-FR"/>
        </w:rPr>
      </w:pPr>
      <w:r>
        <w:rPr>
          <w:rStyle w:val="FootnoteReference"/>
        </w:rPr>
        <w:footnoteRef/>
      </w:r>
      <w:r w:rsidRPr="00B93017">
        <w:rPr>
          <w:lang w:val="fr-FR"/>
        </w:rPr>
        <w:t xml:space="preserve"> Nu se aplică pentru URBACT, INTERACT și ESPON.</w:t>
      </w:r>
    </w:p>
  </w:footnote>
  <w:footnote w:id="21">
    <w:p w:rsidR="006D5DA0" w:rsidRPr="00F34893" w:rsidRDefault="006D5DA0">
      <w:pPr>
        <w:pStyle w:val="FootnoteText"/>
        <w:rPr>
          <w:lang w:val="fr-FR"/>
        </w:rPr>
      </w:pPr>
      <w:r>
        <w:rPr>
          <w:rStyle w:val="FootnoteReference"/>
        </w:rPr>
        <w:footnoteRef/>
      </w:r>
      <w:r w:rsidRPr="00F34893">
        <w:rPr>
          <w:lang w:val="fr-FR"/>
        </w:rPr>
        <w:t xml:space="preserve"> Nu se aplică pentru URBACT, INTERACT și ESPON.</w:t>
      </w:r>
    </w:p>
  </w:footnote>
  <w:footnote w:id="22">
    <w:p w:rsidR="006D5DA0" w:rsidRDefault="006D5DA0" w:rsidP="00DB39AE">
      <w:pPr>
        <w:pStyle w:val="FootnoteText"/>
        <w:rPr>
          <w:rFonts w:eastAsia="Times New Roman"/>
          <w:lang w:val="fr-FR"/>
        </w:rPr>
      </w:pPr>
      <w:r>
        <w:rPr>
          <w:rStyle w:val="FootnoteReference"/>
        </w:rPr>
        <w:footnoteRef/>
      </w:r>
      <w:r>
        <w:rPr>
          <w:lang w:val="fr-FR"/>
        </w:rPr>
        <w:t xml:space="preserve"> Legea 48/2002 din România şi Legea Protecţiei împotriva discriminãrii şi </w:t>
      </w:r>
      <w:proofErr w:type="gramStart"/>
      <w:r>
        <w:rPr>
          <w:lang w:val="fr-FR"/>
        </w:rPr>
        <w:t>de integrare</w:t>
      </w:r>
      <w:proofErr w:type="gramEnd"/>
      <w:r>
        <w:rPr>
          <w:lang w:val="fr-FR"/>
        </w:rPr>
        <w:t xml:space="preserve"> a persoanelor cu dizabilitãţi din Bulgaria</w:t>
      </w:r>
    </w:p>
  </w:footnote>
  <w:footnote w:id="23">
    <w:p w:rsidR="006D5DA0" w:rsidRDefault="006D5DA0" w:rsidP="00DB39AE">
      <w:pPr>
        <w:pStyle w:val="FootnoteText"/>
        <w:rPr>
          <w:lang w:val="fr-FR"/>
        </w:rPr>
      </w:pPr>
      <w:r>
        <w:rPr>
          <w:rStyle w:val="FootnoteReference"/>
        </w:rPr>
        <w:footnoteRef/>
      </w:r>
      <w:r>
        <w:rPr>
          <w:lang w:val="fr-FR"/>
        </w:rPr>
        <w:tab/>
        <w:t>Pentru prezentare ca anexe în versiunea documentelor printate</w:t>
      </w:r>
    </w:p>
  </w:footnote>
  <w:footnote w:id="24">
    <w:p w:rsidR="006D5DA0" w:rsidRDefault="006D5DA0" w:rsidP="00DB39AE">
      <w:pPr>
        <w:pStyle w:val="FootnoteText"/>
        <w:rPr>
          <w:lang w:val="fr-FR"/>
        </w:rPr>
      </w:pPr>
      <w:r>
        <w:rPr>
          <w:rStyle w:val="FootnoteReference"/>
        </w:rPr>
        <w:footnoteRef/>
      </w:r>
      <w:r>
        <w:rPr>
          <w:lang w:val="fr-FR"/>
        </w:rPr>
        <w:tab/>
        <w:t>Nu se aplicã pentru programele INTERACT şi ESPON.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DA0" w:rsidRDefault="006D5DA0">
    <w:pPr>
      <w:pStyle w:val="HeaderLandscap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DA0" w:rsidRDefault="006D5DA0">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DA0" w:rsidRDefault="006D5DA0">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DA0" w:rsidRPr="00613EA2" w:rsidRDefault="006D5DA0" w:rsidP="00FB782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DA0" w:rsidRPr="00613EA2" w:rsidRDefault="006D5DA0" w:rsidP="00FB78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43B70"/>
    <w:multiLevelType w:val="hybridMultilevel"/>
    <w:tmpl w:val="D81C67C4"/>
    <w:lvl w:ilvl="0" w:tplc="040E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6A2749"/>
    <w:multiLevelType w:val="hybridMultilevel"/>
    <w:tmpl w:val="9170EEE4"/>
    <w:lvl w:ilvl="0" w:tplc="ABCC3AA4">
      <w:start w:val="1"/>
      <w:numFmt w:val="bullet"/>
      <w:pStyle w:val="ListParagraph"/>
      <w:lvlText w:val=""/>
      <w:lvlJc w:val="left"/>
      <w:pPr>
        <w:ind w:left="1440" w:hanging="360"/>
      </w:pPr>
      <w:rPr>
        <w:rFonts w:ascii="Wingdings" w:hAnsi="Wingdings" w:hint="default"/>
        <w:b/>
        <w:i w:val="0"/>
        <w:color w:val="auto"/>
        <w:sz w:val="24"/>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nsid w:val="05C86815"/>
    <w:multiLevelType w:val="hybridMultilevel"/>
    <w:tmpl w:val="E21CE336"/>
    <w:name w:val="Heading2"/>
    <w:lvl w:ilvl="0" w:tplc="9744856C">
      <w:start w:val="1"/>
      <w:numFmt w:val="lowerRoman"/>
      <w:lvlText w:val="%1."/>
      <w:lvlJc w:val="left"/>
      <w:pPr>
        <w:ind w:left="717" w:hanging="360"/>
      </w:pPr>
      <w:rPr>
        <w:rFonts w:ascii="Times New Roman" w:hAnsi="Times New Roman" w:hint="default"/>
        <w:b/>
        <w:i w:val="0"/>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5E66A69"/>
    <w:multiLevelType w:val="hybridMultilevel"/>
    <w:tmpl w:val="6EAC2390"/>
    <w:lvl w:ilvl="0" w:tplc="0C184FA6">
      <w:start w:val="1"/>
      <w:numFmt w:val="decimal"/>
      <w:lvlText w:val="%1."/>
      <w:lvlJc w:val="left"/>
      <w:pPr>
        <w:ind w:left="720" w:hanging="360"/>
      </w:pPr>
      <w:rPr>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nsid w:val="083C242F"/>
    <w:multiLevelType w:val="hybridMultilevel"/>
    <w:tmpl w:val="7B46BCE0"/>
    <w:lvl w:ilvl="0" w:tplc="0BBC68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9867F29"/>
    <w:multiLevelType w:val="hybridMultilevel"/>
    <w:tmpl w:val="49060198"/>
    <w:lvl w:ilvl="0" w:tplc="040E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A284B8F"/>
    <w:multiLevelType w:val="hybridMultilevel"/>
    <w:tmpl w:val="7B1A219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7150624A">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FA006B"/>
    <w:multiLevelType w:val="hybridMultilevel"/>
    <w:tmpl w:val="6EAC2390"/>
    <w:lvl w:ilvl="0" w:tplc="0C184FA6">
      <w:start w:val="1"/>
      <w:numFmt w:val="decimal"/>
      <w:lvlText w:val="%1."/>
      <w:lvlJc w:val="left"/>
      <w:pPr>
        <w:ind w:left="720" w:hanging="360"/>
      </w:pPr>
      <w:rPr>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13F12BC0"/>
    <w:multiLevelType w:val="hybridMultilevel"/>
    <w:tmpl w:val="3B7A3DA0"/>
    <w:lvl w:ilvl="0" w:tplc="9C96A2BC">
      <w:start w:val="1"/>
      <w:numFmt w:val="bullet"/>
      <w:pStyle w:val="ListBullet"/>
      <w:lvlText w:val=""/>
      <w:lvlJc w:val="left"/>
      <w:pPr>
        <w:ind w:left="1440" w:hanging="360"/>
      </w:pPr>
      <w:rPr>
        <w:rFonts w:ascii="Wingdings" w:hAnsi="Wingdings" w:hint="default"/>
        <w:b/>
        <w:i w:val="0"/>
        <w:color w:val="auto"/>
        <w:sz w:val="24"/>
      </w:rPr>
    </w:lvl>
    <w:lvl w:ilvl="1" w:tplc="040C0019">
      <w:start w:val="1"/>
      <w:numFmt w:val="bullet"/>
      <w:lvlText w:val="o"/>
      <w:lvlJc w:val="left"/>
      <w:pPr>
        <w:ind w:left="2160" w:hanging="360"/>
      </w:pPr>
      <w:rPr>
        <w:rFonts w:ascii="Courier New" w:hAnsi="Courier New" w:cs="Courier New" w:hint="default"/>
      </w:rPr>
    </w:lvl>
    <w:lvl w:ilvl="2" w:tplc="040C001B">
      <w:start w:val="1"/>
      <w:numFmt w:val="bullet"/>
      <w:lvlText w:val=""/>
      <w:lvlJc w:val="left"/>
      <w:pPr>
        <w:ind w:left="2880" w:hanging="360"/>
      </w:pPr>
      <w:rPr>
        <w:rFonts w:ascii="Wingdings" w:hAnsi="Wingdings" w:hint="default"/>
      </w:rPr>
    </w:lvl>
    <w:lvl w:ilvl="3" w:tplc="040C000F">
      <w:start w:val="1"/>
      <w:numFmt w:val="bullet"/>
      <w:lvlText w:val=""/>
      <w:lvlJc w:val="left"/>
      <w:pPr>
        <w:ind w:left="3600" w:hanging="360"/>
      </w:pPr>
      <w:rPr>
        <w:rFonts w:ascii="Symbol" w:hAnsi="Symbol" w:hint="default"/>
      </w:rPr>
    </w:lvl>
    <w:lvl w:ilvl="4" w:tplc="040C0019">
      <w:start w:val="1"/>
      <w:numFmt w:val="bullet"/>
      <w:lvlText w:val="o"/>
      <w:lvlJc w:val="left"/>
      <w:pPr>
        <w:ind w:left="4320" w:hanging="360"/>
      </w:pPr>
      <w:rPr>
        <w:rFonts w:ascii="Courier New" w:hAnsi="Courier New" w:cs="Courier New" w:hint="default"/>
      </w:rPr>
    </w:lvl>
    <w:lvl w:ilvl="5" w:tplc="040C001B">
      <w:start w:val="1"/>
      <w:numFmt w:val="bullet"/>
      <w:lvlText w:val=""/>
      <w:lvlJc w:val="left"/>
      <w:pPr>
        <w:ind w:left="5040" w:hanging="360"/>
      </w:pPr>
      <w:rPr>
        <w:rFonts w:ascii="Wingdings" w:hAnsi="Wingdings" w:hint="default"/>
      </w:rPr>
    </w:lvl>
    <w:lvl w:ilvl="6" w:tplc="040C000F">
      <w:start w:val="1"/>
      <w:numFmt w:val="bullet"/>
      <w:lvlText w:val=""/>
      <w:lvlJc w:val="left"/>
      <w:pPr>
        <w:ind w:left="5760" w:hanging="360"/>
      </w:pPr>
      <w:rPr>
        <w:rFonts w:ascii="Symbol" w:hAnsi="Symbol" w:hint="default"/>
      </w:rPr>
    </w:lvl>
    <w:lvl w:ilvl="7" w:tplc="040C0019">
      <w:start w:val="1"/>
      <w:numFmt w:val="bullet"/>
      <w:lvlText w:val="o"/>
      <w:lvlJc w:val="left"/>
      <w:pPr>
        <w:ind w:left="6480" w:hanging="360"/>
      </w:pPr>
      <w:rPr>
        <w:rFonts w:ascii="Courier New" w:hAnsi="Courier New" w:cs="Courier New" w:hint="default"/>
      </w:rPr>
    </w:lvl>
    <w:lvl w:ilvl="8" w:tplc="040C001B">
      <w:start w:val="1"/>
      <w:numFmt w:val="bullet"/>
      <w:lvlText w:val=""/>
      <w:lvlJc w:val="left"/>
      <w:pPr>
        <w:ind w:left="7200" w:hanging="360"/>
      </w:pPr>
      <w:rPr>
        <w:rFonts w:ascii="Wingdings" w:hAnsi="Wingdings" w:hint="default"/>
      </w:rPr>
    </w:lvl>
  </w:abstractNum>
  <w:abstractNum w:abstractNumId="9">
    <w:nsid w:val="16BD75EE"/>
    <w:multiLevelType w:val="hybridMultilevel"/>
    <w:tmpl w:val="8DC8D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18B20BCA"/>
    <w:multiLevelType w:val="hybridMultilevel"/>
    <w:tmpl w:val="084CA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53262E"/>
    <w:multiLevelType w:val="hybridMultilevel"/>
    <w:tmpl w:val="F46C6340"/>
    <w:lvl w:ilvl="0" w:tplc="DB82B6F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A821A4C"/>
    <w:multiLevelType w:val="hybridMultilevel"/>
    <w:tmpl w:val="65168D7E"/>
    <w:lvl w:ilvl="0" w:tplc="F962E28C">
      <w:start w:val="1"/>
      <w:numFmt w:val="decimal"/>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nsid w:val="1B096054"/>
    <w:multiLevelType w:val="hybridMultilevel"/>
    <w:tmpl w:val="A5588C30"/>
    <w:lvl w:ilvl="0" w:tplc="040C001B">
      <w:start w:val="1"/>
      <w:numFmt w:val="lowerRoman"/>
      <w:lvlText w:val="%1."/>
      <w:lvlJc w:val="righ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410E8A"/>
    <w:multiLevelType w:val="hybridMultilevel"/>
    <w:tmpl w:val="F72CDD86"/>
    <w:lvl w:ilvl="0" w:tplc="93D84C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B55B42"/>
    <w:multiLevelType w:val="hybridMultilevel"/>
    <w:tmpl w:val="918408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C428FC"/>
    <w:multiLevelType w:val="hybridMultilevel"/>
    <w:tmpl w:val="18F85EF2"/>
    <w:lvl w:ilvl="0" w:tplc="DB82B6F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91A7676"/>
    <w:multiLevelType w:val="hybridMultilevel"/>
    <w:tmpl w:val="C1CE829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2407C6"/>
    <w:multiLevelType w:val="hybridMultilevel"/>
    <w:tmpl w:val="D1682B0A"/>
    <w:lvl w:ilvl="0" w:tplc="040C0001">
      <w:start w:val="1"/>
      <w:numFmt w:val="bullet"/>
      <w:lvlText w:val=""/>
      <w:lvlJc w:val="left"/>
      <w:pPr>
        <w:ind w:left="1080" w:hanging="360"/>
      </w:pPr>
      <w:rPr>
        <w:rFonts w:ascii="Symbol" w:hAnsi="Symbol" w:hint="default"/>
      </w:rPr>
    </w:lvl>
    <w:lvl w:ilvl="1" w:tplc="040C001B">
      <w:start w:val="1"/>
      <w:numFmt w:val="lowerRoman"/>
      <w:lvlText w:val="%2."/>
      <w:lvlJc w:val="righ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nsid w:val="29F55D1E"/>
    <w:multiLevelType w:val="hybridMultilevel"/>
    <w:tmpl w:val="1BB204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9434AB"/>
    <w:multiLevelType w:val="hybridMultilevel"/>
    <w:tmpl w:val="A246073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A65FD4"/>
    <w:multiLevelType w:val="hybridMultilevel"/>
    <w:tmpl w:val="3CF4B40A"/>
    <w:lvl w:ilvl="0" w:tplc="DB82B6F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321A3E2D"/>
    <w:multiLevelType w:val="hybridMultilevel"/>
    <w:tmpl w:val="EB524B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2896DF5"/>
    <w:multiLevelType w:val="multilevel"/>
    <w:tmpl w:val="A4F01AE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3131121"/>
    <w:multiLevelType w:val="hybridMultilevel"/>
    <w:tmpl w:val="AE5C6B54"/>
    <w:lvl w:ilvl="0" w:tplc="DB82B6F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822405A"/>
    <w:multiLevelType w:val="hybridMultilevel"/>
    <w:tmpl w:val="FB7C7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87E67BE"/>
    <w:multiLevelType w:val="hybridMultilevel"/>
    <w:tmpl w:val="7B46BCE0"/>
    <w:lvl w:ilvl="0" w:tplc="0BBC68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38ED1A27"/>
    <w:multiLevelType w:val="hybridMultilevel"/>
    <w:tmpl w:val="EE56E86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38FD1294"/>
    <w:multiLevelType w:val="hybridMultilevel"/>
    <w:tmpl w:val="FD58E214"/>
    <w:lvl w:ilvl="0" w:tplc="0BBC6894">
      <w:start w:val="1"/>
      <w:numFmt w:val="decimal"/>
      <w:lvlText w:val="%1."/>
      <w:lvlJc w:val="left"/>
      <w:pPr>
        <w:ind w:left="720" w:hanging="360"/>
      </w:pPr>
      <w:rPr>
        <w:rFonts w:hint="default"/>
      </w:rPr>
    </w:lvl>
    <w:lvl w:ilvl="1" w:tplc="BAB40620">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3B7E10D1"/>
    <w:multiLevelType w:val="hybridMultilevel"/>
    <w:tmpl w:val="9332678C"/>
    <w:lvl w:ilvl="0" w:tplc="675E0D3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3DD30242"/>
    <w:multiLevelType w:val="hybridMultilevel"/>
    <w:tmpl w:val="C6F65962"/>
    <w:lvl w:ilvl="0" w:tplc="0409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1">
    <w:nsid w:val="3F014866"/>
    <w:multiLevelType w:val="hybridMultilevel"/>
    <w:tmpl w:val="69C64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2B85C39"/>
    <w:multiLevelType w:val="hybridMultilevel"/>
    <w:tmpl w:val="621C20B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5BE454C"/>
    <w:multiLevelType w:val="hybridMultilevel"/>
    <w:tmpl w:val="6380AF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B4D1A6E"/>
    <w:multiLevelType w:val="hybridMultilevel"/>
    <w:tmpl w:val="2FF4155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134078B"/>
    <w:multiLevelType w:val="hybridMultilevel"/>
    <w:tmpl w:val="2DA0A07A"/>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EC4A75"/>
    <w:multiLevelType w:val="hybridMultilevel"/>
    <w:tmpl w:val="AAEA45A2"/>
    <w:lvl w:ilvl="0" w:tplc="D7AED4FE">
      <w:start w:val="1"/>
      <w:numFmt w:val="upperLetter"/>
      <w:pStyle w:val="Heading8"/>
      <w:lvlText w:val="%1."/>
      <w:lvlJc w:val="left"/>
      <w:pPr>
        <w:ind w:left="720" w:hanging="360"/>
      </w:pPr>
      <w:rPr>
        <w:rFonts w:ascii="Times New Roman Bold" w:hAnsi="Times New Roman Bold"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8446E1F"/>
    <w:multiLevelType w:val="hybridMultilevel"/>
    <w:tmpl w:val="65168D7E"/>
    <w:lvl w:ilvl="0" w:tplc="F962E28C">
      <w:start w:val="1"/>
      <w:numFmt w:val="decimal"/>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8">
    <w:nsid w:val="60EC124D"/>
    <w:multiLevelType w:val="hybridMultilevel"/>
    <w:tmpl w:val="AF782C5A"/>
    <w:lvl w:ilvl="0" w:tplc="040C000F">
      <w:start w:val="1"/>
      <w:numFmt w:val="decimal"/>
      <w:lvlText w:val="%1."/>
      <w:lvlJc w:val="left"/>
      <w:pPr>
        <w:ind w:left="1080" w:hanging="360"/>
      </w:pPr>
      <w:rPr>
        <w:rFonts w:hint="default"/>
      </w:rPr>
    </w:lvl>
    <w:lvl w:ilvl="1" w:tplc="DB82B6F6">
      <w:numFmt w:val="bullet"/>
      <w:lvlText w:val="-"/>
      <w:lvlJc w:val="left"/>
      <w:pPr>
        <w:ind w:left="1800" w:hanging="360"/>
      </w:pPr>
      <w:rPr>
        <w:rFonts w:ascii="Times New Roman" w:eastAsia="Times New Roman" w:hAnsi="Times New Roman" w:cs="Times New Roman" w:hint="default"/>
      </w:rPr>
    </w:lvl>
    <w:lvl w:ilvl="2" w:tplc="86AE63A0">
      <w:start w:val="1"/>
      <w:numFmt w:val="decimal"/>
      <w:lvlText w:val="(%3)"/>
      <w:lvlJc w:val="left"/>
      <w:pPr>
        <w:ind w:left="3045" w:hanging="705"/>
      </w:pPr>
      <w:rPr>
        <w:rFonts w:hint="default"/>
      </w:r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9">
    <w:nsid w:val="61D152C1"/>
    <w:multiLevelType w:val="hybridMultilevel"/>
    <w:tmpl w:val="0EEAAA34"/>
    <w:lvl w:ilvl="0" w:tplc="DB82B6F6">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0">
    <w:nsid w:val="62B15FE2"/>
    <w:multiLevelType w:val="hybridMultilevel"/>
    <w:tmpl w:val="65200CA0"/>
    <w:lvl w:ilvl="0" w:tplc="9C0C1AB8">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1">
    <w:nsid w:val="64A12FA4"/>
    <w:multiLevelType w:val="multilevel"/>
    <w:tmpl w:val="DC403DAE"/>
    <w:name w:val="Heading"/>
    <w:lvl w:ilvl="0">
      <w:start w:val="1"/>
      <w:numFmt w:val="decimal"/>
      <w:lvlText w:val="%1."/>
      <w:lvlJc w:val="left"/>
      <w:pPr>
        <w:ind w:left="360" w:hanging="360"/>
      </w:pPr>
      <w:rPr>
        <w:rFonts w:ascii="Times New Roman Bold" w:hAnsi="Times New Roman Bold" w:hint="default"/>
        <w:b/>
        <w:i w:val="0"/>
        <w:sz w:val="24"/>
      </w:rPr>
    </w:lvl>
    <w:lvl w:ilvl="1">
      <w:start w:val="1"/>
      <w:numFmt w:val="decimal"/>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65286E40"/>
    <w:multiLevelType w:val="hybridMultilevel"/>
    <w:tmpl w:val="A508957C"/>
    <w:lvl w:ilvl="0" w:tplc="DB82B6F6">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nsid w:val="663F442A"/>
    <w:multiLevelType w:val="hybridMultilevel"/>
    <w:tmpl w:val="A2F639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9E4202D"/>
    <w:multiLevelType w:val="hybridMultilevel"/>
    <w:tmpl w:val="7D0EF7CE"/>
    <w:lvl w:ilvl="0" w:tplc="72BAA990">
      <w:start w:val="5"/>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5">
    <w:nsid w:val="6C23439C"/>
    <w:multiLevelType w:val="hybridMultilevel"/>
    <w:tmpl w:val="E108B5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DBA499F"/>
    <w:multiLevelType w:val="hybridMultilevel"/>
    <w:tmpl w:val="438CB8C0"/>
    <w:lvl w:ilvl="0" w:tplc="DB82B6F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nsid w:val="6DD13B22"/>
    <w:multiLevelType w:val="hybridMultilevel"/>
    <w:tmpl w:val="80CEE502"/>
    <w:lvl w:ilvl="0" w:tplc="04090011">
      <w:start w:val="1"/>
      <w:numFmt w:val="decimal"/>
      <w:lvlText w:val="%1)"/>
      <w:lvlJc w:val="left"/>
      <w:pPr>
        <w:ind w:left="720" w:hanging="360"/>
      </w:pPr>
    </w:lvl>
    <w:lvl w:ilvl="1" w:tplc="040C0019">
      <w:start w:val="1"/>
      <w:numFmt w:val="lowerLetter"/>
      <w:lvlText w:val="%2."/>
      <w:lvlJc w:val="left"/>
      <w:pPr>
        <w:ind w:left="1440" w:hanging="360"/>
      </w:pPr>
    </w:lvl>
    <w:lvl w:ilvl="2" w:tplc="040C000F">
      <w:start w:val="1"/>
      <w:numFmt w:val="decimal"/>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nsid w:val="720E4EFC"/>
    <w:multiLevelType w:val="hybridMultilevel"/>
    <w:tmpl w:val="B0B81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468133F"/>
    <w:multiLevelType w:val="hybridMultilevel"/>
    <w:tmpl w:val="317E1B4C"/>
    <w:lvl w:ilvl="0" w:tplc="0C184FA6">
      <w:start w:val="1"/>
      <w:numFmt w:val="decimal"/>
      <w:lvlText w:val="%1."/>
      <w:lvlJc w:val="left"/>
      <w:pPr>
        <w:ind w:left="720" w:hanging="360"/>
      </w:pPr>
      <w:rPr>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0">
    <w:nsid w:val="761A19CB"/>
    <w:multiLevelType w:val="hybridMultilevel"/>
    <w:tmpl w:val="73203548"/>
    <w:lvl w:ilvl="0" w:tplc="040E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76C2FE4"/>
    <w:multiLevelType w:val="hybridMultilevel"/>
    <w:tmpl w:val="E84414E4"/>
    <w:lvl w:ilvl="0" w:tplc="040E0005">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2">
    <w:nsid w:val="7E530771"/>
    <w:multiLevelType w:val="hybridMultilevel"/>
    <w:tmpl w:val="424A8A3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F3D1923"/>
    <w:multiLevelType w:val="hybridMultilevel"/>
    <w:tmpl w:val="2E20D09A"/>
    <w:lvl w:ilvl="0" w:tplc="A48AB31A">
      <w:start w:val="1"/>
      <w:numFmt w:val="decimal"/>
      <w:lvlText w:val="%1."/>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41"/>
  </w:num>
  <w:num w:numId="2">
    <w:abstractNumId w:val="8"/>
  </w:num>
  <w:num w:numId="3">
    <w:abstractNumId w:val="1"/>
  </w:num>
  <w:num w:numId="4">
    <w:abstractNumId w:val="9"/>
  </w:num>
  <w:num w:numId="5">
    <w:abstractNumId w:val="30"/>
  </w:num>
  <w:num w:numId="6">
    <w:abstractNumId w:val="49"/>
  </w:num>
  <w:num w:numId="7">
    <w:abstractNumId w:val="7"/>
  </w:num>
  <w:num w:numId="8">
    <w:abstractNumId w:val="23"/>
  </w:num>
  <w:num w:numId="9">
    <w:abstractNumId w:val="36"/>
  </w:num>
  <w:num w:numId="10">
    <w:abstractNumId w:val="36"/>
    <w:lvlOverride w:ilvl="0">
      <w:startOverride w:val="1"/>
    </w:lvlOverride>
  </w:num>
  <w:num w:numId="11">
    <w:abstractNumId w:val="53"/>
  </w:num>
  <w:num w:numId="12">
    <w:abstractNumId w:val="37"/>
  </w:num>
  <w:num w:numId="13">
    <w:abstractNumId w:val="26"/>
  </w:num>
  <w:num w:numId="14">
    <w:abstractNumId w:val="40"/>
  </w:num>
  <w:num w:numId="15">
    <w:abstractNumId w:val="12"/>
  </w:num>
  <w:num w:numId="16">
    <w:abstractNumId w:val="28"/>
  </w:num>
  <w:num w:numId="17">
    <w:abstractNumId w:val="4"/>
  </w:num>
  <w:num w:numId="18">
    <w:abstractNumId w:val="3"/>
  </w:num>
  <w:num w:numId="19">
    <w:abstractNumId w:val="42"/>
  </w:num>
  <w:num w:numId="20">
    <w:abstractNumId w:val="39"/>
  </w:num>
  <w:num w:numId="21">
    <w:abstractNumId w:val="24"/>
  </w:num>
  <w:num w:numId="22">
    <w:abstractNumId w:val="21"/>
  </w:num>
  <w:num w:numId="23">
    <w:abstractNumId w:val="29"/>
  </w:num>
  <w:num w:numId="24">
    <w:abstractNumId w:val="46"/>
  </w:num>
  <w:num w:numId="25">
    <w:abstractNumId w:val="16"/>
  </w:num>
  <w:num w:numId="26">
    <w:abstractNumId w:val="11"/>
  </w:num>
  <w:num w:numId="27">
    <w:abstractNumId w:val="51"/>
  </w:num>
  <w:num w:numId="28">
    <w:abstractNumId w:val="44"/>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48"/>
  </w:num>
  <w:num w:numId="34">
    <w:abstractNumId w:val="45"/>
  </w:num>
  <w:num w:numId="35">
    <w:abstractNumId w:val="31"/>
  </w:num>
  <w:num w:numId="36">
    <w:abstractNumId w:val="10"/>
  </w:num>
  <w:num w:numId="37">
    <w:abstractNumId w:val="14"/>
  </w:num>
  <w:num w:numId="38">
    <w:abstractNumId w:val="43"/>
  </w:num>
  <w:num w:numId="39">
    <w:abstractNumId w:val="27"/>
  </w:num>
  <w:num w:numId="40">
    <w:abstractNumId w:val="35"/>
  </w:num>
  <w:num w:numId="41">
    <w:abstractNumId w:val="6"/>
  </w:num>
  <w:num w:numId="42">
    <w:abstractNumId w:val="0"/>
  </w:num>
  <w:num w:numId="43">
    <w:abstractNumId w:val="32"/>
  </w:num>
  <w:num w:numId="44">
    <w:abstractNumId w:val="15"/>
  </w:num>
  <w:num w:numId="45">
    <w:abstractNumId w:val="52"/>
  </w:num>
  <w:num w:numId="46">
    <w:abstractNumId w:val="17"/>
  </w:num>
  <w:num w:numId="47">
    <w:abstractNumId w:val="20"/>
  </w:num>
  <w:num w:numId="48">
    <w:abstractNumId w:val="33"/>
  </w:num>
  <w:num w:numId="49">
    <w:abstractNumId w:val="50"/>
  </w:num>
  <w:num w:numId="50">
    <w:abstractNumId w:val="5"/>
  </w:num>
  <w:num w:numId="51">
    <w:abstractNumId w:val="34"/>
  </w:num>
  <w:num w:numId="52">
    <w:abstractNumId w:val="47"/>
  </w:num>
  <w:num w:numId="53">
    <w:abstractNumId w:val="22"/>
  </w:num>
  <w:num w:numId="54">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DA0"/>
    <w:rsid w:val="00000E68"/>
    <w:rsid w:val="00003F63"/>
    <w:rsid w:val="00003FEA"/>
    <w:rsid w:val="0000697D"/>
    <w:rsid w:val="00006EB2"/>
    <w:rsid w:val="00006F2F"/>
    <w:rsid w:val="00007F27"/>
    <w:rsid w:val="00010086"/>
    <w:rsid w:val="00013635"/>
    <w:rsid w:val="00015860"/>
    <w:rsid w:val="00015EBA"/>
    <w:rsid w:val="00016189"/>
    <w:rsid w:val="00016B93"/>
    <w:rsid w:val="00017CA1"/>
    <w:rsid w:val="00021FDA"/>
    <w:rsid w:val="00022442"/>
    <w:rsid w:val="00023014"/>
    <w:rsid w:val="00025C68"/>
    <w:rsid w:val="000300E9"/>
    <w:rsid w:val="00030F13"/>
    <w:rsid w:val="00036096"/>
    <w:rsid w:val="00043F24"/>
    <w:rsid w:val="0004545F"/>
    <w:rsid w:val="000503AF"/>
    <w:rsid w:val="0005194E"/>
    <w:rsid w:val="000519FF"/>
    <w:rsid w:val="00051D86"/>
    <w:rsid w:val="00054CDB"/>
    <w:rsid w:val="000559DC"/>
    <w:rsid w:val="00056E9B"/>
    <w:rsid w:val="00057C6A"/>
    <w:rsid w:val="00061B79"/>
    <w:rsid w:val="00062FB5"/>
    <w:rsid w:val="00065439"/>
    <w:rsid w:val="000670EA"/>
    <w:rsid w:val="00070C93"/>
    <w:rsid w:val="00070F17"/>
    <w:rsid w:val="00071701"/>
    <w:rsid w:val="00071FBB"/>
    <w:rsid w:val="000733B4"/>
    <w:rsid w:val="00073A4B"/>
    <w:rsid w:val="0007489B"/>
    <w:rsid w:val="0007782F"/>
    <w:rsid w:val="000820C4"/>
    <w:rsid w:val="00082FEE"/>
    <w:rsid w:val="000841AE"/>
    <w:rsid w:val="00085F0D"/>
    <w:rsid w:val="000868B1"/>
    <w:rsid w:val="000872C6"/>
    <w:rsid w:val="0008784B"/>
    <w:rsid w:val="00090146"/>
    <w:rsid w:val="00090BB3"/>
    <w:rsid w:val="000A185E"/>
    <w:rsid w:val="000A2776"/>
    <w:rsid w:val="000A456B"/>
    <w:rsid w:val="000A547A"/>
    <w:rsid w:val="000A597F"/>
    <w:rsid w:val="000A5CC1"/>
    <w:rsid w:val="000A7D0A"/>
    <w:rsid w:val="000B23C5"/>
    <w:rsid w:val="000B23DA"/>
    <w:rsid w:val="000B2D52"/>
    <w:rsid w:val="000B40EF"/>
    <w:rsid w:val="000B4B97"/>
    <w:rsid w:val="000B7282"/>
    <w:rsid w:val="000B7677"/>
    <w:rsid w:val="000C12A3"/>
    <w:rsid w:val="000C1EC3"/>
    <w:rsid w:val="000C3170"/>
    <w:rsid w:val="000C3A41"/>
    <w:rsid w:val="000D441B"/>
    <w:rsid w:val="000D4AD6"/>
    <w:rsid w:val="000D7F71"/>
    <w:rsid w:val="000E1F18"/>
    <w:rsid w:val="000E2C8E"/>
    <w:rsid w:val="000E376E"/>
    <w:rsid w:val="000F0078"/>
    <w:rsid w:val="000F34BA"/>
    <w:rsid w:val="000F4EC5"/>
    <w:rsid w:val="000F64DC"/>
    <w:rsid w:val="000F73FC"/>
    <w:rsid w:val="00102C2F"/>
    <w:rsid w:val="00103C82"/>
    <w:rsid w:val="00104BF4"/>
    <w:rsid w:val="00105AC3"/>
    <w:rsid w:val="00105DEE"/>
    <w:rsid w:val="00107505"/>
    <w:rsid w:val="001116B4"/>
    <w:rsid w:val="001118A2"/>
    <w:rsid w:val="00115274"/>
    <w:rsid w:val="00115367"/>
    <w:rsid w:val="00116051"/>
    <w:rsid w:val="00116222"/>
    <w:rsid w:val="00116A11"/>
    <w:rsid w:val="00120DCC"/>
    <w:rsid w:val="00121EA6"/>
    <w:rsid w:val="001238A4"/>
    <w:rsid w:val="00124CCC"/>
    <w:rsid w:val="0012569B"/>
    <w:rsid w:val="00126DB7"/>
    <w:rsid w:val="001301BA"/>
    <w:rsid w:val="00130C06"/>
    <w:rsid w:val="001310E0"/>
    <w:rsid w:val="001327F3"/>
    <w:rsid w:val="00132F83"/>
    <w:rsid w:val="001331F5"/>
    <w:rsid w:val="0013426E"/>
    <w:rsid w:val="00134354"/>
    <w:rsid w:val="00134639"/>
    <w:rsid w:val="00135B6B"/>
    <w:rsid w:val="00136348"/>
    <w:rsid w:val="001369B8"/>
    <w:rsid w:val="001371FD"/>
    <w:rsid w:val="0013739E"/>
    <w:rsid w:val="00137853"/>
    <w:rsid w:val="00137C92"/>
    <w:rsid w:val="001436FD"/>
    <w:rsid w:val="0014453D"/>
    <w:rsid w:val="00144DA0"/>
    <w:rsid w:val="0014582F"/>
    <w:rsid w:val="0014794C"/>
    <w:rsid w:val="001527D8"/>
    <w:rsid w:val="00154138"/>
    <w:rsid w:val="00154396"/>
    <w:rsid w:val="00154536"/>
    <w:rsid w:val="0015611C"/>
    <w:rsid w:val="001576F7"/>
    <w:rsid w:val="00157C1B"/>
    <w:rsid w:val="0016024C"/>
    <w:rsid w:val="001606F1"/>
    <w:rsid w:val="001625C8"/>
    <w:rsid w:val="00162E8E"/>
    <w:rsid w:val="00164624"/>
    <w:rsid w:val="00164C58"/>
    <w:rsid w:val="001652A7"/>
    <w:rsid w:val="00165BC3"/>
    <w:rsid w:val="00167279"/>
    <w:rsid w:val="00172547"/>
    <w:rsid w:val="001745C7"/>
    <w:rsid w:val="00176887"/>
    <w:rsid w:val="00180F46"/>
    <w:rsid w:val="00181378"/>
    <w:rsid w:val="00181EB6"/>
    <w:rsid w:val="00185B35"/>
    <w:rsid w:val="00185FDA"/>
    <w:rsid w:val="00190704"/>
    <w:rsid w:val="00190976"/>
    <w:rsid w:val="001915D4"/>
    <w:rsid w:val="00195BDF"/>
    <w:rsid w:val="00195FC8"/>
    <w:rsid w:val="001977FF"/>
    <w:rsid w:val="001A309A"/>
    <w:rsid w:val="001A332F"/>
    <w:rsid w:val="001A3601"/>
    <w:rsid w:val="001B1115"/>
    <w:rsid w:val="001B1D68"/>
    <w:rsid w:val="001B34A0"/>
    <w:rsid w:val="001B5C37"/>
    <w:rsid w:val="001B679A"/>
    <w:rsid w:val="001B69E7"/>
    <w:rsid w:val="001C08F8"/>
    <w:rsid w:val="001C0D4D"/>
    <w:rsid w:val="001C2550"/>
    <w:rsid w:val="001C5C72"/>
    <w:rsid w:val="001C63BB"/>
    <w:rsid w:val="001C6443"/>
    <w:rsid w:val="001D0540"/>
    <w:rsid w:val="001D0E6C"/>
    <w:rsid w:val="001D356B"/>
    <w:rsid w:val="001D514C"/>
    <w:rsid w:val="001D7DEC"/>
    <w:rsid w:val="001D7F3F"/>
    <w:rsid w:val="001E0EE1"/>
    <w:rsid w:val="001E151C"/>
    <w:rsid w:val="001E154E"/>
    <w:rsid w:val="001E2857"/>
    <w:rsid w:val="001E3F3F"/>
    <w:rsid w:val="001E45FA"/>
    <w:rsid w:val="001E4C90"/>
    <w:rsid w:val="001E52E7"/>
    <w:rsid w:val="001E6467"/>
    <w:rsid w:val="001E6A87"/>
    <w:rsid w:val="001E7708"/>
    <w:rsid w:val="001F30CC"/>
    <w:rsid w:val="001F31E1"/>
    <w:rsid w:val="001F34A4"/>
    <w:rsid w:val="001F49CF"/>
    <w:rsid w:val="001F4D9D"/>
    <w:rsid w:val="001F5A56"/>
    <w:rsid w:val="001F62B7"/>
    <w:rsid w:val="001F67B9"/>
    <w:rsid w:val="001F783B"/>
    <w:rsid w:val="001F78C7"/>
    <w:rsid w:val="00201F53"/>
    <w:rsid w:val="00203DBA"/>
    <w:rsid w:val="00206992"/>
    <w:rsid w:val="00206EB7"/>
    <w:rsid w:val="00207A26"/>
    <w:rsid w:val="00210B75"/>
    <w:rsid w:val="0021179A"/>
    <w:rsid w:val="0021576C"/>
    <w:rsid w:val="00215AF6"/>
    <w:rsid w:val="00215DFC"/>
    <w:rsid w:val="002176E9"/>
    <w:rsid w:val="002202A1"/>
    <w:rsid w:val="002215FE"/>
    <w:rsid w:val="002239B5"/>
    <w:rsid w:val="0022587E"/>
    <w:rsid w:val="0023146F"/>
    <w:rsid w:val="002317C9"/>
    <w:rsid w:val="002345E2"/>
    <w:rsid w:val="002361A8"/>
    <w:rsid w:val="002400D1"/>
    <w:rsid w:val="00240A4D"/>
    <w:rsid w:val="002419FC"/>
    <w:rsid w:val="00241D82"/>
    <w:rsid w:val="002447D4"/>
    <w:rsid w:val="002454C0"/>
    <w:rsid w:val="00246CEC"/>
    <w:rsid w:val="002472FB"/>
    <w:rsid w:val="00247DF9"/>
    <w:rsid w:val="00250193"/>
    <w:rsid w:val="002522A5"/>
    <w:rsid w:val="002534C5"/>
    <w:rsid w:val="00253D51"/>
    <w:rsid w:val="002540D9"/>
    <w:rsid w:val="002564E4"/>
    <w:rsid w:val="00260A6D"/>
    <w:rsid w:val="002615CD"/>
    <w:rsid w:val="00262E50"/>
    <w:rsid w:val="00264BF6"/>
    <w:rsid w:val="00264DE8"/>
    <w:rsid w:val="002665A8"/>
    <w:rsid w:val="002676B9"/>
    <w:rsid w:val="002704E7"/>
    <w:rsid w:val="00270C38"/>
    <w:rsid w:val="00271A1D"/>
    <w:rsid w:val="0027217B"/>
    <w:rsid w:val="002734B6"/>
    <w:rsid w:val="00273FEA"/>
    <w:rsid w:val="00276191"/>
    <w:rsid w:val="00276698"/>
    <w:rsid w:val="002843AD"/>
    <w:rsid w:val="002879C2"/>
    <w:rsid w:val="00290917"/>
    <w:rsid w:val="0029206C"/>
    <w:rsid w:val="0029335B"/>
    <w:rsid w:val="00294D0F"/>
    <w:rsid w:val="00294E68"/>
    <w:rsid w:val="002962C5"/>
    <w:rsid w:val="00296FF9"/>
    <w:rsid w:val="002A230E"/>
    <w:rsid w:val="002A4B97"/>
    <w:rsid w:val="002A581F"/>
    <w:rsid w:val="002A62E6"/>
    <w:rsid w:val="002B28B8"/>
    <w:rsid w:val="002B434B"/>
    <w:rsid w:val="002B6BB0"/>
    <w:rsid w:val="002C4BAB"/>
    <w:rsid w:val="002D027A"/>
    <w:rsid w:val="002D0D94"/>
    <w:rsid w:val="002D113F"/>
    <w:rsid w:val="002D314B"/>
    <w:rsid w:val="002D37F5"/>
    <w:rsid w:val="002D409B"/>
    <w:rsid w:val="002D43AB"/>
    <w:rsid w:val="002D54B0"/>
    <w:rsid w:val="002E1C90"/>
    <w:rsid w:val="002E1F5B"/>
    <w:rsid w:val="002E4375"/>
    <w:rsid w:val="002E5284"/>
    <w:rsid w:val="002E6288"/>
    <w:rsid w:val="002E66A0"/>
    <w:rsid w:val="002E752E"/>
    <w:rsid w:val="002F1A85"/>
    <w:rsid w:val="002F1C01"/>
    <w:rsid w:val="002F24E8"/>
    <w:rsid w:val="002F3BB4"/>
    <w:rsid w:val="002F3F9B"/>
    <w:rsid w:val="002F418E"/>
    <w:rsid w:val="002F5E5B"/>
    <w:rsid w:val="002F5E81"/>
    <w:rsid w:val="0030358B"/>
    <w:rsid w:val="00304C3C"/>
    <w:rsid w:val="00306D26"/>
    <w:rsid w:val="00310A8C"/>
    <w:rsid w:val="00310D7D"/>
    <w:rsid w:val="00311248"/>
    <w:rsid w:val="003136B6"/>
    <w:rsid w:val="0031577F"/>
    <w:rsid w:val="00316480"/>
    <w:rsid w:val="00316548"/>
    <w:rsid w:val="00317847"/>
    <w:rsid w:val="0031797F"/>
    <w:rsid w:val="0032012C"/>
    <w:rsid w:val="0032059F"/>
    <w:rsid w:val="003212C3"/>
    <w:rsid w:val="00321B0F"/>
    <w:rsid w:val="003229F0"/>
    <w:rsid w:val="003255C8"/>
    <w:rsid w:val="00326597"/>
    <w:rsid w:val="00330734"/>
    <w:rsid w:val="003307DE"/>
    <w:rsid w:val="0033269F"/>
    <w:rsid w:val="0033332C"/>
    <w:rsid w:val="00335316"/>
    <w:rsid w:val="00335821"/>
    <w:rsid w:val="0034237E"/>
    <w:rsid w:val="00343B35"/>
    <w:rsid w:val="0034420A"/>
    <w:rsid w:val="00344CD6"/>
    <w:rsid w:val="00345161"/>
    <w:rsid w:val="00352DFC"/>
    <w:rsid w:val="00354609"/>
    <w:rsid w:val="00355C57"/>
    <w:rsid w:val="00355ECB"/>
    <w:rsid w:val="00356905"/>
    <w:rsid w:val="00356CBE"/>
    <w:rsid w:val="0035706C"/>
    <w:rsid w:val="00357B78"/>
    <w:rsid w:val="00360522"/>
    <w:rsid w:val="00361145"/>
    <w:rsid w:val="003612AC"/>
    <w:rsid w:val="0036173D"/>
    <w:rsid w:val="003627E5"/>
    <w:rsid w:val="003663C2"/>
    <w:rsid w:val="00370041"/>
    <w:rsid w:val="00372629"/>
    <w:rsid w:val="00372ADB"/>
    <w:rsid w:val="00372C56"/>
    <w:rsid w:val="00374A8A"/>
    <w:rsid w:val="00376C40"/>
    <w:rsid w:val="00376D82"/>
    <w:rsid w:val="00387725"/>
    <w:rsid w:val="0039320D"/>
    <w:rsid w:val="00393422"/>
    <w:rsid w:val="00394138"/>
    <w:rsid w:val="00394273"/>
    <w:rsid w:val="00395121"/>
    <w:rsid w:val="00396473"/>
    <w:rsid w:val="00396528"/>
    <w:rsid w:val="003975D5"/>
    <w:rsid w:val="003A1605"/>
    <w:rsid w:val="003A22FB"/>
    <w:rsid w:val="003A2E88"/>
    <w:rsid w:val="003A3150"/>
    <w:rsid w:val="003A58BC"/>
    <w:rsid w:val="003A625F"/>
    <w:rsid w:val="003A7716"/>
    <w:rsid w:val="003B15EF"/>
    <w:rsid w:val="003B17E9"/>
    <w:rsid w:val="003B2DD2"/>
    <w:rsid w:val="003B2DEB"/>
    <w:rsid w:val="003B6552"/>
    <w:rsid w:val="003B663E"/>
    <w:rsid w:val="003B7AD3"/>
    <w:rsid w:val="003C0D21"/>
    <w:rsid w:val="003C1A83"/>
    <w:rsid w:val="003C2789"/>
    <w:rsid w:val="003C2849"/>
    <w:rsid w:val="003C51DC"/>
    <w:rsid w:val="003C550F"/>
    <w:rsid w:val="003C585C"/>
    <w:rsid w:val="003C6F03"/>
    <w:rsid w:val="003D125F"/>
    <w:rsid w:val="003D2058"/>
    <w:rsid w:val="003D3833"/>
    <w:rsid w:val="003D3F7E"/>
    <w:rsid w:val="003D4249"/>
    <w:rsid w:val="003D63C6"/>
    <w:rsid w:val="003D6CDD"/>
    <w:rsid w:val="003E1D4F"/>
    <w:rsid w:val="003E3819"/>
    <w:rsid w:val="003E5B71"/>
    <w:rsid w:val="003E68C7"/>
    <w:rsid w:val="003E79CC"/>
    <w:rsid w:val="003F02B9"/>
    <w:rsid w:val="003F0D92"/>
    <w:rsid w:val="003F0DBA"/>
    <w:rsid w:val="003F3215"/>
    <w:rsid w:val="003F4573"/>
    <w:rsid w:val="00403183"/>
    <w:rsid w:val="00403214"/>
    <w:rsid w:val="00403658"/>
    <w:rsid w:val="0040744B"/>
    <w:rsid w:val="00407BA1"/>
    <w:rsid w:val="00410831"/>
    <w:rsid w:val="00411FCE"/>
    <w:rsid w:val="00413A66"/>
    <w:rsid w:val="004143F0"/>
    <w:rsid w:val="004147D6"/>
    <w:rsid w:val="00415B6F"/>
    <w:rsid w:val="00420309"/>
    <w:rsid w:val="00421A53"/>
    <w:rsid w:val="00423591"/>
    <w:rsid w:val="0042430B"/>
    <w:rsid w:val="00426D85"/>
    <w:rsid w:val="00431369"/>
    <w:rsid w:val="00431A35"/>
    <w:rsid w:val="004346BE"/>
    <w:rsid w:val="004372D2"/>
    <w:rsid w:val="004407F5"/>
    <w:rsid w:val="00440990"/>
    <w:rsid w:val="0044269C"/>
    <w:rsid w:val="00445CB4"/>
    <w:rsid w:val="00454224"/>
    <w:rsid w:val="004611F4"/>
    <w:rsid w:val="0046653D"/>
    <w:rsid w:val="0046672E"/>
    <w:rsid w:val="00467C3C"/>
    <w:rsid w:val="00467E0E"/>
    <w:rsid w:val="00470CA7"/>
    <w:rsid w:val="004710AA"/>
    <w:rsid w:val="00472235"/>
    <w:rsid w:val="00477C0B"/>
    <w:rsid w:val="00480ACA"/>
    <w:rsid w:val="00480E0F"/>
    <w:rsid w:val="00481B9A"/>
    <w:rsid w:val="00482B6B"/>
    <w:rsid w:val="00482FDB"/>
    <w:rsid w:val="00483330"/>
    <w:rsid w:val="004838B3"/>
    <w:rsid w:val="00483AF4"/>
    <w:rsid w:val="00484E2A"/>
    <w:rsid w:val="004852B2"/>
    <w:rsid w:val="004859D2"/>
    <w:rsid w:val="00486095"/>
    <w:rsid w:val="004911A4"/>
    <w:rsid w:val="00491B6C"/>
    <w:rsid w:val="00492A1F"/>
    <w:rsid w:val="00492E45"/>
    <w:rsid w:val="00493D30"/>
    <w:rsid w:val="004958BE"/>
    <w:rsid w:val="004963A2"/>
    <w:rsid w:val="00496D09"/>
    <w:rsid w:val="004A4461"/>
    <w:rsid w:val="004A5D3A"/>
    <w:rsid w:val="004A7441"/>
    <w:rsid w:val="004B48B1"/>
    <w:rsid w:val="004B5556"/>
    <w:rsid w:val="004B6D95"/>
    <w:rsid w:val="004B7DC1"/>
    <w:rsid w:val="004B7E37"/>
    <w:rsid w:val="004C083D"/>
    <w:rsid w:val="004C243C"/>
    <w:rsid w:val="004C4068"/>
    <w:rsid w:val="004C59A8"/>
    <w:rsid w:val="004C62DB"/>
    <w:rsid w:val="004C762C"/>
    <w:rsid w:val="004D001A"/>
    <w:rsid w:val="004D01B6"/>
    <w:rsid w:val="004D08CB"/>
    <w:rsid w:val="004D2B0C"/>
    <w:rsid w:val="004D55D8"/>
    <w:rsid w:val="004D5CFB"/>
    <w:rsid w:val="004D6AB4"/>
    <w:rsid w:val="004E1516"/>
    <w:rsid w:val="004E1564"/>
    <w:rsid w:val="004E21D0"/>
    <w:rsid w:val="004E389F"/>
    <w:rsid w:val="004E79F4"/>
    <w:rsid w:val="004F0E88"/>
    <w:rsid w:val="004F14B2"/>
    <w:rsid w:val="004F285F"/>
    <w:rsid w:val="004F63BF"/>
    <w:rsid w:val="004F746D"/>
    <w:rsid w:val="004F75D4"/>
    <w:rsid w:val="004F7D06"/>
    <w:rsid w:val="004F7E62"/>
    <w:rsid w:val="00501588"/>
    <w:rsid w:val="005021AC"/>
    <w:rsid w:val="00502632"/>
    <w:rsid w:val="00502C9B"/>
    <w:rsid w:val="00505957"/>
    <w:rsid w:val="005060C8"/>
    <w:rsid w:val="00506776"/>
    <w:rsid w:val="00506A9A"/>
    <w:rsid w:val="005129D0"/>
    <w:rsid w:val="00512DDD"/>
    <w:rsid w:val="005149FE"/>
    <w:rsid w:val="00514AF7"/>
    <w:rsid w:val="00517115"/>
    <w:rsid w:val="0052002F"/>
    <w:rsid w:val="00521FAD"/>
    <w:rsid w:val="005221A8"/>
    <w:rsid w:val="00522CB4"/>
    <w:rsid w:val="00522EB4"/>
    <w:rsid w:val="00523803"/>
    <w:rsid w:val="005248F5"/>
    <w:rsid w:val="00532536"/>
    <w:rsid w:val="00533ED2"/>
    <w:rsid w:val="0053435C"/>
    <w:rsid w:val="0053489F"/>
    <w:rsid w:val="00535D0B"/>
    <w:rsid w:val="005362D8"/>
    <w:rsid w:val="005363D5"/>
    <w:rsid w:val="00536D93"/>
    <w:rsid w:val="00540264"/>
    <w:rsid w:val="00540BE1"/>
    <w:rsid w:val="00542763"/>
    <w:rsid w:val="00543367"/>
    <w:rsid w:val="00543BBD"/>
    <w:rsid w:val="00543FEE"/>
    <w:rsid w:val="00544BB3"/>
    <w:rsid w:val="00546CED"/>
    <w:rsid w:val="005518E7"/>
    <w:rsid w:val="00551CFB"/>
    <w:rsid w:val="00552BE0"/>
    <w:rsid w:val="00554132"/>
    <w:rsid w:val="005606A0"/>
    <w:rsid w:val="00562FC1"/>
    <w:rsid w:val="00564503"/>
    <w:rsid w:val="00564920"/>
    <w:rsid w:val="005657EA"/>
    <w:rsid w:val="00565BC9"/>
    <w:rsid w:val="00572CCA"/>
    <w:rsid w:val="00573850"/>
    <w:rsid w:val="005738F7"/>
    <w:rsid w:val="005748AD"/>
    <w:rsid w:val="00580045"/>
    <w:rsid w:val="005803DC"/>
    <w:rsid w:val="00582784"/>
    <w:rsid w:val="00582F27"/>
    <w:rsid w:val="00584F82"/>
    <w:rsid w:val="00585F2A"/>
    <w:rsid w:val="00586456"/>
    <w:rsid w:val="00590847"/>
    <w:rsid w:val="00593289"/>
    <w:rsid w:val="00593C32"/>
    <w:rsid w:val="00596C5E"/>
    <w:rsid w:val="005A2BDB"/>
    <w:rsid w:val="005A5CF6"/>
    <w:rsid w:val="005A6341"/>
    <w:rsid w:val="005B1BCA"/>
    <w:rsid w:val="005B4ECC"/>
    <w:rsid w:val="005B5BA1"/>
    <w:rsid w:val="005B705A"/>
    <w:rsid w:val="005C018B"/>
    <w:rsid w:val="005C4026"/>
    <w:rsid w:val="005C4817"/>
    <w:rsid w:val="005C4857"/>
    <w:rsid w:val="005C4A5B"/>
    <w:rsid w:val="005C4E50"/>
    <w:rsid w:val="005C5FC8"/>
    <w:rsid w:val="005C78D7"/>
    <w:rsid w:val="005D0D08"/>
    <w:rsid w:val="005D1300"/>
    <w:rsid w:val="005D168D"/>
    <w:rsid w:val="005D18DE"/>
    <w:rsid w:val="005D2E83"/>
    <w:rsid w:val="005D4130"/>
    <w:rsid w:val="005E2B44"/>
    <w:rsid w:val="005E336B"/>
    <w:rsid w:val="005E78A9"/>
    <w:rsid w:val="005F21D0"/>
    <w:rsid w:val="005F3ABE"/>
    <w:rsid w:val="005F5983"/>
    <w:rsid w:val="005F6186"/>
    <w:rsid w:val="005F68DD"/>
    <w:rsid w:val="00602DEA"/>
    <w:rsid w:val="00604B3F"/>
    <w:rsid w:val="00605740"/>
    <w:rsid w:val="006062A1"/>
    <w:rsid w:val="00606C94"/>
    <w:rsid w:val="00610053"/>
    <w:rsid w:val="00610469"/>
    <w:rsid w:val="006115B3"/>
    <w:rsid w:val="006121CE"/>
    <w:rsid w:val="00620625"/>
    <w:rsid w:val="0062067A"/>
    <w:rsid w:val="00622828"/>
    <w:rsid w:val="00623214"/>
    <w:rsid w:val="00623695"/>
    <w:rsid w:val="00624D7B"/>
    <w:rsid w:val="00625DAA"/>
    <w:rsid w:val="006273EF"/>
    <w:rsid w:val="006308B9"/>
    <w:rsid w:val="006329C9"/>
    <w:rsid w:val="0063366D"/>
    <w:rsid w:val="00634234"/>
    <w:rsid w:val="00635FBF"/>
    <w:rsid w:val="006366C1"/>
    <w:rsid w:val="00637643"/>
    <w:rsid w:val="00640CB9"/>
    <w:rsid w:val="0064123E"/>
    <w:rsid w:val="00641B5B"/>
    <w:rsid w:val="0064204E"/>
    <w:rsid w:val="0064247B"/>
    <w:rsid w:val="00643344"/>
    <w:rsid w:val="0064374C"/>
    <w:rsid w:val="00644532"/>
    <w:rsid w:val="00647004"/>
    <w:rsid w:val="00650C65"/>
    <w:rsid w:val="006510C2"/>
    <w:rsid w:val="006522AB"/>
    <w:rsid w:val="006530B2"/>
    <w:rsid w:val="0065680B"/>
    <w:rsid w:val="006572FF"/>
    <w:rsid w:val="00657F4C"/>
    <w:rsid w:val="006600EA"/>
    <w:rsid w:val="00661754"/>
    <w:rsid w:val="00663BCB"/>
    <w:rsid w:val="00665287"/>
    <w:rsid w:val="006659B7"/>
    <w:rsid w:val="00665B59"/>
    <w:rsid w:val="006664CA"/>
    <w:rsid w:val="00666C76"/>
    <w:rsid w:val="00666E0D"/>
    <w:rsid w:val="00667E5A"/>
    <w:rsid w:val="0067141C"/>
    <w:rsid w:val="00671D6D"/>
    <w:rsid w:val="00672C04"/>
    <w:rsid w:val="00673565"/>
    <w:rsid w:val="00674E6F"/>
    <w:rsid w:val="0067646F"/>
    <w:rsid w:val="006814CF"/>
    <w:rsid w:val="006817FB"/>
    <w:rsid w:val="0068344D"/>
    <w:rsid w:val="00686539"/>
    <w:rsid w:val="0068707B"/>
    <w:rsid w:val="006902B3"/>
    <w:rsid w:val="0069473D"/>
    <w:rsid w:val="00696CC4"/>
    <w:rsid w:val="006A0A70"/>
    <w:rsid w:val="006A0C19"/>
    <w:rsid w:val="006A1A44"/>
    <w:rsid w:val="006A3D32"/>
    <w:rsid w:val="006A4322"/>
    <w:rsid w:val="006A4AB3"/>
    <w:rsid w:val="006A4B51"/>
    <w:rsid w:val="006A521D"/>
    <w:rsid w:val="006A71EB"/>
    <w:rsid w:val="006B0987"/>
    <w:rsid w:val="006B3FFF"/>
    <w:rsid w:val="006B59D4"/>
    <w:rsid w:val="006B7425"/>
    <w:rsid w:val="006B7F12"/>
    <w:rsid w:val="006C3270"/>
    <w:rsid w:val="006C396F"/>
    <w:rsid w:val="006C6828"/>
    <w:rsid w:val="006D0174"/>
    <w:rsid w:val="006D0559"/>
    <w:rsid w:val="006D0804"/>
    <w:rsid w:val="006D1414"/>
    <w:rsid w:val="006D15EF"/>
    <w:rsid w:val="006D29F8"/>
    <w:rsid w:val="006D2CFE"/>
    <w:rsid w:val="006D2FDF"/>
    <w:rsid w:val="006D5DA0"/>
    <w:rsid w:val="006D7FBC"/>
    <w:rsid w:val="006E0D79"/>
    <w:rsid w:val="006E18D8"/>
    <w:rsid w:val="006E1CDE"/>
    <w:rsid w:val="006E28D3"/>
    <w:rsid w:val="006E49C0"/>
    <w:rsid w:val="006E781B"/>
    <w:rsid w:val="006F062E"/>
    <w:rsid w:val="006F3934"/>
    <w:rsid w:val="006F7519"/>
    <w:rsid w:val="0070028B"/>
    <w:rsid w:val="00701066"/>
    <w:rsid w:val="007041D8"/>
    <w:rsid w:val="0070649D"/>
    <w:rsid w:val="00706632"/>
    <w:rsid w:val="007068F4"/>
    <w:rsid w:val="00707F02"/>
    <w:rsid w:val="00712E1F"/>
    <w:rsid w:val="00713989"/>
    <w:rsid w:val="00714154"/>
    <w:rsid w:val="00714CE2"/>
    <w:rsid w:val="00715E7C"/>
    <w:rsid w:val="00716D24"/>
    <w:rsid w:val="007173F3"/>
    <w:rsid w:val="007200C3"/>
    <w:rsid w:val="00720417"/>
    <w:rsid w:val="007215BF"/>
    <w:rsid w:val="00722E64"/>
    <w:rsid w:val="007251D8"/>
    <w:rsid w:val="00725EE4"/>
    <w:rsid w:val="007275BA"/>
    <w:rsid w:val="00727B4D"/>
    <w:rsid w:val="00730910"/>
    <w:rsid w:val="00733014"/>
    <w:rsid w:val="00736205"/>
    <w:rsid w:val="00736C03"/>
    <w:rsid w:val="00737BD9"/>
    <w:rsid w:val="007409E7"/>
    <w:rsid w:val="00740EB6"/>
    <w:rsid w:val="00744A7D"/>
    <w:rsid w:val="0074582F"/>
    <w:rsid w:val="00746AAF"/>
    <w:rsid w:val="0075082E"/>
    <w:rsid w:val="00750AB8"/>
    <w:rsid w:val="00750D18"/>
    <w:rsid w:val="00751ABE"/>
    <w:rsid w:val="00752936"/>
    <w:rsid w:val="00752C11"/>
    <w:rsid w:val="00755688"/>
    <w:rsid w:val="00756782"/>
    <w:rsid w:val="00757AA1"/>
    <w:rsid w:val="00757B6D"/>
    <w:rsid w:val="00757C41"/>
    <w:rsid w:val="007602C6"/>
    <w:rsid w:val="0076163D"/>
    <w:rsid w:val="007648E4"/>
    <w:rsid w:val="00765740"/>
    <w:rsid w:val="00765FD9"/>
    <w:rsid w:val="007676C6"/>
    <w:rsid w:val="00767D69"/>
    <w:rsid w:val="00771E90"/>
    <w:rsid w:val="00773665"/>
    <w:rsid w:val="007739A1"/>
    <w:rsid w:val="0077516A"/>
    <w:rsid w:val="00776048"/>
    <w:rsid w:val="00777C42"/>
    <w:rsid w:val="00780966"/>
    <w:rsid w:val="007816A0"/>
    <w:rsid w:val="00781B91"/>
    <w:rsid w:val="00783DD1"/>
    <w:rsid w:val="00783DD9"/>
    <w:rsid w:val="007848AD"/>
    <w:rsid w:val="00786C3C"/>
    <w:rsid w:val="0079030A"/>
    <w:rsid w:val="007904BE"/>
    <w:rsid w:val="0079120B"/>
    <w:rsid w:val="00792BF0"/>
    <w:rsid w:val="00793A18"/>
    <w:rsid w:val="00793FE7"/>
    <w:rsid w:val="00794E09"/>
    <w:rsid w:val="00795915"/>
    <w:rsid w:val="0079666E"/>
    <w:rsid w:val="007971BA"/>
    <w:rsid w:val="00797915"/>
    <w:rsid w:val="007A00F7"/>
    <w:rsid w:val="007A18F7"/>
    <w:rsid w:val="007A24A2"/>
    <w:rsid w:val="007A2D11"/>
    <w:rsid w:val="007A4B4F"/>
    <w:rsid w:val="007A5DA0"/>
    <w:rsid w:val="007B1B2B"/>
    <w:rsid w:val="007B203B"/>
    <w:rsid w:val="007B3042"/>
    <w:rsid w:val="007B31EF"/>
    <w:rsid w:val="007B396B"/>
    <w:rsid w:val="007B5EE0"/>
    <w:rsid w:val="007B629B"/>
    <w:rsid w:val="007B6705"/>
    <w:rsid w:val="007B7029"/>
    <w:rsid w:val="007B7A69"/>
    <w:rsid w:val="007B7CC7"/>
    <w:rsid w:val="007C0385"/>
    <w:rsid w:val="007C2515"/>
    <w:rsid w:val="007C4840"/>
    <w:rsid w:val="007C4B15"/>
    <w:rsid w:val="007C6B0D"/>
    <w:rsid w:val="007C798D"/>
    <w:rsid w:val="007D07EF"/>
    <w:rsid w:val="007D0AB1"/>
    <w:rsid w:val="007D0B72"/>
    <w:rsid w:val="007D17C9"/>
    <w:rsid w:val="007D23F9"/>
    <w:rsid w:val="007D3422"/>
    <w:rsid w:val="007D5916"/>
    <w:rsid w:val="007D5E4F"/>
    <w:rsid w:val="007D61A6"/>
    <w:rsid w:val="007D65B6"/>
    <w:rsid w:val="007D66BD"/>
    <w:rsid w:val="007D7136"/>
    <w:rsid w:val="007E3162"/>
    <w:rsid w:val="007E4E4B"/>
    <w:rsid w:val="007E7279"/>
    <w:rsid w:val="007E7CEF"/>
    <w:rsid w:val="007F35C9"/>
    <w:rsid w:val="007F5573"/>
    <w:rsid w:val="007F6B34"/>
    <w:rsid w:val="00800D5B"/>
    <w:rsid w:val="00802E52"/>
    <w:rsid w:val="00802F4B"/>
    <w:rsid w:val="00803D9A"/>
    <w:rsid w:val="0080435B"/>
    <w:rsid w:val="00804ADD"/>
    <w:rsid w:val="00807BF3"/>
    <w:rsid w:val="00810B02"/>
    <w:rsid w:val="00810E69"/>
    <w:rsid w:val="008120B6"/>
    <w:rsid w:val="00812EEC"/>
    <w:rsid w:val="00813A9F"/>
    <w:rsid w:val="008165E0"/>
    <w:rsid w:val="00822637"/>
    <w:rsid w:val="0082415A"/>
    <w:rsid w:val="0082450D"/>
    <w:rsid w:val="00826374"/>
    <w:rsid w:val="0082650A"/>
    <w:rsid w:val="008309AE"/>
    <w:rsid w:val="00830F08"/>
    <w:rsid w:val="00843D16"/>
    <w:rsid w:val="00846453"/>
    <w:rsid w:val="00847BC7"/>
    <w:rsid w:val="008527D0"/>
    <w:rsid w:val="0085404C"/>
    <w:rsid w:val="008545E6"/>
    <w:rsid w:val="00854B9B"/>
    <w:rsid w:val="00854E88"/>
    <w:rsid w:val="00855A19"/>
    <w:rsid w:val="00856FCD"/>
    <w:rsid w:val="0085709A"/>
    <w:rsid w:val="00857BAC"/>
    <w:rsid w:val="008608CF"/>
    <w:rsid w:val="00861D13"/>
    <w:rsid w:val="008648C9"/>
    <w:rsid w:val="00865BA3"/>
    <w:rsid w:val="008671CB"/>
    <w:rsid w:val="00870169"/>
    <w:rsid w:val="00870A93"/>
    <w:rsid w:val="00871000"/>
    <w:rsid w:val="008733E9"/>
    <w:rsid w:val="00876791"/>
    <w:rsid w:val="00876F4D"/>
    <w:rsid w:val="008771CF"/>
    <w:rsid w:val="0087741A"/>
    <w:rsid w:val="00877C17"/>
    <w:rsid w:val="00877CA6"/>
    <w:rsid w:val="00880A81"/>
    <w:rsid w:val="008827E0"/>
    <w:rsid w:val="0088332E"/>
    <w:rsid w:val="00886065"/>
    <w:rsid w:val="008908E5"/>
    <w:rsid w:val="00891049"/>
    <w:rsid w:val="00893069"/>
    <w:rsid w:val="00893D3C"/>
    <w:rsid w:val="00894605"/>
    <w:rsid w:val="00894EE1"/>
    <w:rsid w:val="00894FAC"/>
    <w:rsid w:val="008958A2"/>
    <w:rsid w:val="008961DF"/>
    <w:rsid w:val="00896525"/>
    <w:rsid w:val="0089688B"/>
    <w:rsid w:val="008970A8"/>
    <w:rsid w:val="0089756E"/>
    <w:rsid w:val="00897DC3"/>
    <w:rsid w:val="008A080A"/>
    <w:rsid w:val="008A29E2"/>
    <w:rsid w:val="008A6AC5"/>
    <w:rsid w:val="008A7974"/>
    <w:rsid w:val="008B0FC8"/>
    <w:rsid w:val="008B3BB5"/>
    <w:rsid w:val="008B3FD1"/>
    <w:rsid w:val="008B6F21"/>
    <w:rsid w:val="008B6F5D"/>
    <w:rsid w:val="008B7A94"/>
    <w:rsid w:val="008C0B8F"/>
    <w:rsid w:val="008C4393"/>
    <w:rsid w:val="008C5C8B"/>
    <w:rsid w:val="008D01FA"/>
    <w:rsid w:val="008D0A94"/>
    <w:rsid w:val="008D1276"/>
    <w:rsid w:val="008D19DF"/>
    <w:rsid w:val="008D466D"/>
    <w:rsid w:val="008D5736"/>
    <w:rsid w:val="008D5931"/>
    <w:rsid w:val="008D7E2B"/>
    <w:rsid w:val="008E2B00"/>
    <w:rsid w:val="008E31BA"/>
    <w:rsid w:val="008F1AEC"/>
    <w:rsid w:val="008F4487"/>
    <w:rsid w:val="008F54C0"/>
    <w:rsid w:val="008F648D"/>
    <w:rsid w:val="008F6C6E"/>
    <w:rsid w:val="008F7321"/>
    <w:rsid w:val="008F7720"/>
    <w:rsid w:val="00900C43"/>
    <w:rsid w:val="00903221"/>
    <w:rsid w:val="009032F9"/>
    <w:rsid w:val="00911F54"/>
    <w:rsid w:val="009139B4"/>
    <w:rsid w:val="00917DD0"/>
    <w:rsid w:val="00921B91"/>
    <w:rsid w:val="0092214F"/>
    <w:rsid w:val="009226DA"/>
    <w:rsid w:val="00922BE3"/>
    <w:rsid w:val="00927EC6"/>
    <w:rsid w:val="00930578"/>
    <w:rsid w:val="0093082D"/>
    <w:rsid w:val="00930D13"/>
    <w:rsid w:val="00933344"/>
    <w:rsid w:val="0093349A"/>
    <w:rsid w:val="00933F36"/>
    <w:rsid w:val="0093474E"/>
    <w:rsid w:val="00934D50"/>
    <w:rsid w:val="00935A7B"/>
    <w:rsid w:val="0094033A"/>
    <w:rsid w:val="00940C16"/>
    <w:rsid w:val="00942873"/>
    <w:rsid w:val="009434D3"/>
    <w:rsid w:val="00944E3A"/>
    <w:rsid w:val="00945E83"/>
    <w:rsid w:val="00950460"/>
    <w:rsid w:val="00952AC8"/>
    <w:rsid w:val="009534B1"/>
    <w:rsid w:val="009546D0"/>
    <w:rsid w:val="00955B80"/>
    <w:rsid w:val="00957647"/>
    <w:rsid w:val="00957738"/>
    <w:rsid w:val="009607BC"/>
    <w:rsid w:val="00962A9C"/>
    <w:rsid w:val="0096738B"/>
    <w:rsid w:val="00967E6F"/>
    <w:rsid w:val="0097014E"/>
    <w:rsid w:val="00975CDB"/>
    <w:rsid w:val="00975F48"/>
    <w:rsid w:val="00976200"/>
    <w:rsid w:val="00982731"/>
    <w:rsid w:val="00985DC4"/>
    <w:rsid w:val="00987C22"/>
    <w:rsid w:val="00990C18"/>
    <w:rsid w:val="00992E9E"/>
    <w:rsid w:val="009935E5"/>
    <w:rsid w:val="00993E5B"/>
    <w:rsid w:val="009977FA"/>
    <w:rsid w:val="009A0CB1"/>
    <w:rsid w:val="009A5EB1"/>
    <w:rsid w:val="009A7650"/>
    <w:rsid w:val="009B147B"/>
    <w:rsid w:val="009B1DAA"/>
    <w:rsid w:val="009B2891"/>
    <w:rsid w:val="009B3442"/>
    <w:rsid w:val="009B44A4"/>
    <w:rsid w:val="009B543A"/>
    <w:rsid w:val="009B5987"/>
    <w:rsid w:val="009B6D20"/>
    <w:rsid w:val="009C4244"/>
    <w:rsid w:val="009C4D79"/>
    <w:rsid w:val="009C7B15"/>
    <w:rsid w:val="009C7D27"/>
    <w:rsid w:val="009D025C"/>
    <w:rsid w:val="009D2FC1"/>
    <w:rsid w:val="009D3593"/>
    <w:rsid w:val="009D4368"/>
    <w:rsid w:val="009D4667"/>
    <w:rsid w:val="009D4A4D"/>
    <w:rsid w:val="009D5243"/>
    <w:rsid w:val="009D539D"/>
    <w:rsid w:val="009D5914"/>
    <w:rsid w:val="009D63F0"/>
    <w:rsid w:val="009D68FE"/>
    <w:rsid w:val="009D6E69"/>
    <w:rsid w:val="009E397F"/>
    <w:rsid w:val="009E516B"/>
    <w:rsid w:val="009F15C7"/>
    <w:rsid w:val="009F2B79"/>
    <w:rsid w:val="009F3239"/>
    <w:rsid w:val="009F5465"/>
    <w:rsid w:val="009F73B3"/>
    <w:rsid w:val="009F7AE8"/>
    <w:rsid w:val="009F7E9E"/>
    <w:rsid w:val="00A006D6"/>
    <w:rsid w:val="00A0071B"/>
    <w:rsid w:val="00A0185D"/>
    <w:rsid w:val="00A01B65"/>
    <w:rsid w:val="00A01CF1"/>
    <w:rsid w:val="00A03200"/>
    <w:rsid w:val="00A0556F"/>
    <w:rsid w:val="00A06384"/>
    <w:rsid w:val="00A07DD8"/>
    <w:rsid w:val="00A10042"/>
    <w:rsid w:val="00A15775"/>
    <w:rsid w:val="00A158A9"/>
    <w:rsid w:val="00A16C99"/>
    <w:rsid w:val="00A22F76"/>
    <w:rsid w:val="00A22F81"/>
    <w:rsid w:val="00A23426"/>
    <w:rsid w:val="00A24396"/>
    <w:rsid w:val="00A308AA"/>
    <w:rsid w:val="00A30FE4"/>
    <w:rsid w:val="00A312AE"/>
    <w:rsid w:val="00A32A94"/>
    <w:rsid w:val="00A344FC"/>
    <w:rsid w:val="00A355E7"/>
    <w:rsid w:val="00A36639"/>
    <w:rsid w:val="00A40A5D"/>
    <w:rsid w:val="00A42068"/>
    <w:rsid w:val="00A4491F"/>
    <w:rsid w:val="00A465EA"/>
    <w:rsid w:val="00A4748F"/>
    <w:rsid w:val="00A53142"/>
    <w:rsid w:val="00A57461"/>
    <w:rsid w:val="00A57F11"/>
    <w:rsid w:val="00A6318F"/>
    <w:rsid w:val="00A65597"/>
    <w:rsid w:val="00A65FE1"/>
    <w:rsid w:val="00A663B2"/>
    <w:rsid w:val="00A70292"/>
    <w:rsid w:val="00A71DBE"/>
    <w:rsid w:val="00A7297E"/>
    <w:rsid w:val="00A731A5"/>
    <w:rsid w:val="00A76011"/>
    <w:rsid w:val="00A76362"/>
    <w:rsid w:val="00A76DA2"/>
    <w:rsid w:val="00A77C97"/>
    <w:rsid w:val="00A80296"/>
    <w:rsid w:val="00A81AA6"/>
    <w:rsid w:val="00A83297"/>
    <w:rsid w:val="00A83E41"/>
    <w:rsid w:val="00A91087"/>
    <w:rsid w:val="00A91BBA"/>
    <w:rsid w:val="00A961CC"/>
    <w:rsid w:val="00A96371"/>
    <w:rsid w:val="00A963D2"/>
    <w:rsid w:val="00A967FD"/>
    <w:rsid w:val="00A96ADC"/>
    <w:rsid w:val="00A97D35"/>
    <w:rsid w:val="00AA0D6B"/>
    <w:rsid w:val="00AA131D"/>
    <w:rsid w:val="00AA33BD"/>
    <w:rsid w:val="00AA6495"/>
    <w:rsid w:val="00AA6732"/>
    <w:rsid w:val="00AA67BC"/>
    <w:rsid w:val="00AA6B70"/>
    <w:rsid w:val="00AA7DAC"/>
    <w:rsid w:val="00AA7E17"/>
    <w:rsid w:val="00AB1717"/>
    <w:rsid w:val="00AB3398"/>
    <w:rsid w:val="00AB39DC"/>
    <w:rsid w:val="00AB3BAE"/>
    <w:rsid w:val="00AB65E5"/>
    <w:rsid w:val="00AB6FE7"/>
    <w:rsid w:val="00AC48E4"/>
    <w:rsid w:val="00AC4BE4"/>
    <w:rsid w:val="00AC4CC4"/>
    <w:rsid w:val="00AC6219"/>
    <w:rsid w:val="00AC796F"/>
    <w:rsid w:val="00AD110A"/>
    <w:rsid w:val="00AD1A9C"/>
    <w:rsid w:val="00AD44A8"/>
    <w:rsid w:val="00AD5E5C"/>
    <w:rsid w:val="00AE0155"/>
    <w:rsid w:val="00AE067D"/>
    <w:rsid w:val="00AE089E"/>
    <w:rsid w:val="00AE2042"/>
    <w:rsid w:val="00AE2DE9"/>
    <w:rsid w:val="00AE38A3"/>
    <w:rsid w:val="00AE3994"/>
    <w:rsid w:val="00AE4FD8"/>
    <w:rsid w:val="00AE508F"/>
    <w:rsid w:val="00AE6820"/>
    <w:rsid w:val="00AE6C61"/>
    <w:rsid w:val="00AE6F86"/>
    <w:rsid w:val="00AE7789"/>
    <w:rsid w:val="00AF095C"/>
    <w:rsid w:val="00AF0BA9"/>
    <w:rsid w:val="00AF31CF"/>
    <w:rsid w:val="00AF55F2"/>
    <w:rsid w:val="00B00620"/>
    <w:rsid w:val="00B00A0E"/>
    <w:rsid w:val="00B046A9"/>
    <w:rsid w:val="00B076DE"/>
    <w:rsid w:val="00B10740"/>
    <w:rsid w:val="00B1269F"/>
    <w:rsid w:val="00B13CEC"/>
    <w:rsid w:val="00B1411D"/>
    <w:rsid w:val="00B14468"/>
    <w:rsid w:val="00B14C08"/>
    <w:rsid w:val="00B20EFA"/>
    <w:rsid w:val="00B23120"/>
    <w:rsid w:val="00B2718F"/>
    <w:rsid w:val="00B27A21"/>
    <w:rsid w:val="00B31930"/>
    <w:rsid w:val="00B35C58"/>
    <w:rsid w:val="00B3687B"/>
    <w:rsid w:val="00B406FA"/>
    <w:rsid w:val="00B40A49"/>
    <w:rsid w:val="00B4150A"/>
    <w:rsid w:val="00B43D43"/>
    <w:rsid w:val="00B46924"/>
    <w:rsid w:val="00B5024E"/>
    <w:rsid w:val="00B50F19"/>
    <w:rsid w:val="00B52EC8"/>
    <w:rsid w:val="00B538AC"/>
    <w:rsid w:val="00B549BA"/>
    <w:rsid w:val="00B558EB"/>
    <w:rsid w:val="00B56D60"/>
    <w:rsid w:val="00B57299"/>
    <w:rsid w:val="00B57DC9"/>
    <w:rsid w:val="00B60C4A"/>
    <w:rsid w:val="00B612B1"/>
    <w:rsid w:val="00B622B9"/>
    <w:rsid w:val="00B65A83"/>
    <w:rsid w:val="00B65C53"/>
    <w:rsid w:val="00B674F0"/>
    <w:rsid w:val="00B677EB"/>
    <w:rsid w:val="00B70639"/>
    <w:rsid w:val="00B71C50"/>
    <w:rsid w:val="00B72788"/>
    <w:rsid w:val="00B749E7"/>
    <w:rsid w:val="00B77BA5"/>
    <w:rsid w:val="00B82771"/>
    <w:rsid w:val="00B834FF"/>
    <w:rsid w:val="00B836A9"/>
    <w:rsid w:val="00B8575D"/>
    <w:rsid w:val="00B8747A"/>
    <w:rsid w:val="00B87541"/>
    <w:rsid w:val="00B8760A"/>
    <w:rsid w:val="00B87B99"/>
    <w:rsid w:val="00B9097E"/>
    <w:rsid w:val="00B90A6C"/>
    <w:rsid w:val="00B92775"/>
    <w:rsid w:val="00B93017"/>
    <w:rsid w:val="00B9470A"/>
    <w:rsid w:val="00B9503B"/>
    <w:rsid w:val="00B962CD"/>
    <w:rsid w:val="00BA11DB"/>
    <w:rsid w:val="00BA2AD6"/>
    <w:rsid w:val="00BA3314"/>
    <w:rsid w:val="00BA3B7A"/>
    <w:rsid w:val="00BA47E4"/>
    <w:rsid w:val="00BA489C"/>
    <w:rsid w:val="00BA5CF2"/>
    <w:rsid w:val="00BA77BE"/>
    <w:rsid w:val="00BB0824"/>
    <w:rsid w:val="00BB3234"/>
    <w:rsid w:val="00BB3BAA"/>
    <w:rsid w:val="00BB505A"/>
    <w:rsid w:val="00BB568A"/>
    <w:rsid w:val="00BB5E7F"/>
    <w:rsid w:val="00BB60A1"/>
    <w:rsid w:val="00BB624D"/>
    <w:rsid w:val="00BB75FC"/>
    <w:rsid w:val="00BB76F1"/>
    <w:rsid w:val="00BB7879"/>
    <w:rsid w:val="00BC076E"/>
    <w:rsid w:val="00BC094C"/>
    <w:rsid w:val="00BC0D8D"/>
    <w:rsid w:val="00BC139F"/>
    <w:rsid w:val="00BC237A"/>
    <w:rsid w:val="00BC5673"/>
    <w:rsid w:val="00BC5F20"/>
    <w:rsid w:val="00BD1F65"/>
    <w:rsid w:val="00BD2250"/>
    <w:rsid w:val="00BD2A52"/>
    <w:rsid w:val="00BD2F3F"/>
    <w:rsid w:val="00BD471C"/>
    <w:rsid w:val="00BD4AFE"/>
    <w:rsid w:val="00BD7A55"/>
    <w:rsid w:val="00BE014A"/>
    <w:rsid w:val="00BE3B19"/>
    <w:rsid w:val="00BE3C78"/>
    <w:rsid w:val="00BE3E0E"/>
    <w:rsid w:val="00BE55B4"/>
    <w:rsid w:val="00BE65B4"/>
    <w:rsid w:val="00BE65F3"/>
    <w:rsid w:val="00BE7DAD"/>
    <w:rsid w:val="00BF4451"/>
    <w:rsid w:val="00BF4E07"/>
    <w:rsid w:val="00BF4F62"/>
    <w:rsid w:val="00BF758D"/>
    <w:rsid w:val="00BF7707"/>
    <w:rsid w:val="00C002F6"/>
    <w:rsid w:val="00C01485"/>
    <w:rsid w:val="00C036BE"/>
    <w:rsid w:val="00C0545C"/>
    <w:rsid w:val="00C064D6"/>
    <w:rsid w:val="00C07350"/>
    <w:rsid w:val="00C07990"/>
    <w:rsid w:val="00C12B77"/>
    <w:rsid w:val="00C12DA2"/>
    <w:rsid w:val="00C1459B"/>
    <w:rsid w:val="00C14879"/>
    <w:rsid w:val="00C2093A"/>
    <w:rsid w:val="00C20D5F"/>
    <w:rsid w:val="00C2264B"/>
    <w:rsid w:val="00C22C01"/>
    <w:rsid w:val="00C23236"/>
    <w:rsid w:val="00C23E22"/>
    <w:rsid w:val="00C2501B"/>
    <w:rsid w:val="00C2513E"/>
    <w:rsid w:val="00C257D5"/>
    <w:rsid w:val="00C271C7"/>
    <w:rsid w:val="00C3122B"/>
    <w:rsid w:val="00C32ED7"/>
    <w:rsid w:val="00C34E10"/>
    <w:rsid w:val="00C35C4E"/>
    <w:rsid w:val="00C35DCE"/>
    <w:rsid w:val="00C372FD"/>
    <w:rsid w:val="00C37B8C"/>
    <w:rsid w:val="00C4356B"/>
    <w:rsid w:val="00C4557E"/>
    <w:rsid w:val="00C46915"/>
    <w:rsid w:val="00C51FFC"/>
    <w:rsid w:val="00C521F3"/>
    <w:rsid w:val="00C52D0E"/>
    <w:rsid w:val="00C544B0"/>
    <w:rsid w:val="00C628B2"/>
    <w:rsid w:val="00C719D7"/>
    <w:rsid w:val="00C7379D"/>
    <w:rsid w:val="00C739B4"/>
    <w:rsid w:val="00C73B55"/>
    <w:rsid w:val="00C760E0"/>
    <w:rsid w:val="00C763EA"/>
    <w:rsid w:val="00C76FF2"/>
    <w:rsid w:val="00C77109"/>
    <w:rsid w:val="00C80BF8"/>
    <w:rsid w:val="00C80E79"/>
    <w:rsid w:val="00C814A7"/>
    <w:rsid w:val="00C821FA"/>
    <w:rsid w:val="00C85E79"/>
    <w:rsid w:val="00C905C7"/>
    <w:rsid w:val="00C90B9D"/>
    <w:rsid w:val="00C922DB"/>
    <w:rsid w:val="00C948B4"/>
    <w:rsid w:val="00C94939"/>
    <w:rsid w:val="00C94962"/>
    <w:rsid w:val="00C94A36"/>
    <w:rsid w:val="00C94B24"/>
    <w:rsid w:val="00C96DB9"/>
    <w:rsid w:val="00C97A17"/>
    <w:rsid w:val="00CA0EDF"/>
    <w:rsid w:val="00CA14D5"/>
    <w:rsid w:val="00CA3F18"/>
    <w:rsid w:val="00CA48EA"/>
    <w:rsid w:val="00CA5780"/>
    <w:rsid w:val="00CA5A29"/>
    <w:rsid w:val="00CA6379"/>
    <w:rsid w:val="00CA6D3A"/>
    <w:rsid w:val="00CA74B5"/>
    <w:rsid w:val="00CA7A45"/>
    <w:rsid w:val="00CA7ACC"/>
    <w:rsid w:val="00CB3F6E"/>
    <w:rsid w:val="00CB6A8A"/>
    <w:rsid w:val="00CC24FD"/>
    <w:rsid w:val="00CC2AE2"/>
    <w:rsid w:val="00CC3DCE"/>
    <w:rsid w:val="00CC4C8A"/>
    <w:rsid w:val="00CC56E9"/>
    <w:rsid w:val="00CC6AAF"/>
    <w:rsid w:val="00CD0691"/>
    <w:rsid w:val="00CD23AC"/>
    <w:rsid w:val="00CD33CB"/>
    <w:rsid w:val="00CD3CE0"/>
    <w:rsid w:val="00CD6108"/>
    <w:rsid w:val="00CD7A0D"/>
    <w:rsid w:val="00CD7A3F"/>
    <w:rsid w:val="00CE3818"/>
    <w:rsid w:val="00CE6E02"/>
    <w:rsid w:val="00CE7417"/>
    <w:rsid w:val="00CE774C"/>
    <w:rsid w:val="00CF5685"/>
    <w:rsid w:val="00CF5CFC"/>
    <w:rsid w:val="00CF6AFE"/>
    <w:rsid w:val="00D00161"/>
    <w:rsid w:val="00D0099D"/>
    <w:rsid w:val="00D024C8"/>
    <w:rsid w:val="00D03F7E"/>
    <w:rsid w:val="00D06B7C"/>
    <w:rsid w:val="00D11B59"/>
    <w:rsid w:val="00D13DEC"/>
    <w:rsid w:val="00D1412E"/>
    <w:rsid w:val="00D15CD2"/>
    <w:rsid w:val="00D1609F"/>
    <w:rsid w:val="00D16845"/>
    <w:rsid w:val="00D21CBE"/>
    <w:rsid w:val="00D23608"/>
    <w:rsid w:val="00D23F4C"/>
    <w:rsid w:val="00D262CE"/>
    <w:rsid w:val="00D26446"/>
    <w:rsid w:val="00D30744"/>
    <w:rsid w:val="00D31B8E"/>
    <w:rsid w:val="00D33164"/>
    <w:rsid w:val="00D342F4"/>
    <w:rsid w:val="00D36765"/>
    <w:rsid w:val="00D36957"/>
    <w:rsid w:val="00D371BE"/>
    <w:rsid w:val="00D40A93"/>
    <w:rsid w:val="00D41CED"/>
    <w:rsid w:val="00D44E03"/>
    <w:rsid w:val="00D460B8"/>
    <w:rsid w:val="00D46FFB"/>
    <w:rsid w:val="00D505A3"/>
    <w:rsid w:val="00D50DFD"/>
    <w:rsid w:val="00D516CE"/>
    <w:rsid w:val="00D519F1"/>
    <w:rsid w:val="00D5346E"/>
    <w:rsid w:val="00D543FE"/>
    <w:rsid w:val="00D54526"/>
    <w:rsid w:val="00D5517A"/>
    <w:rsid w:val="00D5695D"/>
    <w:rsid w:val="00D571AB"/>
    <w:rsid w:val="00D60C6C"/>
    <w:rsid w:val="00D60D9E"/>
    <w:rsid w:val="00D60FEB"/>
    <w:rsid w:val="00D62DAE"/>
    <w:rsid w:val="00D64E98"/>
    <w:rsid w:val="00D66009"/>
    <w:rsid w:val="00D66EAB"/>
    <w:rsid w:val="00D7085D"/>
    <w:rsid w:val="00D72924"/>
    <w:rsid w:val="00D72EBD"/>
    <w:rsid w:val="00D73550"/>
    <w:rsid w:val="00D73E37"/>
    <w:rsid w:val="00D74F62"/>
    <w:rsid w:val="00D759FB"/>
    <w:rsid w:val="00D76431"/>
    <w:rsid w:val="00D76773"/>
    <w:rsid w:val="00D76F6F"/>
    <w:rsid w:val="00D80A41"/>
    <w:rsid w:val="00D80E1F"/>
    <w:rsid w:val="00D82B77"/>
    <w:rsid w:val="00D840BD"/>
    <w:rsid w:val="00D922FD"/>
    <w:rsid w:val="00D926E2"/>
    <w:rsid w:val="00D95C56"/>
    <w:rsid w:val="00D96160"/>
    <w:rsid w:val="00D97BBB"/>
    <w:rsid w:val="00D97CC5"/>
    <w:rsid w:val="00DA22D7"/>
    <w:rsid w:val="00DA2B3B"/>
    <w:rsid w:val="00DA7EEB"/>
    <w:rsid w:val="00DB1909"/>
    <w:rsid w:val="00DB39AE"/>
    <w:rsid w:val="00DB4676"/>
    <w:rsid w:val="00DB573B"/>
    <w:rsid w:val="00DB5A28"/>
    <w:rsid w:val="00DB5ABA"/>
    <w:rsid w:val="00DC14C5"/>
    <w:rsid w:val="00DC14E3"/>
    <w:rsid w:val="00DC1F8A"/>
    <w:rsid w:val="00DC2381"/>
    <w:rsid w:val="00DC3F69"/>
    <w:rsid w:val="00DC5023"/>
    <w:rsid w:val="00DC55B1"/>
    <w:rsid w:val="00DC58D2"/>
    <w:rsid w:val="00DC66B1"/>
    <w:rsid w:val="00DD00F0"/>
    <w:rsid w:val="00DD1BA8"/>
    <w:rsid w:val="00DD4E34"/>
    <w:rsid w:val="00DD7187"/>
    <w:rsid w:val="00DE0459"/>
    <w:rsid w:val="00DE05BF"/>
    <w:rsid w:val="00DE1424"/>
    <w:rsid w:val="00DE2272"/>
    <w:rsid w:val="00DE254F"/>
    <w:rsid w:val="00DE481E"/>
    <w:rsid w:val="00DE54A0"/>
    <w:rsid w:val="00DE7556"/>
    <w:rsid w:val="00DE78F7"/>
    <w:rsid w:val="00DE7B27"/>
    <w:rsid w:val="00DF3719"/>
    <w:rsid w:val="00DF4885"/>
    <w:rsid w:val="00DF52C4"/>
    <w:rsid w:val="00E00A9C"/>
    <w:rsid w:val="00E01296"/>
    <w:rsid w:val="00E039D2"/>
    <w:rsid w:val="00E04B0F"/>
    <w:rsid w:val="00E0639C"/>
    <w:rsid w:val="00E07B4B"/>
    <w:rsid w:val="00E14E2A"/>
    <w:rsid w:val="00E1521E"/>
    <w:rsid w:val="00E20819"/>
    <w:rsid w:val="00E20AC6"/>
    <w:rsid w:val="00E223EC"/>
    <w:rsid w:val="00E2345A"/>
    <w:rsid w:val="00E2365F"/>
    <w:rsid w:val="00E24FE3"/>
    <w:rsid w:val="00E26846"/>
    <w:rsid w:val="00E2720F"/>
    <w:rsid w:val="00E31636"/>
    <w:rsid w:val="00E33A23"/>
    <w:rsid w:val="00E33DB7"/>
    <w:rsid w:val="00E35847"/>
    <w:rsid w:val="00E3650B"/>
    <w:rsid w:val="00E378A1"/>
    <w:rsid w:val="00E430CC"/>
    <w:rsid w:val="00E435F6"/>
    <w:rsid w:val="00E43970"/>
    <w:rsid w:val="00E446BA"/>
    <w:rsid w:val="00E45E4E"/>
    <w:rsid w:val="00E46ED9"/>
    <w:rsid w:val="00E51F81"/>
    <w:rsid w:val="00E53591"/>
    <w:rsid w:val="00E546F6"/>
    <w:rsid w:val="00E5577D"/>
    <w:rsid w:val="00E568C1"/>
    <w:rsid w:val="00E576DE"/>
    <w:rsid w:val="00E613F7"/>
    <w:rsid w:val="00E61B16"/>
    <w:rsid w:val="00E638FA"/>
    <w:rsid w:val="00E648F4"/>
    <w:rsid w:val="00E6595E"/>
    <w:rsid w:val="00E7198E"/>
    <w:rsid w:val="00E74E52"/>
    <w:rsid w:val="00E77E84"/>
    <w:rsid w:val="00E816FB"/>
    <w:rsid w:val="00E81F0F"/>
    <w:rsid w:val="00E8271D"/>
    <w:rsid w:val="00E846D6"/>
    <w:rsid w:val="00E847D7"/>
    <w:rsid w:val="00E84AFB"/>
    <w:rsid w:val="00E84BFF"/>
    <w:rsid w:val="00E8711B"/>
    <w:rsid w:val="00E872C5"/>
    <w:rsid w:val="00E87363"/>
    <w:rsid w:val="00E87E22"/>
    <w:rsid w:val="00E96A89"/>
    <w:rsid w:val="00E96D80"/>
    <w:rsid w:val="00E9718F"/>
    <w:rsid w:val="00E97335"/>
    <w:rsid w:val="00EA0C6E"/>
    <w:rsid w:val="00EA196F"/>
    <w:rsid w:val="00EA439A"/>
    <w:rsid w:val="00EB1986"/>
    <w:rsid w:val="00EB26F6"/>
    <w:rsid w:val="00EB2F09"/>
    <w:rsid w:val="00EB4318"/>
    <w:rsid w:val="00EB5866"/>
    <w:rsid w:val="00EB61B6"/>
    <w:rsid w:val="00EB6478"/>
    <w:rsid w:val="00EB7F88"/>
    <w:rsid w:val="00EC00B2"/>
    <w:rsid w:val="00EC00C7"/>
    <w:rsid w:val="00EC04C1"/>
    <w:rsid w:val="00EC1DA9"/>
    <w:rsid w:val="00EC4529"/>
    <w:rsid w:val="00EC47B0"/>
    <w:rsid w:val="00ED0041"/>
    <w:rsid w:val="00ED2A93"/>
    <w:rsid w:val="00ED3791"/>
    <w:rsid w:val="00ED5FDC"/>
    <w:rsid w:val="00EE0393"/>
    <w:rsid w:val="00EE0BAE"/>
    <w:rsid w:val="00EE0F44"/>
    <w:rsid w:val="00EE4861"/>
    <w:rsid w:val="00EE4F8E"/>
    <w:rsid w:val="00EE54ED"/>
    <w:rsid w:val="00EE5925"/>
    <w:rsid w:val="00EE5F0F"/>
    <w:rsid w:val="00EF04D3"/>
    <w:rsid w:val="00EF201A"/>
    <w:rsid w:val="00EF2CB8"/>
    <w:rsid w:val="00EF3C03"/>
    <w:rsid w:val="00EF6016"/>
    <w:rsid w:val="00EF614F"/>
    <w:rsid w:val="00EF6F14"/>
    <w:rsid w:val="00F04C55"/>
    <w:rsid w:val="00F04D0B"/>
    <w:rsid w:val="00F05382"/>
    <w:rsid w:val="00F06891"/>
    <w:rsid w:val="00F073D8"/>
    <w:rsid w:val="00F07475"/>
    <w:rsid w:val="00F07BD1"/>
    <w:rsid w:val="00F07DC3"/>
    <w:rsid w:val="00F10BE6"/>
    <w:rsid w:val="00F10CE5"/>
    <w:rsid w:val="00F14F3C"/>
    <w:rsid w:val="00F152C8"/>
    <w:rsid w:val="00F17DD5"/>
    <w:rsid w:val="00F20595"/>
    <w:rsid w:val="00F21429"/>
    <w:rsid w:val="00F255A6"/>
    <w:rsid w:val="00F25DCD"/>
    <w:rsid w:val="00F25EF4"/>
    <w:rsid w:val="00F31896"/>
    <w:rsid w:val="00F31E2B"/>
    <w:rsid w:val="00F32375"/>
    <w:rsid w:val="00F3314A"/>
    <w:rsid w:val="00F34893"/>
    <w:rsid w:val="00F3538D"/>
    <w:rsid w:val="00F36587"/>
    <w:rsid w:val="00F402FF"/>
    <w:rsid w:val="00F4115D"/>
    <w:rsid w:val="00F424F7"/>
    <w:rsid w:val="00F426C4"/>
    <w:rsid w:val="00F434DF"/>
    <w:rsid w:val="00F43F1C"/>
    <w:rsid w:val="00F44053"/>
    <w:rsid w:val="00F46824"/>
    <w:rsid w:val="00F468D2"/>
    <w:rsid w:val="00F46AB1"/>
    <w:rsid w:val="00F50D85"/>
    <w:rsid w:val="00F51C8B"/>
    <w:rsid w:val="00F53DBB"/>
    <w:rsid w:val="00F56056"/>
    <w:rsid w:val="00F61B07"/>
    <w:rsid w:val="00F62A77"/>
    <w:rsid w:val="00F64102"/>
    <w:rsid w:val="00F64728"/>
    <w:rsid w:val="00F656C8"/>
    <w:rsid w:val="00F65B0A"/>
    <w:rsid w:val="00F672B3"/>
    <w:rsid w:val="00F67F8B"/>
    <w:rsid w:val="00F704B5"/>
    <w:rsid w:val="00F70718"/>
    <w:rsid w:val="00F71158"/>
    <w:rsid w:val="00F723C5"/>
    <w:rsid w:val="00F726F8"/>
    <w:rsid w:val="00F754F5"/>
    <w:rsid w:val="00F76CFD"/>
    <w:rsid w:val="00F77D80"/>
    <w:rsid w:val="00F81D0B"/>
    <w:rsid w:val="00F82559"/>
    <w:rsid w:val="00F840F0"/>
    <w:rsid w:val="00F8552B"/>
    <w:rsid w:val="00F85A85"/>
    <w:rsid w:val="00F92046"/>
    <w:rsid w:val="00F950E7"/>
    <w:rsid w:val="00F97F7F"/>
    <w:rsid w:val="00FA05F2"/>
    <w:rsid w:val="00FA4684"/>
    <w:rsid w:val="00FA6890"/>
    <w:rsid w:val="00FA72D0"/>
    <w:rsid w:val="00FB02EF"/>
    <w:rsid w:val="00FB369F"/>
    <w:rsid w:val="00FB45BF"/>
    <w:rsid w:val="00FB4891"/>
    <w:rsid w:val="00FB4C8E"/>
    <w:rsid w:val="00FB5B6D"/>
    <w:rsid w:val="00FB60CA"/>
    <w:rsid w:val="00FB613F"/>
    <w:rsid w:val="00FB7824"/>
    <w:rsid w:val="00FC1A29"/>
    <w:rsid w:val="00FC23A5"/>
    <w:rsid w:val="00FC3CB0"/>
    <w:rsid w:val="00FC410B"/>
    <w:rsid w:val="00FC7394"/>
    <w:rsid w:val="00FD2917"/>
    <w:rsid w:val="00FD4C41"/>
    <w:rsid w:val="00FD51FA"/>
    <w:rsid w:val="00FD6C37"/>
    <w:rsid w:val="00FD7781"/>
    <w:rsid w:val="00FD7E01"/>
    <w:rsid w:val="00FE1239"/>
    <w:rsid w:val="00FE27D8"/>
    <w:rsid w:val="00FE2E3A"/>
    <w:rsid w:val="00FE2EC6"/>
    <w:rsid w:val="00FE33BF"/>
    <w:rsid w:val="00FE3431"/>
    <w:rsid w:val="00FE3E83"/>
    <w:rsid w:val="00FE5198"/>
    <w:rsid w:val="00FE5D4A"/>
    <w:rsid w:val="00FE62B0"/>
    <w:rsid w:val="00FE7705"/>
    <w:rsid w:val="00FF03B9"/>
    <w:rsid w:val="00FF0B1C"/>
    <w:rsid w:val="00FF11CA"/>
    <w:rsid w:val="00FF158E"/>
    <w:rsid w:val="00FF2B7D"/>
    <w:rsid w:val="00FF3E3C"/>
    <w:rsid w:val="00FF412A"/>
    <w:rsid w:val="00FF6119"/>
    <w:rsid w:val="00FF685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EAF6E66-5CEE-41D0-9AFF-268A68DB8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7C1B"/>
    <w:pPr>
      <w:spacing w:before="120" w:after="120"/>
      <w:jc w:val="both"/>
    </w:pPr>
    <w:rPr>
      <w:rFonts w:ascii="Times New Roman" w:eastAsia="Calibri" w:hAnsi="Times New Roman" w:cs="Times New Roman"/>
      <w:szCs w:val="20"/>
      <w:lang w:val="en-GB" w:eastAsia="en-GB"/>
    </w:rPr>
  </w:style>
  <w:style w:type="paragraph" w:styleId="Heading1">
    <w:name w:val="heading 1"/>
    <w:basedOn w:val="Normal"/>
    <w:next w:val="Normal"/>
    <w:link w:val="Heading1Char"/>
    <w:uiPriority w:val="9"/>
    <w:qFormat/>
    <w:rsid w:val="00F434DF"/>
    <w:pPr>
      <w:keepNext/>
      <w:spacing w:before="240" w:after="240"/>
      <w:outlineLvl w:val="0"/>
    </w:pPr>
    <w:rPr>
      <w:rFonts w:eastAsia="Times New Roman"/>
      <w:b/>
      <w:bCs/>
      <w:smallCaps/>
      <w:sz w:val="28"/>
      <w:szCs w:val="28"/>
    </w:rPr>
  </w:style>
  <w:style w:type="paragraph" w:styleId="Heading2">
    <w:name w:val="heading 2"/>
    <w:aliases w:val="Sub-capitol"/>
    <w:basedOn w:val="Normal"/>
    <w:next w:val="Normal"/>
    <w:link w:val="Heading2Char"/>
    <w:unhideWhenUsed/>
    <w:qFormat/>
    <w:rsid w:val="006A0C19"/>
    <w:pPr>
      <w:keepNext/>
      <w:spacing w:before="240"/>
      <w:outlineLvl w:val="1"/>
    </w:pPr>
    <w:rPr>
      <w:rFonts w:eastAsia="Times New Roman"/>
      <w:b/>
      <w:bCs/>
      <w:szCs w:val="26"/>
    </w:rPr>
  </w:style>
  <w:style w:type="paragraph" w:styleId="Heading3">
    <w:name w:val="heading 3"/>
    <w:aliases w:val="Titlu 1"/>
    <w:basedOn w:val="Normal"/>
    <w:next w:val="Normal"/>
    <w:link w:val="Heading3Char"/>
    <w:uiPriority w:val="9"/>
    <w:unhideWhenUsed/>
    <w:qFormat/>
    <w:rsid w:val="007A5DA0"/>
    <w:pPr>
      <w:keepNext/>
      <w:numPr>
        <w:ilvl w:val="2"/>
        <w:numId w:val="1"/>
      </w:numPr>
      <w:outlineLvl w:val="2"/>
    </w:pPr>
    <w:rPr>
      <w:rFonts w:eastAsia="Times New Roman"/>
      <w:bCs/>
      <w:i/>
    </w:rPr>
  </w:style>
  <w:style w:type="paragraph" w:styleId="Heading4">
    <w:name w:val="heading 4"/>
    <w:basedOn w:val="Normal"/>
    <w:next w:val="Normal"/>
    <w:link w:val="Heading4Char"/>
    <w:uiPriority w:val="9"/>
    <w:unhideWhenUsed/>
    <w:qFormat/>
    <w:rsid w:val="002522A5"/>
    <w:pPr>
      <w:keepNext/>
      <w:outlineLvl w:val="3"/>
    </w:pPr>
    <w:rPr>
      <w:rFonts w:eastAsia="Times New Roman"/>
      <w:b/>
      <w:bCs/>
      <w:iCs/>
      <w:color w:val="0070C0"/>
      <w:sz w:val="28"/>
    </w:rPr>
  </w:style>
  <w:style w:type="paragraph" w:styleId="Heading8">
    <w:name w:val="heading 8"/>
    <w:basedOn w:val="Normal"/>
    <w:next w:val="Normal"/>
    <w:link w:val="Heading8Char"/>
    <w:qFormat/>
    <w:rsid w:val="00582784"/>
    <w:pPr>
      <w:numPr>
        <w:numId w:val="9"/>
      </w:numPr>
      <w:spacing w:before="240" w:after="240"/>
      <w:ind w:left="714" w:hanging="357"/>
      <w:jc w:val="left"/>
      <w:outlineLvl w:val="7"/>
    </w:pPr>
    <w:rPr>
      <w:rFonts w:eastAsia="Times New Roman"/>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4DF"/>
    <w:rPr>
      <w:rFonts w:ascii="Times New Roman" w:eastAsia="Times New Roman" w:hAnsi="Times New Roman" w:cs="Times New Roman"/>
      <w:b/>
      <w:bCs/>
      <w:smallCaps/>
      <w:sz w:val="28"/>
      <w:szCs w:val="28"/>
      <w:lang w:val="en-GB" w:eastAsia="en-GB"/>
    </w:rPr>
  </w:style>
  <w:style w:type="character" w:customStyle="1" w:styleId="Heading2Char">
    <w:name w:val="Heading 2 Char"/>
    <w:aliases w:val="Sub-capitol Char"/>
    <w:basedOn w:val="DefaultParagraphFont"/>
    <w:link w:val="Heading2"/>
    <w:rsid w:val="006A0C19"/>
    <w:rPr>
      <w:rFonts w:ascii="Times New Roman" w:eastAsia="Times New Roman" w:hAnsi="Times New Roman" w:cs="Times New Roman"/>
      <w:b/>
      <w:bCs/>
      <w:szCs w:val="26"/>
      <w:lang w:val="en-GB" w:eastAsia="en-GB"/>
    </w:rPr>
  </w:style>
  <w:style w:type="character" w:customStyle="1" w:styleId="Heading3Char">
    <w:name w:val="Heading 3 Char"/>
    <w:aliases w:val="Titlu 1 Char"/>
    <w:basedOn w:val="DefaultParagraphFont"/>
    <w:link w:val="Heading3"/>
    <w:uiPriority w:val="9"/>
    <w:rsid w:val="007A5DA0"/>
    <w:rPr>
      <w:rFonts w:ascii="Times New Roman" w:eastAsia="Times New Roman" w:hAnsi="Times New Roman" w:cs="Times New Roman"/>
      <w:bCs/>
      <w:i/>
      <w:szCs w:val="20"/>
      <w:lang w:val="en-GB" w:eastAsia="en-GB"/>
    </w:rPr>
  </w:style>
  <w:style w:type="character" w:customStyle="1" w:styleId="Heading4Char">
    <w:name w:val="Heading 4 Char"/>
    <w:basedOn w:val="DefaultParagraphFont"/>
    <w:link w:val="Heading4"/>
    <w:uiPriority w:val="9"/>
    <w:rsid w:val="002522A5"/>
    <w:rPr>
      <w:rFonts w:ascii="Times New Roman" w:eastAsia="Times New Roman" w:hAnsi="Times New Roman" w:cs="Times New Roman"/>
      <w:b/>
      <w:bCs/>
      <w:iCs/>
      <w:color w:val="0070C0"/>
      <w:sz w:val="28"/>
      <w:szCs w:val="20"/>
      <w:lang w:val="en-GB" w:eastAsia="en-GB"/>
    </w:rPr>
  </w:style>
  <w:style w:type="character" w:customStyle="1" w:styleId="Heading8Char">
    <w:name w:val="Heading 8 Char"/>
    <w:basedOn w:val="DefaultParagraphFont"/>
    <w:link w:val="Heading8"/>
    <w:rsid w:val="00582784"/>
    <w:rPr>
      <w:rFonts w:ascii="Times New Roman" w:eastAsia="Times New Roman" w:hAnsi="Times New Roman" w:cs="Times New Roman"/>
      <w:b/>
      <w:szCs w:val="20"/>
      <w:lang w:val="en-GB"/>
    </w:rPr>
  </w:style>
  <w:style w:type="paragraph" w:styleId="ListBullet">
    <w:name w:val="List Bullet"/>
    <w:basedOn w:val="Normal"/>
    <w:unhideWhenUsed/>
    <w:rsid w:val="007A5DA0"/>
    <w:pPr>
      <w:numPr>
        <w:numId w:val="2"/>
      </w:numPr>
      <w:contextualSpacing/>
    </w:pPr>
  </w:style>
  <w:style w:type="paragraph" w:styleId="BodyText">
    <w:name w:val="Body Text"/>
    <w:basedOn w:val="Normal"/>
    <w:link w:val="BodyTextChar"/>
    <w:rsid w:val="007A5DA0"/>
    <w:pPr>
      <w:spacing w:before="0"/>
    </w:pPr>
    <w:rPr>
      <w:rFonts w:eastAsia="Times New Roman"/>
      <w:lang w:eastAsia="en-US"/>
    </w:rPr>
  </w:style>
  <w:style w:type="character" w:customStyle="1" w:styleId="BodyTextChar">
    <w:name w:val="Body Text Char"/>
    <w:basedOn w:val="DefaultParagraphFont"/>
    <w:link w:val="BodyText"/>
    <w:rsid w:val="007A5DA0"/>
    <w:rPr>
      <w:rFonts w:ascii="Times New Roman" w:eastAsia="Times New Roman" w:hAnsi="Times New Roman" w:cs="Times New Roman"/>
      <w:szCs w:val="20"/>
    </w:rPr>
  </w:style>
  <w:style w:type="paragraph" w:styleId="NormalWeb">
    <w:name w:val="Normal (Web)"/>
    <w:basedOn w:val="Normal"/>
    <w:rsid w:val="007A5DA0"/>
    <w:pPr>
      <w:suppressAutoHyphens/>
      <w:spacing w:before="100" w:after="100"/>
      <w:jc w:val="left"/>
    </w:pPr>
    <w:rPr>
      <w:rFonts w:eastAsia="Times New Roman"/>
      <w:szCs w:val="24"/>
      <w:lang w:eastAsia="ar-SA"/>
    </w:rPr>
  </w:style>
  <w:style w:type="table" w:styleId="TableGrid">
    <w:name w:val="Table Grid"/>
    <w:basedOn w:val="TableNormal"/>
    <w:uiPriority w:val="59"/>
    <w:rsid w:val="007A5DA0"/>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E87E22"/>
    <w:pPr>
      <w:numPr>
        <w:numId w:val="3"/>
      </w:numPr>
      <w:spacing w:before="60" w:after="0"/>
    </w:pPr>
    <w:rPr>
      <w:rFonts w:eastAsia="Times New Roman"/>
    </w:rPr>
  </w:style>
  <w:style w:type="paragraph" w:styleId="FootnoteText">
    <w:name w:val="footnote text"/>
    <w:aliases w:val="Fußnotentextf,single space,Fußnote,-E Fußnotentext,Fußnotentext Ursprung,Podrozdział,Footnote Text Char Char,FOOTNOTES,fn,Sprotna opomba - besedilo Znak1,Sprotna opomba - besedilo Znak Znak2,stile 1,Footnot,Footnote1,Podrozdzia3,Footnote"/>
    <w:basedOn w:val="Normal"/>
    <w:link w:val="FootnoteTextChar"/>
    <w:uiPriority w:val="99"/>
    <w:unhideWhenUsed/>
    <w:qFormat/>
    <w:rsid w:val="009032F9"/>
    <w:pPr>
      <w:spacing w:before="0" w:after="0"/>
      <w:ind w:left="720" w:hanging="720"/>
    </w:pPr>
    <w:rPr>
      <w:sz w:val="18"/>
    </w:rPr>
  </w:style>
  <w:style w:type="character" w:customStyle="1" w:styleId="FootnoteTextChar">
    <w:name w:val="Footnote Text Char"/>
    <w:aliases w:val="Fußnotentextf Char,single space Char,Fußnote Char,-E Fußnotentext Char,Fußnotentext Ursprung Char,Podrozdział Char,Footnote Text Char Char Char,FOOTNOTES Char,fn Char,Sprotna opomba - besedilo Znak1 Char,stile 1 Char,Footnot Char"/>
    <w:basedOn w:val="DefaultParagraphFont"/>
    <w:link w:val="FootnoteText"/>
    <w:uiPriority w:val="99"/>
    <w:rsid w:val="009032F9"/>
    <w:rPr>
      <w:rFonts w:ascii="Times New Roman" w:eastAsia="Calibri" w:hAnsi="Times New Roman" w:cs="Times New Roman"/>
      <w:sz w:val="18"/>
      <w:szCs w:val="20"/>
      <w:lang w:val="en-GB" w:eastAsia="en-GB"/>
    </w:rPr>
  </w:style>
  <w:style w:type="character" w:styleId="FootnoteReference">
    <w:name w:val="footnote reference"/>
    <w:aliases w:val="-E Fußnotenzeichen,Heading 6 Char1,Footnote2,Footnote symbol,Fussnota,ftref,Appel note de bas de p,SUPERS,Nota,(NECG) Footnote Reference,Voetnootverwijzing,Footnote Reference Superscript,BVI fnr,Footnotes refss,Lábjegyzet-hivatkozás"/>
    <w:uiPriority w:val="99"/>
    <w:unhideWhenUsed/>
    <w:rsid w:val="007A5DA0"/>
    <w:rPr>
      <w:shd w:val="clear" w:color="auto" w:fill="auto"/>
      <w:vertAlign w:val="superscript"/>
    </w:rPr>
  </w:style>
  <w:style w:type="character" w:customStyle="1" w:styleId="longtext">
    <w:name w:val="long_text"/>
    <w:rsid w:val="007A5DA0"/>
  </w:style>
  <w:style w:type="paragraph" w:customStyle="1" w:styleId="Default">
    <w:name w:val="Default"/>
    <w:rsid w:val="007A5DA0"/>
    <w:pPr>
      <w:autoSpaceDE w:val="0"/>
      <w:autoSpaceDN w:val="0"/>
      <w:adjustRightInd w:val="0"/>
    </w:pPr>
    <w:rPr>
      <w:rFonts w:ascii="Calibri" w:eastAsia="Times New Roman" w:hAnsi="Calibri" w:cs="Calibri"/>
      <w:snapToGrid w:val="0"/>
      <w:color w:val="000000"/>
      <w:lang w:val="ro-RO" w:eastAsia="ro-RO"/>
    </w:rPr>
  </w:style>
  <w:style w:type="character" w:styleId="Strong">
    <w:name w:val="Strong"/>
    <w:uiPriority w:val="22"/>
    <w:qFormat/>
    <w:rsid w:val="00523803"/>
    <w:rPr>
      <w:rFonts w:ascii="Times New Roman" w:hAnsi="Times New Roman" w:cs="Times New Roman"/>
      <w:b/>
      <w:sz w:val="28"/>
    </w:rPr>
  </w:style>
  <w:style w:type="character" w:styleId="Emphasis">
    <w:name w:val="Emphasis"/>
    <w:basedOn w:val="DefaultParagraphFont"/>
    <w:uiPriority w:val="20"/>
    <w:qFormat/>
    <w:rsid w:val="007A5DA0"/>
    <w:rPr>
      <w:i/>
      <w:iCs/>
    </w:rPr>
  </w:style>
  <w:style w:type="paragraph" w:styleId="BalloonText">
    <w:name w:val="Balloon Text"/>
    <w:basedOn w:val="Normal"/>
    <w:link w:val="BalloonTextChar"/>
    <w:uiPriority w:val="99"/>
    <w:semiHidden/>
    <w:unhideWhenUsed/>
    <w:rsid w:val="007A5DA0"/>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5DA0"/>
    <w:rPr>
      <w:rFonts w:ascii="Lucida Grande" w:eastAsia="Calibri" w:hAnsi="Lucida Grande" w:cs="Lucida Grande"/>
      <w:sz w:val="18"/>
      <w:szCs w:val="18"/>
      <w:lang w:val="en-GB" w:eastAsia="en-GB"/>
    </w:rPr>
  </w:style>
  <w:style w:type="paragraph" w:styleId="Header">
    <w:name w:val="header"/>
    <w:basedOn w:val="Normal"/>
    <w:link w:val="HeaderChar"/>
    <w:uiPriority w:val="99"/>
    <w:unhideWhenUsed/>
    <w:rsid w:val="009B1DAA"/>
    <w:pPr>
      <w:tabs>
        <w:tab w:val="center" w:pos="4535"/>
        <w:tab w:val="right" w:pos="9071"/>
      </w:tabs>
      <w:spacing w:before="0"/>
    </w:pPr>
  </w:style>
  <w:style w:type="character" w:customStyle="1" w:styleId="HeaderChar">
    <w:name w:val="Header Char"/>
    <w:basedOn w:val="DefaultParagraphFont"/>
    <w:link w:val="Header"/>
    <w:uiPriority w:val="99"/>
    <w:rsid w:val="009B1DAA"/>
    <w:rPr>
      <w:rFonts w:ascii="Times New Roman" w:eastAsia="Calibri" w:hAnsi="Times New Roman" w:cs="Times New Roman"/>
      <w:szCs w:val="20"/>
      <w:lang w:val="en-GB"/>
    </w:rPr>
  </w:style>
  <w:style w:type="paragraph" w:styleId="Footer">
    <w:name w:val="footer"/>
    <w:basedOn w:val="Normal"/>
    <w:link w:val="FooterChar"/>
    <w:uiPriority w:val="99"/>
    <w:unhideWhenUsed/>
    <w:rsid w:val="009B1DAA"/>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9B1DAA"/>
    <w:rPr>
      <w:rFonts w:ascii="Times New Roman" w:eastAsia="Calibri" w:hAnsi="Times New Roman" w:cs="Times New Roman"/>
      <w:szCs w:val="20"/>
      <w:lang w:val="en-GB"/>
    </w:rPr>
  </w:style>
  <w:style w:type="paragraph" w:customStyle="1" w:styleId="Objetacteprincipal">
    <w:name w:val="Objet acte principal"/>
    <w:basedOn w:val="Normal"/>
    <w:next w:val="Normal"/>
    <w:rsid w:val="009B1DAA"/>
    <w:pPr>
      <w:spacing w:before="0" w:after="360"/>
      <w:jc w:val="center"/>
    </w:pPr>
    <w:rPr>
      <w:b/>
    </w:rPr>
  </w:style>
  <w:style w:type="character" w:styleId="CommentReference">
    <w:name w:val="annotation reference"/>
    <w:basedOn w:val="DefaultParagraphFont"/>
    <w:unhideWhenUsed/>
    <w:rsid w:val="00E35847"/>
    <w:rPr>
      <w:sz w:val="16"/>
      <w:szCs w:val="16"/>
    </w:rPr>
  </w:style>
  <w:style w:type="paragraph" w:styleId="CommentText">
    <w:name w:val="annotation text"/>
    <w:basedOn w:val="Normal"/>
    <w:link w:val="CommentTextChar"/>
    <w:unhideWhenUsed/>
    <w:rsid w:val="00E35847"/>
    <w:rPr>
      <w:sz w:val="20"/>
    </w:rPr>
  </w:style>
  <w:style w:type="character" w:customStyle="1" w:styleId="CommentTextChar">
    <w:name w:val="Comment Text Char"/>
    <w:basedOn w:val="DefaultParagraphFont"/>
    <w:link w:val="CommentText"/>
    <w:rsid w:val="00E35847"/>
    <w:rPr>
      <w:rFonts w:ascii="Times New Roman" w:eastAsia="Calibri"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E35847"/>
    <w:rPr>
      <w:b/>
      <w:bCs/>
    </w:rPr>
  </w:style>
  <w:style w:type="character" w:customStyle="1" w:styleId="CommentSubjectChar">
    <w:name w:val="Comment Subject Char"/>
    <w:basedOn w:val="CommentTextChar"/>
    <w:link w:val="CommentSubject"/>
    <w:uiPriority w:val="99"/>
    <w:semiHidden/>
    <w:rsid w:val="00E35847"/>
    <w:rPr>
      <w:rFonts w:ascii="Times New Roman" w:eastAsia="Calibri" w:hAnsi="Times New Roman" w:cs="Times New Roman"/>
      <w:b/>
      <w:bCs/>
      <w:sz w:val="20"/>
      <w:szCs w:val="20"/>
      <w:lang w:val="en-GB" w:eastAsia="en-GB"/>
    </w:rPr>
  </w:style>
  <w:style w:type="paragraph" w:styleId="BodyText2">
    <w:name w:val="Body Text 2"/>
    <w:basedOn w:val="Normal"/>
    <w:link w:val="BodyText2Char"/>
    <w:uiPriority w:val="99"/>
    <w:semiHidden/>
    <w:unhideWhenUsed/>
    <w:rsid w:val="00746AAF"/>
    <w:pPr>
      <w:spacing w:line="480" w:lineRule="auto"/>
    </w:pPr>
  </w:style>
  <w:style w:type="character" w:customStyle="1" w:styleId="BodyText2Char">
    <w:name w:val="Body Text 2 Char"/>
    <w:basedOn w:val="DefaultParagraphFont"/>
    <w:link w:val="BodyText2"/>
    <w:uiPriority w:val="99"/>
    <w:semiHidden/>
    <w:rsid w:val="00746AAF"/>
    <w:rPr>
      <w:rFonts w:ascii="Times New Roman" w:eastAsia="Calibri" w:hAnsi="Times New Roman" w:cs="Times New Roman"/>
      <w:szCs w:val="20"/>
      <w:lang w:val="en-GB" w:eastAsia="en-GB"/>
    </w:rPr>
  </w:style>
  <w:style w:type="paragraph" w:customStyle="1" w:styleId="HeaderLandscape">
    <w:name w:val="HeaderLandscape"/>
    <w:basedOn w:val="Normal"/>
    <w:rsid w:val="00FD2917"/>
    <w:pPr>
      <w:tabs>
        <w:tab w:val="center" w:pos="7285"/>
        <w:tab w:val="right" w:pos="14003"/>
      </w:tabs>
      <w:suppressAutoHyphens/>
      <w:autoSpaceDN w:val="0"/>
      <w:spacing w:before="0"/>
      <w:textAlignment w:val="baseline"/>
    </w:pPr>
  </w:style>
  <w:style w:type="paragraph" w:customStyle="1" w:styleId="FooterLandscape">
    <w:name w:val="FooterLandscape"/>
    <w:basedOn w:val="Normal"/>
    <w:rsid w:val="00FD2917"/>
    <w:pPr>
      <w:tabs>
        <w:tab w:val="center" w:pos="7285"/>
        <w:tab w:val="center" w:pos="10913"/>
        <w:tab w:val="right" w:pos="15137"/>
      </w:tabs>
      <w:suppressAutoHyphens/>
      <w:autoSpaceDN w:val="0"/>
      <w:spacing w:before="360" w:after="0"/>
      <w:ind w:left="-567" w:right="-567"/>
      <w:jc w:val="left"/>
      <w:textAlignment w:val="baseline"/>
    </w:pPr>
  </w:style>
  <w:style w:type="paragraph" w:styleId="NoSpacing">
    <w:name w:val="No Spacing"/>
    <w:uiPriority w:val="1"/>
    <w:qFormat/>
    <w:rsid w:val="0034420A"/>
    <w:pPr>
      <w:suppressAutoHyphens/>
      <w:autoSpaceDN w:val="0"/>
      <w:jc w:val="both"/>
    </w:pPr>
    <w:rPr>
      <w:rFonts w:ascii="Times New Roman" w:eastAsia="Calibri" w:hAnsi="Times New Roman" w:cs="Times New Roman"/>
      <w:szCs w:val="20"/>
      <w:lang w:val="en-GB" w:eastAsia="en-GB"/>
    </w:rPr>
  </w:style>
  <w:style w:type="character" w:styleId="Hyperlink">
    <w:name w:val="Hyperlink"/>
    <w:basedOn w:val="DefaultParagraphFont"/>
    <w:uiPriority w:val="99"/>
    <w:unhideWhenUsed/>
    <w:rsid w:val="00EE0BAE"/>
    <w:rPr>
      <w:color w:val="0000FF"/>
      <w:u w:val="single"/>
    </w:rPr>
  </w:style>
  <w:style w:type="paragraph" w:styleId="Title">
    <w:name w:val="Title"/>
    <w:basedOn w:val="Normal"/>
    <w:next w:val="Normal"/>
    <w:link w:val="TitleChar"/>
    <w:qFormat/>
    <w:rsid w:val="00A10042"/>
    <w:pPr>
      <w:spacing w:before="480" w:after="480"/>
      <w:jc w:val="center"/>
    </w:pPr>
    <w:rPr>
      <w:rFonts w:ascii="Calibri" w:eastAsia="Times New Roman" w:hAnsi="Calibri"/>
      <w:b/>
      <w:color w:val="365F91"/>
      <w:spacing w:val="5"/>
      <w:kern w:val="28"/>
      <w:sz w:val="72"/>
      <w:szCs w:val="52"/>
      <w:lang w:val="en-US" w:eastAsia="en-US"/>
    </w:rPr>
  </w:style>
  <w:style w:type="character" w:customStyle="1" w:styleId="TitleChar">
    <w:name w:val="Title Char"/>
    <w:basedOn w:val="DefaultParagraphFont"/>
    <w:link w:val="Title"/>
    <w:rsid w:val="00A10042"/>
    <w:rPr>
      <w:rFonts w:ascii="Calibri" w:eastAsia="Times New Roman" w:hAnsi="Calibri" w:cs="Times New Roman"/>
      <w:b/>
      <w:color w:val="365F91"/>
      <w:spacing w:val="5"/>
      <w:kern w:val="28"/>
      <w:sz w:val="72"/>
      <w:szCs w:val="52"/>
      <w:lang w:val="en-US"/>
    </w:rPr>
  </w:style>
  <w:style w:type="numbering" w:customStyle="1" w:styleId="NoList1">
    <w:name w:val="No List1"/>
    <w:next w:val="NoList"/>
    <w:uiPriority w:val="99"/>
    <w:semiHidden/>
    <w:unhideWhenUsed/>
    <w:rsid w:val="00BD471C"/>
  </w:style>
  <w:style w:type="table" w:customStyle="1" w:styleId="TableGrid1">
    <w:name w:val="Table Grid1"/>
    <w:basedOn w:val="TableNormal"/>
    <w:next w:val="TableGrid"/>
    <w:uiPriority w:val="59"/>
    <w:rsid w:val="00BD471C"/>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BD471C"/>
    <w:rPr>
      <w:rFonts w:ascii="Times New Roman" w:eastAsia="Calibri" w:hAnsi="Times New Roman" w:cs="Times New Roman"/>
      <w:szCs w:val="20"/>
      <w:lang w:val="en-GB" w:eastAsia="en-GB"/>
    </w:rPr>
  </w:style>
  <w:style w:type="paragraph" w:styleId="TOC3">
    <w:name w:val="toc 3"/>
    <w:basedOn w:val="Normal"/>
    <w:next w:val="Normal"/>
    <w:autoRedefine/>
    <w:uiPriority w:val="39"/>
    <w:unhideWhenUsed/>
    <w:qFormat/>
    <w:rsid w:val="00BD471C"/>
    <w:pPr>
      <w:tabs>
        <w:tab w:val="left" w:pos="426"/>
        <w:tab w:val="left" w:pos="800"/>
        <w:tab w:val="right" w:leader="dot" w:pos="8931"/>
      </w:tabs>
      <w:spacing w:after="0"/>
      <w:ind w:left="851" w:hanging="851"/>
      <w:jc w:val="left"/>
    </w:pPr>
    <w:rPr>
      <w:rFonts w:ascii="Arial" w:eastAsia="Times New Roman" w:hAnsi="Arial" w:cs="Helvetica"/>
      <w:sz w:val="22"/>
      <w:lang w:val="de-AT" w:eastAsia="de-AT"/>
    </w:rPr>
  </w:style>
  <w:style w:type="character" w:customStyle="1" w:styleId="Text1Char">
    <w:name w:val="Text 1 Char"/>
    <w:link w:val="Text1"/>
    <w:locked/>
    <w:rsid w:val="00BD471C"/>
    <w:rPr>
      <w:rFonts w:ascii="Times New Roman" w:hAnsi="Times New Roman"/>
    </w:rPr>
  </w:style>
  <w:style w:type="paragraph" w:customStyle="1" w:styleId="Text1">
    <w:name w:val="Text 1"/>
    <w:basedOn w:val="Normal"/>
    <w:link w:val="Text1Char"/>
    <w:rsid w:val="00BD471C"/>
    <w:pPr>
      <w:ind w:left="850"/>
    </w:pPr>
    <w:rPr>
      <w:rFonts w:eastAsiaTheme="minorEastAsia" w:cstheme="minorBidi"/>
      <w:szCs w:val="24"/>
      <w:lang w:val="fr-FR" w:eastAsia="en-US"/>
    </w:rPr>
  </w:style>
  <w:style w:type="paragraph" w:styleId="IntenseQuote">
    <w:name w:val="Intense Quote"/>
    <w:basedOn w:val="Normal"/>
    <w:next w:val="Normal"/>
    <w:link w:val="IntenseQuoteChar"/>
    <w:uiPriority w:val="30"/>
    <w:qFormat/>
    <w:rsid w:val="00B1411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1411D"/>
    <w:rPr>
      <w:rFonts w:ascii="Times New Roman" w:eastAsia="Calibri" w:hAnsi="Times New Roman" w:cs="Times New Roman"/>
      <w:b/>
      <w:bCs/>
      <w:i/>
      <w:iCs/>
      <w:color w:val="4F81BD" w:themeColor="accent1"/>
      <w:szCs w:val="20"/>
      <w:lang w:val="en-GB" w:eastAsia="en-GB"/>
    </w:rPr>
  </w:style>
  <w:style w:type="character" w:styleId="BookTitle">
    <w:name w:val="Book Title"/>
    <w:basedOn w:val="DefaultParagraphFont"/>
    <w:uiPriority w:val="33"/>
    <w:qFormat/>
    <w:rsid w:val="00B1411D"/>
    <w:rPr>
      <w:b/>
      <w:bCs/>
      <w:smallCaps/>
      <w:spacing w:val="5"/>
    </w:rPr>
  </w:style>
  <w:style w:type="paragraph" w:styleId="Caption">
    <w:name w:val="caption"/>
    <w:basedOn w:val="Normal"/>
    <w:next w:val="Normal"/>
    <w:uiPriority w:val="35"/>
    <w:unhideWhenUsed/>
    <w:qFormat/>
    <w:rsid w:val="00D16845"/>
    <w:pPr>
      <w:spacing w:before="0" w:after="200"/>
    </w:pPr>
    <w:rPr>
      <w:b/>
      <w:bCs/>
      <w:i/>
      <w:szCs w:val="18"/>
    </w:rPr>
  </w:style>
  <w:style w:type="paragraph" w:styleId="TOCHeading">
    <w:name w:val="TOC Heading"/>
    <w:basedOn w:val="Heading1"/>
    <w:next w:val="Normal"/>
    <w:uiPriority w:val="39"/>
    <w:unhideWhenUsed/>
    <w:qFormat/>
    <w:rsid w:val="00B65C53"/>
    <w:pPr>
      <w:keepLines/>
      <w:spacing w:before="480" w:after="0" w:line="276" w:lineRule="auto"/>
      <w:outlineLvl w:val="9"/>
    </w:pPr>
    <w:rPr>
      <w:rFonts w:asciiTheme="majorHAnsi" w:eastAsiaTheme="majorEastAsia" w:hAnsiTheme="majorHAnsi" w:cstheme="majorBidi"/>
      <w:smallCaps w:val="0"/>
      <w:color w:val="365F91" w:themeColor="accent1" w:themeShade="BF"/>
      <w:lang w:val="en-US" w:eastAsia="ja-JP"/>
    </w:rPr>
  </w:style>
  <w:style w:type="paragraph" w:styleId="TOC1">
    <w:name w:val="toc 1"/>
    <w:basedOn w:val="Normal"/>
    <w:next w:val="Normal"/>
    <w:autoRedefine/>
    <w:uiPriority w:val="39"/>
    <w:unhideWhenUsed/>
    <w:qFormat/>
    <w:rsid w:val="00893069"/>
    <w:pPr>
      <w:spacing w:before="0"/>
    </w:pPr>
  </w:style>
  <w:style w:type="paragraph" w:styleId="TOC2">
    <w:name w:val="toc 2"/>
    <w:basedOn w:val="Normal"/>
    <w:next w:val="Normal"/>
    <w:autoRedefine/>
    <w:uiPriority w:val="39"/>
    <w:unhideWhenUsed/>
    <w:qFormat/>
    <w:rsid w:val="00B65C53"/>
    <w:pPr>
      <w:spacing w:after="100"/>
      <w:ind w:left="240"/>
    </w:pPr>
  </w:style>
  <w:style w:type="character" w:customStyle="1" w:styleId="apple-converted-space">
    <w:name w:val="apple-converted-space"/>
    <w:basedOn w:val="DefaultParagraphFont"/>
    <w:rsid w:val="00C544B0"/>
  </w:style>
  <w:style w:type="paragraph" w:styleId="TOC4">
    <w:name w:val="toc 4"/>
    <w:basedOn w:val="Normal"/>
    <w:next w:val="Normal"/>
    <w:autoRedefine/>
    <w:uiPriority w:val="39"/>
    <w:unhideWhenUsed/>
    <w:rsid w:val="00EE0393"/>
    <w:pPr>
      <w:spacing w:before="0" w:after="100" w:line="276" w:lineRule="auto"/>
      <w:ind w:left="660"/>
      <w:jc w:val="left"/>
    </w:pPr>
    <w:rPr>
      <w:rFonts w:asciiTheme="minorHAnsi" w:eastAsiaTheme="minorEastAsia" w:hAnsiTheme="minorHAnsi" w:cstheme="minorBidi"/>
      <w:sz w:val="22"/>
      <w:szCs w:val="22"/>
      <w:lang w:val="fr-FR" w:eastAsia="fr-FR"/>
    </w:rPr>
  </w:style>
  <w:style w:type="paragraph" w:styleId="TOC5">
    <w:name w:val="toc 5"/>
    <w:basedOn w:val="Normal"/>
    <w:next w:val="Normal"/>
    <w:autoRedefine/>
    <w:uiPriority w:val="39"/>
    <w:unhideWhenUsed/>
    <w:rsid w:val="00EE0393"/>
    <w:pPr>
      <w:spacing w:before="0" w:after="100" w:line="276" w:lineRule="auto"/>
      <w:ind w:left="880"/>
      <w:jc w:val="left"/>
    </w:pPr>
    <w:rPr>
      <w:rFonts w:asciiTheme="minorHAnsi" w:eastAsiaTheme="minorEastAsia" w:hAnsiTheme="minorHAnsi" w:cstheme="minorBidi"/>
      <w:sz w:val="22"/>
      <w:szCs w:val="22"/>
      <w:lang w:val="fr-FR" w:eastAsia="fr-FR"/>
    </w:rPr>
  </w:style>
  <w:style w:type="paragraph" w:styleId="TOC6">
    <w:name w:val="toc 6"/>
    <w:basedOn w:val="Normal"/>
    <w:next w:val="Normal"/>
    <w:autoRedefine/>
    <w:uiPriority w:val="39"/>
    <w:unhideWhenUsed/>
    <w:rsid w:val="00EE0393"/>
    <w:pPr>
      <w:spacing w:before="0" w:after="100" w:line="276" w:lineRule="auto"/>
      <w:ind w:left="1100"/>
      <w:jc w:val="left"/>
    </w:pPr>
    <w:rPr>
      <w:rFonts w:asciiTheme="minorHAnsi" w:eastAsiaTheme="minorEastAsia" w:hAnsiTheme="minorHAnsi" w:cstheme="minorBidi"/>
      <w:sz w:val="22"/>
      <w:szCs w:val="22"/>
      <w:lang w:val="fr-FR" w:eastAsia="fr-FR"/>
    </w:rPr>
  </w:style>
  <w:style w:type="paragraph" w:styleId="TOC7">
    <w:name w:val="toc 7"/>
    <w:basedOn w:val="Normal"/>
    <w:next w:val="Normal"/>
    <w:autoRedefine/>
    <w:uiPriority w:val="39"/>
    <w:unhideWhenUsed/>
    <w:rsid w:val="00EE0393"/>
    <w:pPr>
      <w:spacing w:before="0" w:after="100" w:line="276" w:lineRule="auto"/>
      <w:ind w:left="1320"/>
      <w:jc w:val="left"/>
    </w:pPr>
    <w:rPr>
      <w:rFonts w:asciiTheme="minorHAnsi" w:eastAsiaTheme="minorEastAsia" w:hAnsiTheme="minorHAnsi" w:cstheme="minorBidi"/>
      <w:sz w:val="22"/>
      <w:szCs w:val="22"/>
      <w:lang w:val="fr-FR" w:eastAsia="fr-FR"/>
    </w:rPr>
  </w:style>
  <w:style w:type="paragraph" w:styleId="TOC8">
    <w:name w:val="toc 8"/>
    <w:basedOn w:val="Normal"/>
    <w:next w:val="Normal"/>
    <w:autoRedefine/>
    <w:uiPriority w:val="39"/>
    <w:unhideWhenUsed/>
    <w:rsid w:val="00EE0393"/>
    <w:pPr>
      <w:spacing w:before="0" w:after="100" w:line="276" w:lineRule="auto"/>
      <w:ind w:left="1540"/>
      <w:jc w:val="left"/>
    </w:pPr>
    <w:rPr>
      <w:rFonts w:asciiTheme="minorHAnsi" w:eastAsiaTheme="minorEastAsia" w:hAnsiTheme="minorHAnsi" w:cstheme="minorBidi"/>
      <w:sz w:val="22"/>
      <w:szCs w:val="22"/>
      <w:lang w:val="fr-FR" w:eastAsia="fr-FR"/>
    </w:rPr>
  </w:style>
  <w:style w:type="paragraph" w:styleId="TOC9">
    <w:name w:val="toc 9"/>
    <w:basedOn w:val="Normal"/>
    <w:next w:val="Normal"/>
    <w:autoRedefine/>
    <w:uiPriority w:val="39"/>
    <w:unhideWhenUsed/>
    <w:rsid w:val="00EE0393"/>
    <w:pPr>
      <w:spacing w:before="0" w:after="100" w:line="276" w:lineRule="auto"/>
      <w:ind w:left="1760"/>
      <w:jc w:val="left"/>
    </w:pPr>
    <w:rPr>
      <w:rFonts w:asciiTheme="minorHAnsi" w:eastAsiaTheme="minorEastAsia" w:hAnsiTheme="minorHAnsi" w:cstheme="minorBidi"/>
      <w:sz w:val="22"/>
      <w:szCs w:val="22"/>
      <w:lang w:val="fr-FR" w:eastAsia="fr-FR"/>
    </w:rPr>
  </w:style>
  <w:style w:type="table" w:customStyle="1" w:styleId="TableGrid2">
    <w:name w:val="Table Grid2"/>
    <w:basedOn w:val="TableNormal"/>
    <w:next w:val="TableGrid"/>
    <w:uiPriority w:val="59"/>
    <w:rsid w:val="00010086"/>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7848AD"/>
    <w:pPr>
      <w:spacing w:before="0" w:after="0"/>
      <w:jc w:val="left"/>
    </w:pPr>
    <w:rPr>
      <w:rFonts w:ascii="Calibri" w:eastAsiaTheme="minorHAnsi" w:hAnsi="Calibri" w:cstheme="minorBidi"/>
      <w:sz w:val="22"/>
      <w:szCs w:val="21"/>
      <w:lang w:val="en-US" w:eastAsia="en-US"/>
    </w:rPr>
  </w:style>
  <w:style w:type="character" w:customStyle="1" w:styleId="PlainTextChar">
    <w:name w:val="Plain Text Char"/>
    <w:basedOn w:val="DefaultParagraphFont"/>
    <w:link w:val="PlainText"/>
    <w:uiPriority w:val="99"/>
    <w:rsid w:val="007848AD"/>
    <w:rPr>
      <w:rFonts w:ascii="Calibri" w:eastAsiaTheme="minorHAnsi" w:hAnsi="Calibri"/>
      <w:sz w:val="22"/>
      <w:szCs w:val="21"/>
      <w:lang w:val="en-US"/>
    </w:rPr>
  </w:style>
  <w:style w:type="paragraph" w:styleId="EndnoteText">
    <w:name w:val="endnote text"/>
    <w:basedOn w:val="Normal"/>
    <w:link w:val="EndnoteTextChar"/>
    <w:uiPriority w:val="99"/>
    <w:semiHidden/>
    <w:unhideWhenUsed/>
    <w:rsid w:val="001327F3"/>
    <w:pPr>
      <w:spacing w:before="0" w:after="0"/>
    </w:pPr>
    <w:rPr>
      <w:sz w:val="20"/>
    </w:rPr>
  </w:style>
  <w:style w:type="character" w:customStyle="1" w:styleId="EndnoteTextChar">
    <w:name w:val="Endnote Text Char"/>
    <w:basedOn w:val="DefaultParagraphFont"/>
    <w:link w:val="EndnoteText"/>
    <w:uiPriority w:val="99"/>
    <w:semiHidden/>
    <w:rsid w:val="001327F3"/>
    <w:rPr>
      <w:rFonts w:ascii="Times New Roman" w:eastAsia="Calibri" w:hAnsi="Times New Roman" w:cs="Times New Roman"/>
      <w:sz w:val="20"/>
      <w:szCs w:val="20"/>
      <w:lang w:val="en-GB" w:eastAsia="en-GB"/>
    </w:rPr>
  </w:style>
  <w:style w:type="character" w:styleId="EndnoteReference">
    <w:name w:val="endnote reference"/>
    <w:basedOn w:val="DefaultParagraphFont"/>
    <w:uiPriority w:val="99"/>
    <w:semiHidden/>
    <w:unhideWhenUsed/>
    <w:rsid w:val="001327F3"/>
    <w:rPr>
      <w:vertAlign w:val="superscript"/>
    </w:rPr>
  </w:style>
  <w:style w:type="character" w:styleId="FollowedHyperlink">
    <w:name w:val="FollowedHyperlink"/>
    <w:basedOn w:val="DefaultParagraphFont"/>
    <w:uiPriority w:val="99"/>
    <w:semiHidden/>
    <w:unhideWhenUsed/>
    <w:rsid w:val="00DB39AE"/>
    <w:rPr>
      <w:color w:val="800080" w:themeColor="followedHyperlink"/>
      <w:u w:val="single"/>
    </w:rPr>
  </w:style>
  <w:style w:type="character" w:customStyle="1" w:styleId="hps">
    <w:name w:val="hps"/>
    <w:basedOn w:val="DefaultParagraphFont"/>
    <w:rsid w:val="008309AE"/>
  </w:style>
  <w:style w:type="character" w:customStyle="1" w:styleId="ListParagraphChar">
    <w:name w:val="List Paragraph Char"/>
    <w:link w:val="ListParagraph"/>
    <w:uiPriority w:val="34"/>
    <w:locked/>
    <w:rsid w:val="000F64DC"/>
    <w:rPr>
      <w:rFonts w:ascii="Times New Roman" w:eastAsia="Times New Roman" w:hAnsi="Times New Roman" w:cs="Times New Roman"/>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50891">
      <w:bodyDiv w:val="1"/>
      <w:marLeft w:val="0"/>
      <w:marRight w:val="0"/>
      <w:marTop w:val="0"/>
      <w:marBottom w:val="0"/>
      <w:divBdr>
        <w:top w:val="none" w:sz="0" w:space="0" w:color="auto"/>
        <w:left w:val="none" w:sz="0" w:space="0" w:color="auto"/>
        <w:bottom w:val="none" w:sz="0" w:space="0" w:color="auto"/>
        <w:right w:val="none" w:sz="0" w:space="0" w:color="auto"/>
      </w:divBdr>
    </w:div>
    <w:div w:id="47076259">
      <w:bodyDiv w:val="1"/>
      <w:marLeft w:val="0"/>
      <w:marRight w:val="0"/>
      <w:marTop w:val="0"/>
      <w:marBottom w:val="0"/>
      <w:divBdr>
        <w:top w:val="none" w:sz="0" w:space="0" w:color="auto"/>
        <w:left w:val="none" w:sz="0" w:space="0" w:color="auto"/>
        <w:bottom w:val="none" w:sz="0" w:space="0" w:color="auto"/>
        <w:right w:val="none" w:sz="0" w:space="0" w:color="auto"/>
      </w:divBdr>
    </w:div>
    <w:div w:id="126363611">
      <w:bodyDiv w:val="1"/>
      <w:marLeft w:val="0"/>
      <w:marRight w:val="0"/>
      <w:marTop w:val="0"/>
      <w:marBottom w:val="0"/>
      <w:divBdr>
        <w:top w:val="none" w:sz="0" w:space="0" w:color="auto"/>
        <w:left w:val="none" w:sz="0" w:space="0" w:color="auto"/>
        <w:bottom w:val="none" w:sz="0" w:space="0" w:color="auto"/>
        <w:right w:val="none" w:sz="0" w:space="0" w:color="auto"/>
      </w:divBdr>
    </w:div>
    <w:div w:id="144980353">
      <w:bodyDiv w:val="1"/>
      <w:marLeft w:val="0"/>
      <w:marRight w:val="0"/>
      <w:marTop w:val="0"/>
      <w:marBottom w:val="0"/>
      <w:divBdr>
        <w:top w:val="none" w:sz="0" w:space="0" w:color="auto"/>
        <w:left w:val="none" w:sz="0" w:space="0" w:color="auto"/>
        <w:bottom w:val="none" w:sz="0" w:space="0" w:color="auto"/>
        <w:right w:val="none" w:sz="0" w:space="0" w:color="auto"/>
      </w:divBdr>
    </w:div>
    <w:div w:id="205991232">
      <w:bodyDiv w:val="1"/>
      <w:marLeft w:val="0"/>
      <w:marRight w:val="0"/>
      <w:marTop w:val="0"/>
      <w:marBottom w:val="0"/>
      <w:divBdr>
        <w:top w:val="none" w:sz="0" w:space="0" w:color="auto"/>
        <w:left w:val="none" w:sz="0" w:space="0" w:color="auto"/>
        <w:bottom w:val="none" w:sz="0" w:space="0" w:color="auto"/>
        <w:right w:val="none" w:sz="0" w:space="0" w:color="auto"/>
      </w:divBdr>
    </w:div>
    <w:div w:id="211574386">
      <w:bodyDiv w:val="1"/>
      <w:marLeft w:val="0"/>
      <w:marRight w:val="0"/>
      <w:marTop w:val="0"/>
      <w:marBottom w:val="0"/>
      <w:divBdr>
        <w:top w:val="none" w:sz="0" w:space="0" w:color="auto"/>
        <w:left w:val="none" w:sz="0" w:space="0" w:color="auto"/>
        <w:bottom w:val="none" w:sz="0" w:space="0" w:color="auto"/>
        <w:right w:val="none" w:sz="0" w:space="0" w:color="auto"/>
      </w:divBdr>
    </w:div>
    <w:div w:id="226496726">
      <w:bodyDiv w:val="1"/>
      <w:marLeft w:val="0"/>
      <w:marRight w:val="0"/>
      <w:marTop w:val="0"/>
      <w:marBottom w:val="0"/>
      <w:divBdr>
        <w:top w:val="none" w:sz="0" w:space="0" w:color="auto"/>
        <w:left w:val="none" w:sz="0" w:space="0" w:color="auto"/>
        <w:bottom w:val="none" w:sz="0" w:space="0" w:color="auto"/>
        <w:right w:val="none" w:sz="0" w:space="0" w:color="auto"/>
      </w:divBdr>
    </w:div>
    <w:div w:id="274096848">
      <w:bodyDiv w:val="1"/>
      <w:marLeft w:val="0"/>
      <w:marRight w:val="0"/>
      <w:marTop w:val="0"/>
      <w:marBottom w:val="0"/>
      <w:divBdr>
        <w:top w:val="none" w:sz="0" w:space="0" w:color="auto"/>
        <w:left w:val="none" w:sz="0" w:space="0" w:color="auto"/>
        <w:bottom w:val="none" w:sz="0" w:space="0" w:color="auto"/>
        <w:right w:val="none" w:sz="0" w:space="0" w:color="auto"/>
      </w:divBdr>
    </w:div>
    <w:div w:id="274219786">
      <w:bodyDiv w:val="1"/>
      <w:marLeft w:val="0"/>
      <w:marRight w:val="0"/>
      <w:marTop w:val="0"/>
      <w:marBottom w:val="0"/>
      <w:divBdr>
        <w:top w:val="none" w:sz="0" w:space="0" w:color="auto"/>
        <w:left w:val="none" w:sz="0" w:space="0" w:color="auto"/>
        <w:bottom w:val="none" w:sz="0" w:space="0" w:color="auto"/>
        <w:right w:val="none" w:sz="0" w:space="0" w:color="auto"/>
      </w:divBdr>
    </w:div>
    <w:div w:id="281422476">
      <w:bodyDiv w:val="1"/>
      <w:marLeft w:val="0"/>
      <w:marRight w:val="0"/>
      <w:marTop w:val="0"/>
      <w:marBottom w:val="0"/>
      <w:divBdr>
        <w:top w:val="none" w:sz="0" w:space="0" w:color="auto"/>
        <w:left w:val="none" w:sz="0" w:space="0" w:color="auto"/>
        <w:bottom w:val="none" w:sz="0" w:space="0" w:color="auto"/>
        <w:right w:val="none" w:sz="0" w:space="0" w:color="auto"/>
      </w:divBdr>
    </w:div>
    <w:div w:id="288897934">
      <w:bodyDiv w:val="1"/>
      <w:marLeft w:val="0"/>
      <w:marRight w:val="0"/>
      <w:marTop w:val="0"/>
      <w:marBottom w:val="0"/>
      <w:divBdr>
        <w:top w:val="none" w:sz="0" w:space="0" w:color="auto"/>
        <w:left w:val="none" w:sz="0" w:space="0" w:color="auto"/>
        <w:bottom w:val="none" w:sz="0" w:space="0" w:color="auto"/>
        <w:right w:val="none" w:sz="0" w:space="0" w:color="auto"/>
      </w:divBdr>
    </w:div>
    <w:div w:id="320626090">
      <w:bodyDiv w:val="1"/>
      <w:marLeft w:val="0"/>
      <w:marRight w:val="0"/>
      <w:marTop w:val="0"/>
      <w:marBottom w:val="0"/>
      <w:divBdr>
        <w:top w:val="none" w:sz="0" w:space="0" w:color="auto"/>
        <w:left w:val="none" w:sz="0" w:space="0" w:color="auto"/>
        <w:bottom w:val="none" w:sz="0" w:space="0" w:color="auto"/>
        <w:right w:val="none" w:sz="0" w:space="0" w:color="auto"/>
      </w:divBdr>
    </w:div>
    <w:div w:id="330522071">
      <w:bodyDiv w:val="1"/>
      <w:marLeft w:val="0"/>
      <w:marRight w:val="0"/>
      <w:marTop w:val="0"/>
      <w:marBottom w:val="0"/>
      <w:divBdr>
        <w:top w:val="none" w:sz="0" w:space="0" w:color="auto"/>
        <w:left w:val="none" w:sz="0" w:space="0" w:color="auto"/>
        <w:bottom w:val="none" w:sz="0" w:space="0" w:color="auto"/>
        <w:right w:val="none" w:sz="0" w:space="0" w:color="auto"/>
      </w:divBdr>
    </w:div>
    <w:div w:id="379481841">
      <w:bodyDiv w:val="1"/>
      <w:marLeft w:val="0"/>
      <w:marRight w:val="0"/>
      <w:marTop w:val="0"/>
      <w:marBottom w:val="0"/>
      <w:divBdr>
        <w:top w:val="none" w:sz="0" w:space="0" w:color="auto"/>
        <w:left w:val="none" w:sz="0" w:space="0" w:color="auto"/>
        <w:bottom w:val="none" w:sz="0" w:space="0" w:color="auto"/>
        <w:right w:val="none" w:sz="0" w:space="0" w:color="auto"/>
      </w:divBdr>
    </w:div>
    <w:div w:id="632953876">
      <w:bodyDiv w:val="1"/>
      <w:marLeft w:val="0"/>
      <w:marRight w:val="0"/>
      <w:marTop w:val="0"/>
      <w:marBottom w:val="0"/>
      <w:divBdr>
        <w:top w:val="none" w:sz="0" w:space="0" w:color="auto"/>
        <w:left w:val="none" w:sz="0" w:space="0" w:color="auto"/>
        <w:bottom w:val="none" w:sz="0" w:space="0" w:color="auto"/>
        <w:right w:val="none" w:sz="0" w:space="0" w:color="auto"/>
      </w:divBdr>
    </w:div>
    <w:div w:id="670377933">
      <w:bodyDiv w:val="1"/>
      <w:marLeft w:val="0"/>
      <w:marRight w:val="0"/>
      <w:marTop w:val="0"/>
      <w:marBottom w:val="0"/>
      <w:divBdr>
        <w:top w:val="none" w:sz="0" w:space="0" w:color="auto"/>
        <w:left w:val="none" w:sz="0" w:space="0" w:color="auto"/>
        <w:bottom w:val="none" w:sz="0" w:space="0" w:color="auto"/>
        <w:right w:val="none" w:sz="0" w:space="0" w:color="auto"/>
      </w:divBdr>
    </w:div>
    <w:div w:id="681472119">
      <w:bodyDiv w:val="1"/>
      <w:marLeft w:val="0"/>
      <w:marRight w:val="0"/>
      <w:marTop w:val="0"/>
      <w:marBottom w:val="0"/>
      <w:divBdr>
        <w:top w:val="none" w:sz="0" w:space="0" w:color="auto"/>
        <w:left w:val="none" w:sz="0" w:space="0" w:color="auto"/>
        <w:bottom w:val="none" w:sz="0" w:space="0" w:color="auto"/>
        <w:right w:val="none" w:sz="0" w:space="0" w:color="auto"/>
      </w:divBdr>
    </w:div>
    <w:div w:id="685331055">
      <w:bodyDiv w:val="1"/>
      <w:marLeft w:val="0"/>
      <w:marRight w:val="0"/>
      <w:marTop w:val="0"/>
      <w:marBottom w:val="0"/>
      <w:divBdr>
        <w:top w:val="none" w:sz="0" w:space="0" w:color="auto"/>
        <w:left w:val="none" w:sz="0" w:space="0" w:color="auto"/>
        <w:bottom w:val="none" w:sz="0" w:space="0" w:color="auto"/>
        <w:right w:val="none" w:sz="0" w:space="0" w:color="auto"/>
      </w:divBdr>
    </w:div>
    <w:div w:id="702752625">
      <w:bodyDiv w:val="1"/>
      <w:marLeft w:val="0"/>
      <w:marRight w:val="0"/>
      <w:marTop w:val="0"/>
      <w:marBottom w:val="0"/>
      <w:divBdr>
        <w:top w:val="none" w:sz="0" w:space="0" w:color="auto"/>
        <w:left w:val="none" w:sz="0" w:space="0" w:color="auto"/>
        <w:bottom w:val="none" w:sz="0" w:space="0" w:color="auto"/>
        <w:right w:val="none" w:sz="0" w:space="0" w:color="auto"/>
      </w:divBdr>
    </w:div>
    <w:div w:id="743843281">
      <w:bodyDiv w:val="1"/>
      <w:marLeft w:val="0"/>
      <w:marRight w:val="0"/>
      <w:marTop w:val="0"/>
      <w:marBottom w:val="0"/>
      <w:divBdr>
        <w:top w:val="none" w:sz="0" w:space="0" w:color="auto"/>
        <w:left w:val="none" w:sz="0" w:space="0" w:color="auto"/>
        <w:bottom w:val="none" w:sz="0" w:space="0" w:color="auto"/>
        <w:right w:val="none" w:sz="0" w:space="0" w:color="auto"/>
      </w:divBdr>
    </w:div>
    <w:div w:id="759639568">
      <w:bodyDiv w:val="1"/>
      <w:marLeft w:val="0"/>
      <w:marRight w:val="0"/>
      <w:marTop w:val="0"/>
      <w:marBottom w:val="0"/>
      <w:divBdr>
        <w:top w:val="none" w:sz="0" w:space="0" w:color="auto"/>
        <w:left w:val="none" w:sz="0" w:space="0" w:color="auto"/>
        <w:bottom w:val="none" w:sz="0" w:space="0" w:color="auto"/>
        <w:right w:val="none" w:sz="0" w:space="0" w:color="auto"/>
      </w:divBdr>
    </w:div>
    <w:div w:id="774060567">
      <w:bodyDiv w:val="1"/>
      <w:marLeft w:val="0"/>
      <w:marRight w:val="0"/>
      <w:marTop w:val="0"/>
      <w:marBottom w:val="0"/>
      <w:divBdr>
        <w:top w:val="none" w:sz="0" w:space="0" w:color="auto"/>
        <w:left w:val="none" w:sz="0" w:space="0" w:color="auto"/>
        <w:bottom w:val="none" w:sz="0" w:space="0" w:color="auto"/>
        <w:right w:val="none" w:sz="0" w:space="0" w:color="auto"/>
      </w:divBdr>
    </w:div>
    <w:div w:id="810054201">
      <w:bodyDiv w:val="1"/>
      <w:marLeft w:val="0"/>
      <w:marRight w:val="0"/>
      <w:marTop w:val="0"/>
      <w:marBottom w:val="0"/>
      <w:divBdr>
        <w:top w:val="none" w:sz="0" w:space="0" w:color="auto"/>
        <w:left w:val="none" w:sz="0" w:space="0" w:color="auto"/>
        <w:bottom w:val="none" w:sz="0" w:space="0" w:color="auto"/>
        <w:right w:val="none" w:sz="0" w:space="0" w:color="auto"/>
      </w:divBdr>
    </w:div>
    <w:div w:id="887834689">
      <w:bodyDiv w:val="1"/>
      <w:marLeft w:val="0"/>
      <w:marRight w:val="0"/>
      <w:marTop w:val="0"/>
      <w:marBottom w:val="0"/>
      <w:divBdr>
        <w:top w:val="none" w:sz="0" w:space="0" w:color="auto"/>
        <w:left w:val="none" w:sz="0" w:space="0" w:color="auto"/>
        <w:bottom w:val="none" w:sz="0" w:space="0" w:color="auto"/>
        <w:right w:val="none" w:sz="0" w:space="0" w:color="auto"/>
      </w:divBdr>
    </w:div>
    <w:div w:id="903951791">
      <w:bodyDiv w:val="1"/>
      <w:marLeft w:val="0"/>
      <w:marRight w:val="0"/>
      <w:marTop w:val="0"/>
      <w:marBottom w:val="0"/>
      <w:divBdr>
        <w:top w:val="none" w:sz="0" w:space="0" w:color="auto"/>
        <w:left w:val="none" w:sz="0" w:space="0" w:color="auto"/>
        <w:bottom w:val="none" w:sz="0" w:space="0" w:color="auto"/>
        <w:right w:val="none" w:sz="0" w:space="0" w:color="auto"/>
      </w:divBdr>
    </w:div>
    <w:div w:id="905453625">
      <w:bodyDiv w:val="1"/>
      <w:marLeft w:val="0"/>
      <w:marRight w:val="0"/>
      <w:marTop w:val="0"/>
      <w:marBottom w:val="0"/>
      <w:divBdr>
        <w:top w:val="none" w:sz="0" w:space="0" w:color="auto"/>
        <w:left w:val="none" w:sz="0" w:space="0" w:color="auto"/>
        <w:bottom w:val="none" w:sz="0" w:space="0" w:color="auto"/>
        <w:right w:val="none" w:sz="0" w:space="0" w:color="auto"/>
      </w:divBdr>
    </w:div>
    <w:div w:id="906958547">
      <w:bodyDiv w:val="1"/>
      <w:marLeft w:val="0"/>
      <w:marRight w:val="0"/>
      <w:marTop w:val="0"/>
      <w:marBottom w:val="0"/>
      <w:divBdr>
        <w:top w:val="none" w:sz="0" w:space="0" w:color="auto"/>
        <w:left w:val="none" w:sz="0" w:space="0" w:color="auto"/>
        <w:bottom w:val="none" w:sz="0" w:space="0" w:color="auto"/>
        <w:right w:val="none" w:sz="0" w:space="0" w:color="auto"/>
      </w:divBdr>
    </w:div>
    <w:div w:id="955913887">
      <w:bodyDiv w:val="1"/>
      <w:marLeft w:val="0"/>
      <w:marRight w:val="0"/>
      <w:marTop w:val="0"/>
      <w:marBottom w:val="0"/>
      <w:divBdr>
        <w:top w:val="none" w:sz="0" w:space="0" w:color="auto"/>
        <w:left w:val="none" w:sz="0" w:space="0" w:color="auto"/>
        <w:bottom w:val="none" w:sz="0" w:space="0" w:color="auto"/>
        <w:right w:val="none" w:sz="0" w:space="0" w:color="auto"/>
      </w:divBdr>
    </w:div>
    <w:div w:id="964190200">
      <w:bodyDiv w:val="1"/>
      <w:marLeft w:val="0"/>
      <w:marRight w:val="0"/>
      <w:marTop w:val="0"/>
      <w:marBottom w:val="0"/>
      <w:divBdr>
        <w:top w:val="none" w:sz="0" w:space="0" w:color="auto"/>
        <w:left w:val="none" w:sz="0" w:space="0" w:color="auto"/>
        <w:bottom w:val="none" w:sz="0" w:space="0" w:color="auto"/>
        <w:right w:val="none" w:sz="0" w:space="0" w:color="auto"/>
      </w:divBdr>
    </w:div>
    <w:div w:id="1003244825">
      <w:bodyDiv w:val="1"/>
      <w:marLeft w:val="0"/>
      <w:marRight w:val="0"/>
      <w:marTop w:val="0"/>
      <w:marBottom w:val="0"/>
      <w:divBdr>
        <w:top w:val="none" w:sz="0" w:space="0" w:color="auto"/>
        <w:left w:val="none" w:sz="0" w:space="0" w:color="auto"/>
        <w:bottom w:val="none" w:sz="0" w:space="0" w:color="auto"/>
        <w:right w:val="none" w:sz="0" w:space="0" w:color="auto"/>
      </w:divBdr>
    </w:div>
    <w:div w:id="1033044936">
      <w:bodyDiv w:val="1"/>
      <w:marLeft w:val="0"/>
      <w:marRight w:val="0"/>
      <w:marTop w:val="0"/>
      <w:marBottom w:val="0"/>
      <w:divBdr>
        <w:top w:val="none" w:sz="0" w:space="0" w:color="auto"/>
        <w:left w:val="none" w:sz="0" w:space="0" w:color="auto"/>
        <w:bottom w:val="none" w:sz="0" w:space="0" w:color="auto"/>
        <w:right w:val="none" w:sz="0" w:space="0" w:color="auto"/>
      </w:divBdr>
    </w:div>
    <w:div w:id="1063605228">
      <w:bodyDiv w:val="1"/>
      <w:marLeft w:val="0"/>
      <w:marRight w:val="0"/>
      <w:marTop w:val="0"/>
      <w:marBottom w:val="0"/>
      <w:divBdr>
        <w:top w:val="none" w:sz="0" w:space="0" w:color="auto"/>
        <w:left w:val="none" w:sz="0" w:space="0" w:color="auto"/>
        <w:bottom w:val="none" w:sz="0" w:space="0" w:color="auto"/>
        <w:right w:val="none" w:sz="0" w:space="0" w:color="auto"/>
      </w:divBdr>
    </w:div>
    <w:div w:id="1075474884">
      <w:bodyDiv w:val="1"/>
      <w:marLeft w:val="0"/>
      <w:marRight w:val="0"/>
      <w:marTop w:val="0"/>
      <w:marBottom w:val="0"/>
      <w:divBdr>
        <w:top w:val="none" w:sz="0" w:space="0" w:color="auto"/>
        <w:left w:val="none" w:sz="0" w:space="0" w:color="auto"/>
        <w:bottom w:val="none" w:sz="0" w:space="0" w:color="auto"/>
        <w:right w:val="none" w:sz="0" w:space="0" w:color="auto"/>
      </w:divBdr>
    </w:div>
    <w:div w:id="1093211263">
      <w:bodyDiv w:val="1"/>
      <w:marLeft w:val="0"/>
      <w:marRight w:val="0"/>
      <w:marTop w:val="0"/>
      <w:marBottom w:val="0"/>
      <w:divBdr>
        <w:top w:val="none" w:sz="0" w:space="0" w:color="auto"/>
        <w:left w:val="none" w:sz="0" w:space="0" w:color="auto"/>
        <w:bottom w:val="none" w:sz="0" w:space="0" w:color="auto"/>
        <w:right w:val="none" w:sz="0" w:space="0" w:color="auto"/>
      </w:divBdr>
    </w:div>
    <w:div w:id="1131290410">
      <w:bodyDiv w:val="1"/>
      <w:marLeft w:val="0"/>
      <w:marRight w:val="0"/>
      <w:marTop w:val="0"/>
      <w:marBottom w:val="0"/>
      <w:divBdr>
        <w:top w:val="none" w:sz="0" w:space="0" w:color="auto"/>
        <w:left w:val="none" w:sz="0" w:space="0" w:color="auto"/>
        <w:bottom w:val="none" w:sz="0" w:space="0" w:color="auto"/>
        <w:right w:val="none" w:sz="0" w:space="0" w:color="auto"/>
      </w:divBdr>
    </w:div>
    <w:div w:id="1144128320">
      <w:bodyDiv w:val="1"/>
      <w:marLeft w:val="0"/>
      <w:marRight w:val="0"/>
      <w:marTop w:val="0"/>
      <w:marBottom w:val="0"/>
      <w:divBdr>
        <w:top w:val="none" w:sz="0" w:space="0" w:color="auto"/>
        <w:left w:val="none" w:sz="0" w:space="0" w:color="auto"/>
        <w:bottom w:val="none" w:sz="0" w:space="0" w:color="auto"/>
        <w:right w:val="none" w:sz="0" w:space="0" w:color="auto"/>
      </w:divBdr>
    </w:div>
    <w:div w:id="1176503672">
      <w:bodyDiv w:val="1"/>
      <w:marLeft w:val="0"/>
      <w:marRight w:val="0"/>
      <w:marTop w:val="0"/>
      <w:marBottom w:val="0"/>
      <w:divBdr>
        <w:top w:val="none" w:sz="0" w:space="0" w:color="auto"/>
        <w:left w:val="none" w:sz="0" w:space="0" w:color="auto"/>
        <w:bottom w:val="none" w:sz="0" w:space="0" w:color="auto"/>
        <w:right w:val="none" w:sz="0" w:space="0" w:color="auto"/>
      </w:divBdr>
    </w:div>
    <w:div w:id="1194223408">
      <w:bodyDiv w:val="1"/>
      <w:marLeft w:val="0"/>
      <w:marRight w:val="0"/>
      <w:marTop w:val="0"/>
      <w:marBottom w:val="0"/>
      <w:divBdr>
        <w:top w:val="none" w:sz="0" w:space="0" w:color="auto"/>
        <w:left w:val="none" w:sz="0" w:space="0" w:color="auto"/>
        <w:bottom w:val="none" w:sz="0" w:space="0" w:color="auto"/>
        <w:right w:val="none" w:sz="0" w:space="0" w:color="auto"/>
      </w:divBdr>
    </w:div>
    <w:div w:id="1251504534">
      <w:bodyDiv w:val="1"/>
      <w:marLeft w:val="0"/>
      <w:marRight w:val="0"/>
      <w:marTop w:val="0"/>
      <w:marBottom w:val="0"/>
      <w:divBdr>
        <w:top w:val="none" w:sz="0" w:space="0" w:color="auto"/>
        <w:left w:val="none" w:sz="0" w:space="0" w:color="auto"/>
        <w:bottom w:val="none" w:sz="0" w:space="0" w:color="auto"/>
        <w:right w:val="none" w:sz="0" w:space="0" w:color="auto"/>
      </w:divBdr>
    </w:div>
    <w:div w:id="1252549872">
      <w:bodyDiv w:val="1"/>
      <w:marLeft w:val="0"/>
      <w:marRight w:val="0"/>
      <w:marTop w:val="0"/>
      <w:marBottom w:val="0"/>
      <w:divBdr>
        <w:top w:val="none" w:sz="0" w:space="0" w:color="auto"/>
        <w:left w:val="none" w:sz="0" w:space="0" w:color="auto"/>
        <w:bottom w:val="none" w:sz="0" w:space="0" w:color="auto"/>
        <w:right w:val="none" w:sz="0" w:space="0" w:color="auto"/>
      </w:divBdr>
    </w:div>
    <w:div w:id="1305964358">
      <w:bodyDiv w:val="1"/>
      <w:marLeft w:val="0"/>
      <w:marRight w:val="0"/>
      <w:marTop w:val="0"/>
      <w:marBottom w:val="0"/>
      <w:divBdr>
        <w:top w:val="none" w:sz="0" w:space="0" w:color="auto"/>
        <w:left w:val="none" w:sz="0" w:space="0" w:color="auto"/>
        <w:bottom w:val="none" w:sz="0" w:space="0" w:color="auto"/>
        <w:right w:val="none" w:sz="0" w:space="0" w:color="auto"/>
      </w:divBdr>
    </w:div>
    <w:div w:id="1325157918">
      <w:bodyDiv w:val="1"/>
      <w:marLeft w:val="0"/>
      <w:marRight w:val="0"/>
      <w:marTop w:val="0"/>
      <w:marBottom w:val="0"/>
      <w:divBdr>
        <w:top w:val="none" w:sz="0" w:space="0" w:color="auto"/>
        <w:left w:val="none" w:sz="0" w:space="0" w:color="auto"/>
        <w:bottom w:val="none" w:sz="0" w:space="0" w:color="auto"/>
        <w:right w:val="none" w:sz="0" w:space="0" w:color="auto"/>
      </w:divBdr>
    </w:div>
    <w:div w:id="1351641470">
      <w:bodyDiv w:val="1"/>
      <w:marLeft w:val="0"/>
      <w:marRight w:val="0"/>
      <w:marTop w:val="0"/>
      <w:marBottom w:val="0"/>
      <w:divBdr>
        <w:top w:val="none" w:sz="0" w:space="0" w:color="auto"/>
        <w:left w:val="none" w:sz="0" w:space="0" w:color="auto"/>
        <w:bottom w:val="none" w:sz="0" w:space="0" w:color="auto"/>
        <w:right w:val="none" w:sz="0" w:space="0" w:color="auto"/>
      </w:divBdr>
    </w:div>
    <w:div w:id="1420373576">
      <w:bodyDiv w:val="1"/>
      <w:marLeft w:val="0"/>
      <w:marRight w:val="0"/>
      <w:marTop w:val="0"/>
      <w:marBottom w:val="0"/>
      <w:divBdr>
        <w:top w:val="none" w:sz="0" w:space="0" w:color="auto"/>
        <w:left w:val="none" w:sz="0" w:space="0" w:color="auto"/>
        <w:bottom w:val="none" w:sz="0" w:space="0" w:color="auto"/>
        <w:right w:val="none" w:sz="0" w:space="0" w:color="auto"/>
      </w:divBdr>
    </w:div>
    <w:div w:id="1428185622">
      <w:bodyDiv w:val="1"/>
      <w:marLeft w:val="0"/>
      <w:marRight w:val="0"/>
      <w:marTop w:val="0"/>
      <w:marBottom w:val="0"/>
      <w:divBdr>
        <w:top w:val="none" w:sz="0" w:space="0" w:color="auto"/>
        <w:left w:val="none" w:sz="0" w:space="0" w:color="auto"/>
        <w:bottom w:val="none" w:sz="0" w:space="0" w:color="auto"/>
        <w:right w:val="none" w:sz="0" w:space="0" w:color="auto"/>
      </w:divBdr>
    </w:div>
    <w:div w:id="1433696899">
      <w:bodyDiv w:val="1"/>
      <w:marLeft w:val="0"/>
      <w:marRight w:val="0"/>
      <w:marTop w:val="0"/>
      <w:marBottom w:val="0"/>
      <w:divBdr>
        <w:top w:val="none" w:sz="0" w:space="0" w:color="auto"/>
        <w:left w:val="none" w:sz="0" w:space="0" w:color="auto"/>
        <w:bottom w:val="none" w:sz="0" w:space="0" w:color="auto"/>
        <w:right w:val="none" w:sz="0" w:space="0" w:color="auto"/>
      </w:divBdr>
    </w:div>
    <w:div w:id="1444760435">
      <w:bodyDiv w:val="1"/>
      <w:marLeft w:val="0"/>
      <w:marRight w:val="0"/>
      <w:marTop w:val="0"/>
      <w:marBottom w:val="0"/>
      <w:divBdr>
        <w:top w:val="none" w:sz="0" w:space="0" w:color="auto"/>
        <w:left w:val="none" w:sz="0" w:space="0" w:color="auto"/>
        <w:bottom w:val="none" w:sz="0" w:space="0" w:color="auto"/>
        <w:right w:val="none" w:sz="0" w:space="0" w:color="auto"/>
      </w:divBdr>
    </w:div>
    <w:div w:id="1454712081">
      <w:bodyDiv w:val="1"/>
      <w:marLeft w:val="0"/>
      <w:marRight w:val="0"/>
      <w:marTop w:val="0"/>
      <w:marBottom w:val="0"/>
      <w:divBdr>
        <w:top w:val="none" w:sz="0" w:space="0" w:color="auto"/>
        <w:left w:val="none" w:sz="0" w:space="0" w:color="auto"/>
        <w:bottom w:val="none" w:sz="0" w:space="0" w:color="auto"/>
        <w:right w:val="none" w:sz="0" w:space="0" w:color="auto"/>
      </w:divBdr>
    </w:div>
    <w:div w:id="1480920860">
      <w:bodyDiv w:val="1"/>
      <w:marLeft w:val="0"/>
      <w:marRight w:val="0"/>
      <w:marTop w:val="0"/>
      <w:marBottom w:val="0"/>
      <w:divBdr>
        <w:top w:val="none" w:sz="0" w:space="0" w:color="auto"/>
        <w:left w:val="none" w:sz="0" w:space="0" w:color="auto"/>
        <w:bottom w:val="none" w:sz="0" w:space="0" w:color="auto"/>
        <w:right w:val="none" w:sz="0" w:space="0" w:color="auto"/>
      </w:divBdr>
    </w:div>
    <w:div w:id="1508666069">
      <w:bodyDiv w:val="1"/>
      <w:marLeft w:val="0"/>
      <w:marRight w:val="0"/>
      <w:marTop w:val="0"/>
      <w:marBottom w:val="0"/>
      <w:divBdr>
        <w:top w:val="none" w:sz="0" w:space="0" w:color="auto"/>
        <w:left w:val="none" w:sz="0" w:space="0" w:color="auto"/>
        <w:bottom w:val="none" w:sz="0" w:space="0" w:color="auto"/>
        <w:right w:val="none" w:sz="0" w:space="0" w:color="auto"/>
      </w:divBdr>
    </w:div>
    <w:div w:id="1528831308">
      <w:bodyDiv w:val="1"/>
      <w:marLeft w:val="0"/>
      <w:marRight w:val="0"/>
      <w:marTop w:val="0"/>
      <w:marBottom w:val="0"/>
      <w:divBdr>
        <w:top w:val="none" w:sz="0" w:space="0" w:color="auto"/>
        <w:left w:val="none" w:sz="0" w:space="0" w:color="auto"/>
        <w:bottom w:val="none" w:sz="0" w:space="0" w:color="auto"/>
        <w:right w:val="none" w:sz="0" w:space="0" w:color="auto"/>
      </w:divBdr>
    </w:div>
    <w:div w:id="1538735606">
      <w:bodyDiv w:val="1"/>
      <w:marLeft w:val="0"/>
      <w:marRight w:val="0"/>
      <w:marTop w:val="0"/>
      <w:marBottom w:val="0"/>
      <w:divBdr>
        <w:top w:val="none" w:sz="0" w:space="0" w:color="auto"/>
        <w:left w:val="none" w:sz="0" w:space="0" w:color="auto"/>
        <w:bottom w:val="none" w:sz="0" w:space="0" w:color="auto"/>
        <w:right w:val="none" w:sz="0" w:space="0" w:color="auto"/>
      </w:divBdr>
    </w:div>
    <w:div w:id="1539317882">
      <w:bodyDiv w:val="1"/>
      <w:marLeft w:val="0"/>
      <w:marRight w:val="0"/>
      <w:marTop w:val="0"/>
      <w:marBottom w:val="0"/>
      <w:divBdr>
        <w:top w:val="none" w:sz="0" w:space="0" w:color="auto"/>
        <w:left w:val="none" w:sz="0" w:space="0" w:color="auto"/>
        <w:bottom w:val="none" w:sz="0" w:space="0" w:color="auto"/>
        <w:right w:val="none" w:sz="0" w:space="0" w:color="auto"/>
      </w:divBdr>
    </w:div>
    <w:div w:id="1666974134">
      <w:bodyDiv w:val="1"/>
      <w:marLeft w:val="0"/>
      <w:marRight w:val="0"/>
      <w:marTop w:val="0"/>
      <w:marBottom w:val="0"/>
      <w:divBdr>
        <w:top w:val="none" w:sz="0" w:space="0" w:color="auto"/>
        <w:left w:val="none" w:sz="0" w:space="0" w:color="auto"/>
        <w:bottom w:val="none" w:sz="0" w:space="0" w:color="auto"/>
        <w:right w:val="none" w:sz="0" w:space="0" w:color="auto"/>
      </w:divBdr>
    </w:div>
    <w:div w:id="1681348050">
      <w:bodyDiv w:val="1"/>
      <w:marLeft w:val="0"/>
      <w:marRight w:val="0"/>
      <w:marTop w:val="0"/>
      <w:marBottom w:val="0"/>
      <w:divBdr>
        <w:top w:val="none" w:sz="0" w:space="0" w:color="auto"/>
        <w:left w:val="none" w:sz="0" w:space="0" w:color="auto"/>
        <w:bottom w:val="none" w:sz="0" w:space="0" w:color="auto"/>
        <w:right w:val="none" w:sz="0" w:space="0" w:color="auto"/>
      </w:divBdr>
    </w:div>
    <w:div w:id="1683386571">
      <w:bodyDiv w:val="1"/>
      <w:marLeft w:val="0"/>
      <w:marRight w:val="0"/>
      <w:marTop w:val="0"/>
      <w:marBottom w:val="0"/>
      <w:divBdr>
        <w:top w:val="none" w:sz="0" w:space="0" w:color="auto"/>
        <w:left w:val="none" w:sz="0" w:space="0" w:color="auto"/>
        <w:bottom w:val="none" w:sz="0" w:space="0" w:color="auto"/>
        <w:right w:val="none" w:sz="0" w:space="0" w:color="auto"/>
      </w:divBdr>
    </w:div>
    <w:div w:id="1698118683">
      <w:bodyDiv w:val="1"/>
      <w:marLeft w:val="0"/>
      <w:marRight w:val="0"/>
      <w:marTop w:val="0"/>
      <w:marBottom w:val="0"/>
      <w:divBdr>
        <w:top w:val="none" w:sz="0" w:space="0" w:color="auto"/>
        <w:left w:val="none" w:sz="0" w:space="0" w:color="auto"/>
        <w:bottom w:val="none" w:sz="0" w:space="0" w:color="auto"/>
        <w:right w:val="none" w:sz="0" w:space="0" w:color="auto"/>
      </w:divBdr>
    </w:div>
    <w:div w:id="1741555671">
      <w:bodyDiv w:val="1"/>
      <w:marLeft w:val="0"/>
      <w:marRight w:val="0"/>
      <w:marTop w:val="0"/>
      <w:marBottom w:val="0"/>
      <w:divBdr>
        <w:top w:val="none" w:sz="0" w:space="0" w:color="auto"/>
        <w:left w:val="none" w:sz="0" w:space="0" w:color="auto"/>
        <w:bottom w:val="none" w:sz="0" w:space="0" w:color="auto"/>
        <w:right w:val="none" w:sz="0" w:space="0" w:color="auto"/>
      </w:divBdr>
    </w:div>
    <w:div w:id="1746607820">
      <w:bodyDiv w:val="1"/>
      <w:marLeft w:val="0"/>
      <w:marRight w:val="0"/>
      <w:marTop w:val="0"/>
      <w:marBottom w:val="0"/>
      <w:divBdr>
        <w:top w:val="none" w:sz="0" w:space="0" w:color="auto"/>
        <w:left w:val="none" w:sz="0" w:space="0" w:color="auto"/>
        <w:bottom w:val="none" w:sz="0" w:space="0" w:color="auto"/>
        <w:right w:val="none" w:sz="0" w:space="0" w:color="auto"/>
      </w:divBdr>
    </w:div>
    <w:div w:id="1756975334">
      <w:bodyDiv w:val="1"/>
      <w:marLeft w:val="0"/>
      <w:marRight w:val="0"/>
      <w:marTop w:val="0"/>
      <w:marBottom w:val="0"/>
      <w:divBdr>
        <w:top w:val="none" w:sz="0" w:space="0" w:color="auto"/>
        <w:left w:val="none" w:sz="0" w:space="0" w:color="auto"/>
        <w:bottom w:val="none" w:sz="0" w:space="0" w:color="auto"/>
        <w:right w:val="none" w:sz="0" w:space="0" w:color="auto"/>
      </w:divBdr>
    </w:div>
    <w:div w:id="1759519149">
      <w:bodyDiv w:val="1"/>
      <w:marLeft w:val="0"/>
      <w:marRight w:val="0"/>
      <w:marTop w:val="0"/>
      <w:marBottom w:val="0"/>
      <w:divBdr>
        <w:top w:val="none" w:sz="0" w:space="0" w:color="auto"/>
        <w:left w:val="none" w:sz="0" w:space="0" w:color="auto"/>
        <w:bottom w:val="none" w:sz="0" w:space="0" w:color="auto"/>
        <w:right w:val="none" w:sz="0" w:space="0" w:color="auto"/>
      </w:divBdr>
    </w:div>
    <w:div w:id="1760559842">
      <w:bodyDiv w:val="1"/>
      <w:marLeft w:val="0"/>
      <w:marRight w:val="0"/>
      <w:marTop w:val="0"/>
      <w:marBottom w:val="0"/>
      <w:divBdr>
        <w:top w:val="none" w:sz="0" w:space="0" w:color="auto"/>
        <w:left w:val="none" w:sz="0" w:space="0" w:color="auto"/>
        <w:bottom w:val="none" w:sz="0" w:space="0" w:color="auto"/>
        <w:right w:val="none" w:sz="0" w:space="0" w:color="auto"/>
      </w:divBdr>
    </w:div>
    <w:div w:id="1766225728">
      <w:bodyDiv w:val="1"/>
      <w:marLeft w:val="0"/>
      <w:marRight w:val="0"/>
      <w:marTop w:val="0"/>
      <w:marBottom w:val="0"/>
      <w:divBdr>
        <w:top w:val="none" w:sz="0" w:space="0" w:color="auto"/>
        <w:left w:val="none" w:sz="0" w:space="0" w:color="auto"/>
        <w:bottom w:val="none" w:sz="0" w:space="0" w:color="auto"/>
        <w:right w:val="none" w:sz="0" w:space="0" w:color="auto"/>
      </w:divBdr>
    </w:div>
    <w:div w:id="1771927328">
      <w:bodyDiv w:val="1"/>
      <w:marLeft w:val="0"/>
      <w:marRight w:val="0"/>
      <w:marTop w:val="0"/>
      <w:marBottom w:val="0"/>
      <w:divBdr>
        <w:top w:val="none" w:sz="0" w:space="0" w:color="auto"/>
        <w:left w:val="none" w:sz="0" w:space="0" w:color="auto"/>
        <w:bottom w:val="none" w:sz="0" w:space="0" w:color="auto"/>
        <w:right w:val="none" w:sz="0" w:space="0" w:color="auto"/>
      </w:divBdr>
    </w:div>
    <w:div w:id="1838840099">
      <w:bodyDiv w:val="1"/>
      <w:marLeft w:val="0"/>
      <w:marRight w:val="0"/>
      <w:marTop w:val="0"/>
      <w:marBottom w:val="0"/>
      <w:divBdr>
        <w:top w:val="none" w:sz="0" w:space="0" w:color="auto"/>
        <w:left w:val="none" w:sz="0" w:space="0" w:color="auto"/>
        <w:bottom w:val="none" w:sz="0" w:space="0" w:color="auto"/>
        <w:right w:val="none" w:sz="0" w:space="0" w:color="auto"/>
      </w:divBdr>
    </w:div>
    <w:div w:id="1872259885">
      <w:bodyDiv w:val="1"/>
      <w:marLeft w:val="0"/>
      <w:marRight w:val="0"/>
      <w:marTop w:val="0"/>
      <w:marBottom w:val="0"/>
      <w:divBdr>
        <w:top w:val="none" w:sz="0" w:space="0" w:color="auto"/>
        <w:left w:val="none" w:sz="0" w:space="0" w:color="auto"/>
        <w:bottom w:val="none" w:sz="0" w:space="0" w:color="auto"/>
        <w:right w:val="none" w:sz="0" w:space="0" w:color="auto"/>
      </w:divBdr>
    </w:div>
    <w:div w:id="1937400310">
      <w:bodyDiv w:val="1"/>
      <w:marLeft w:val="0"/>
      <w:marRight w:val="0"/>
      <w:marTop w:val="0"/>
      <w:marBottom w:val="0"/>
      <w:divBdr>
        <w:top w:val="none" w:sz="0" w:space="0" w:color="auto"/>
        <w:left w:val="none" w:sz="0" w:space="0" w:color="auto"/>
        <w:bottom w:val="none" w:sz="0" w:space="0" w:color="auto"/>
        <w:right w:val="none" w:sz="0" w:space="0" w:color="auto"/>
      </w:divBdr>
    </w:div>
    <w:div w:id="1948345610">
      <w:bodyDiv w:val="1"/>
      <w:marLeft w:val="0"/>
      <w:marRight w:val="0"/>
      <w:marTop w:val="0"/>
      <w:marBottom w:val="0"/>
      <w:divBdr>
        <w:top w:val="none" w:sz="0" w:space="0" w:color="auto"/>
        <w:left w:val="none" w:sz="0" w:space="0" w:color="auto"/>
        <w:bottom w:val="none" w:sz="0" w:space="0" w:color="auto"/>
        <w:right w:val="none" w:sz="0" w:space="0" w:color="auto"/>
      </w:divBdr>
    </w:div>
    <w:div w:id="2067875566">
      <w:bodyDiv w:val="1"/>
      <w:marLeft w:val="0"/>
      <w:marRight w:val="0"/>
      <w:marTop w:val="0"/>
      <w:marBottom w:val="0"/>
      <w:divBdr>
        <w:top w:val="none" w:sz="0" w:space="0" w:color="auto"/>
        <w:left w:val="none" w:sz="0" w:space="0" w:color="auto"/>
        <w:bottom w:val="none" w:sz="0" w:space="0" w:color="auto"/>
        <w:right w:val="none" w:sz="0" w:space="0" w:color="auto"/>
      </w:divBdr>
    </w:div>
    <w:div w:id="2080323671">
      <w:bodyDiv w:val="1"/>
      <w:marLeft w:val="0"/>
      <w:marRight w:val="0"/>
      <w:marTop w:val="0"/>
      <w:marBottom w:val="0"/>
      <w:divBdr>
        <w:top w:val="none" w:sz="0" w:space="0" w:color="auto"/>
        <w:left w:val="none" w:sz="0" w:space="0" w:color="auto"/>
        <w:bottom w:val="none" w:sz="0" w:space="0" w:color="auto"/>
        <w:right w:val="none" w:sz="0" w:space="0" w:color="auto"/>
      </w:divBdr>
    </w:div>
    <w:div w:id="2086339837">
      <w:bodyDiv w:val="1"/>
      <w:marLeft w:val="0"/>
      <w:marRight w:val="0"/>
      <w:marTop w:val="0"/>
      <w:marBottom w:val="0"/>
      <w:divBdr>
        <w:top w:val="none" w:sz="0" w:space="0" w:color="auto"/>
        <w:left w:val="none" w:sz="0" w:space="0" w:color="auto"/>
        <w:bottom w:val="none" w:sz="0" w:space="0" w:color="auto"/>
        <w:right w:val="none" w:sz="0" w:space="0" w:color="auto"/>
      </w:divBdr>
      <w:divsChild>
        <w:div w:id="647978831">
          <w:marLeft w:val="0"/>
          <w:marRight w:val="0"/>
          <w:marTop w:val="0"/>
          <w:marBottom w:val="0"/>
          <w:divBdr>
            <w:top w:val="none" w:sz="0" w:space="0" w:color="auto"/>
            <w:left w:val="none" w:sz="0" w:space="0" w:color="auto"/>
            <w:bottom w:val="none" w:sz="0" w:space="0" w:color="auto"/>
            <w:right w:val="none" w:sz="0" w:space="0" w:color="auto"/>
          </w:divBdr>
          <w:divsChild>
            <w:div w:id="1766807149">
              <w:marLeft w:val="0"/>
              <w:marRight w:val="0"/>
              <w:marTop w:val="0"/>
              <w:marBottom w:val="0"/>
              <w:divBdr>
                <w:top w:val="none" w:sz="0" w:space="0" w:color="auto"/>
                <w:left w:val="none" w:sz="0" w:space="0" w:color="auto"/>
                <w:bottom w:val="none" w:sz="0" w:space="0" w:color="auto"/>
                <w:right w:val="none" w:sz="0" w:space="0" w:color="auto"/>
              </w:divBdr>
              <w:divsChild>
                <w:div w:id="1931619485">
                  <w:marLeft w:val="0"/>
                  <w:marRight w:val="0"/>
                  <w:marTop w:val="0"/>
                  <w:marBottom w:val="0"/>
                  <w:divBdr>
                    <w:top w:val="none" w:sz="0" w:space="0" w:color="auto"/>
                    <w:left w:val="none" w:sz="0" w:space="0" w:color="auto"/>
                    <w:bottom w:val="none" w:sz="0" w:space="0" w:color="auto"/>
                    <w:right w:val="none" w:sz="0" w:space="0" w:color="auto"/>
                  </w:divBdr>
                </w:div>
                <w:div w:id="421417267">
                  <w:marLeft w:val="0"/>
                  <w:marRight w:val="0"/>
                  <w:marTop w:val="0"/>
                  <w:marBottom w:val="0"/>
                  <w:divBdr>
                    <w:top w:val="none" w:sz="0" w:space="0" w:color="auto"/>
                    <w:left w:val="none" w:sz="0" w:space="0" w:color="auto"/>
                    <w:bottom w:val="none" w:sz="0" w:space="0" w:color="auto"/>
                    <w:right w:val="none" w:sz="0" w:space="0" w:color="auto"/>
                  </w:divBdr>
                </w:div>
                <w:div w:id="772288486">
                  <w:marLeft w:val="0"/>
                  <w:marRight w:val="0"/>
                  <w:marTop w:val="0"/>
                  <w:marBottom w:val="0"/>
                  <w:divBdr>
                    <w:top w:val="none" w:sz="0" w:space="0" w:color="auto"/>
                    <w:left w:val="none" w:sz="0" w:space="0" w:color="auto"/>
                    <w:bottom w:val="none" w:sz="0" w:space="0" w:color="auto"/>
                    <w:right w:val="none" w:sz="0" w:space="0" w:color="auto"/>
                  </w:divBdr>
                </w:div>
                <w:div w:id="512232466">
                  <w:marLeft w:val="0"/>
                  <w:marRight w:val="0"/>
                  <w:marTop w:val="0"/>
                  <w:marBottom w:val="0"/>
                  <w:divBdr>
                    <w:top w:val="none" w:sz="0" w:space="0" w:color="auto"/>
                    <w:left w:val="none" w:sz="0" w:space="0" w:color="auto"/>
                    <w:bottom w:val="none" w:sz="0" w:space="0" w:color="auto"/>
                    <w:right w:val="none" w:sz="0" w:space="0" w:color="auto"/>
                  </w:divBdr>
                </w:div>
                <w:div w:id="387656142">
                  <w:marLeft w:val="0"/>
                  <w:marRight w:val="0"/>
                  <w:marTop w:val="0"/>
                  <w:marBottom w:val="0"/>
                  <w:divBdr>
                    <w:top w:val="none" w:sz="0" w:space="0" w:color="auto"/>
                    <w:left w:val="none" w:sz="0" w:space="0" w:color="auto"/>
                    <w:bottom w:val="none" w:sz="0" w:space="0" w:color="auto"/>
                    <w:right w:val="none" w:sz="0" w:space="0" w:color="auto"/>
                  </w:divBdr>
                </w:div>
                <w:div w:id="1576160871">
                  <w:marLeft w:val="0"/>
                  <w:marRight w:val="0"/>
                  <w:marTop w:val="0"/>
                  <w:marBottom w:val="0"/>
                  <w:divBdr>
                    <w:top w:val="none" w:sz="0" w:space="0" w:color="auto"/>
                    <w:left w:val="none" w:sz="0" w:space="0" w:color="auto"/>
                    <w:bottom w:val="none" w:sz="0" w:space="0" w:color="auto"/>
                    <w:right w:val="none" w:sz="0" w:space="0" w:color="auto"/>
                  </w:divBdr>
                </w:div>
                <w:div w:id="1842621588">
                  <w:marLeft w:val="0"/>
                  <w:marRight w:val="0"/>
                  <w:marTop w:val="0"/>
                  <w:marBottom w:val="0"/>
                  <w:divBdr>
                    <w:top w:val="none" w:sz="0" w:space="0" w:color="auto"/>
                    <w:left w:val="none" w:sz="0" w:space="0" w:color="auto"/>
                    <w:bottom w:val="none" w:sz="0" w:space="0" w:color="auto"/>
                    <w:right w:val="none" w:sz="0" w:space="0" w:color="auto"/>
                  </w:divBdr>
                </w:div>
                <w:div w:id="923690265">
                  <w:marLeft w:val="0"/>
                  <w:marRight w:val="0"/>
                  <w:marTop w:val="0"/>
                  <w:marBottom w:val="0"/>
                  <w:divBdr>
                    <w:top w:val="none" w:sz="0" w:space="0" w:color="auto"/>
                    <w:left w:val="none" w:sz="0" w:space="0" w:color="auto"/>
                    <w:bottom w:val="none" w:sz="0" w:space="0" w:color="auto"/>
                    <w:right w:val="none" w:sz="0" w:space="0" w:color="auto"/>
                  </w:divBdr>
                </w:div>
                <w:div w:id="100956242">
                  <w:marLeft w:val="0"/>
                  <w:marRight w:val="0"/>
                  <w:marTop w:val="0"/>
                  <w:marBottom w:val="0"/>
                  <w:divBdr>
                    <w:top w:val="none" w:sz="0" w:space="0" w:color="auto"/>
                    <w:left w:val="none" w:sz="0" w:space="0" w:color="auto"/>
                    <w:bottom w:val="none" w:sz="0" w:space="0" w:color="auto"/>
                    <w:right w:val="none" w:sz="0" w:space="0" w:color="auto"/>
                  </w:divBdr>
                </w:div>
                <w:div w:id="227035820">
                  <w:marLeft w:val="0"/>
                  <w:marRight w:val="0"/>
                  <w:marTop w:val="0"/>
                  <w:marBottom w:val="0"/>
                  <w:divBdr>
                    <w:top w:val="none" w:sz="0" w:space="0" w:color="auto"/>
                    <w:left w:val="none" w:sz="0" w:space="0" w:color="auto"/>
                    <w:bottom w:val="none" w:sz="0" w:space="0" w:color="auto"/>
                    <w:right w:val="none" w:sz="0" w:space="0" w:color="auto"/>
                  </w:divBdr>
                </w:div>
                <w:div w:id="1120607787">
                  <w:marLeft w:val="0"/>
                  <w:marRight w:val="0"/>
                  <w:marTop w:val="0"/>
                  <w:marBottom w:val="0"/>
                  <w:divBdr>
                    <w:top w:val="none" w:sz="0" w:space="0" w:color="auto"/>
                    <w:left w:val="none" w:sz="0" w:space="0" w:color="auto"/>
                    <w:bottom w:val="none" w:sz="0" w:space="0" w:color="auto"/>
                    <w:right w:val="none" w:sz="0" w:space="0" w:color="auto"/>
                  </w:divBdr>
                </w:div>
                <w:div w:id="1830897351">
                  <w:marLeft w:val="0"/>
                  <w:marRight w:val="0"/>
                  <w:marTop w:val="0"/>
                  <w:marBottom w:val="0"/>
                  <w:divBdr>
                    <w:top w:val="none" w:sz="0" w:space="0" w:color="auto"/>
                    <w:left w:val="none" w:sz="0" w:space="0" w:color="auto"/>
                    <w:bottom w:val="none" w:sz="0" w:space="0" w:color="auto"/>
                    <w:right w:val="none" w:sz="0" w:space="0" w:color="auto"/>
                  </w:divBdr>
                </w:div>
                <w:div w:id="1340888180">
                  <w:marLeft w:val="0"/>
                  <w:marRight w:val="0"/>
                  <w:marTop w:val="0"/>
                  <w:marBottom w:val="0"/>
                  <w:divBdr>
                    <w:top w:val="none" w:sz="0" w:space="0" w:color="auto"/>
                    <w:left w:val="none" w:sz="0" w:space="0" w:color="auto"/>
                    <w:bottom w:val="none" w:sz="0" w:space="0" w:color="auto"/>
                    <w:right w:val="none" w:sz="0" w:space="0" w:color="auto"/>
                  </w:divBdr>
                </w:div>
                <w:div w:id="401877073">
                  <w:marLeft w:val="0"/>
                  <w:marRight w:val="0"/>
                  <w:marTop w:val="0"/>
                  <w:marBottom w:val="0"/>
                  <w:divBdr>
                    <w:top w:val="none" w:sz="0" w:space="0" w:color="auto"/>
                    <w:left w:val="none" w:sz="0" w:space="0" w:color="auto"/>
                    <w:bottom w:val="none" w:sz="0" w:space="0" w:color="auto"/>
                    <w:right w:val="none" w:sz="0" w:space="0" w:color="auto"/>
                  </w:divBdr>
                </w:div>
                <w:div w:id="844781032">
                  <w:marLeft w:val="0"/>
                  <w:marRight w:val="0"/>
                  <w:marTop w:val="0"/>
                  <w:marBottom w:val="0"/>
                  <w:divBdr>
                    <w:top w:val="none" w:sz="0" w:space="0" w:color="auto"/>
                    <w:left w:val="none" w:sz="0" w:space="0" w:color="auto"/>
                    <w:bottom w:val="none" w:sz="0" w:space="0" w:color="auto"/>
                    <w:right w:val="none" w:sz="0" w:space="0" w:color="auto"/>
                  </w:divBdr>
                </w:div>
                <w:div w:id="1422752809">
                  <w:marLeft w:val="0"/>
                  <w:marRight w:val="0"/>
                  <w:marTop w:val="0"/>
                  <w:marBottom w:val="0"/>
                  <w:divBdr>
                    <w:top w:val="none" w:sz="0" w:space="0" w:color="auto"/>
                    <w:left w:val="none" w:sz="0" w:space="0" w:color="auto"/>
                    <w:bottom w:val="none" w:sz="0" w:space="0" w:color="auto"/>
                    <w:right w:val="none" w:sz="0" w:space="0" w:color="auto"/>
                  </w:divBdr>
                </w:div>
                <w:div w:id="1273516863">
                  <w:marLeft w:val="0"/>
                  <w:marRight w:val="0"/>
                  <w:marTop w:val="0"/>
                  <w:marBottom w:val="0"/>
                  <w:divBdr>
                    <w:top w:val="none" w:sz="0" w:space="0" w:color="auto"/>
                    <w:left w:val="none" w:sz="0" w:space="0" w:color="auto"/>
                    <w:bottom w:val="none" w:sz="0" w:space="0" w:color="auto"/>
                    <w:right w:val="none" w:sz="0" w:space="0" w:color="auto"/>
                  </w:divBdr>
                </w:div>
                <w:div w:id="1171484262">
                  <w:marLeft w:val="0"/>
                  <w:marRight w:val="0"/>
                  <w:marTop w:val="0"/>
                  <w:marBottom w:val="0"/>
                  <w:divBdr>
                    <w:top w:val="none" w:sz="0" w:space="0" w:color="auto"/>
                    <w:left w:val="none" w:sz="0" w:space="0" w:color="auto"/>
                    <w:bottom w:val="none" w:sz="0" w:space="0" w:color="auto"/>
                    <w:right w:val="none" w:sz="0" w:space="0" w:color="auto"/>
                  </w:divBdr>
                </w:div>
                <w:div w:id="1476021267">
                  <w:marLeft w:val="0"/>
                  <w:marRight w:val="0"/>
                  <w:marTop w:val="0"/>
                  <w:marBottom w:val="0"/>
                  <w:divBdr>
                    <w:top w:val="none" w:sz="0" w:space="0" w:color="auto"/>
                    <w:left w:val="none" w:sz="0" w:space="0" w:color="auto"/>
                    <w:bottom w:val="none" w:sz="0" w:space="0" w:color="auto"/>
                    <w:right w:val="none" w:sz="0" w:space="0" w:color="auto"/>
                  </w:divBdr>
                </w:div>
                <w:div w:id="107704390">
                  <w:marLeft w:val="0"/>
                  <w:marRight w:val="0"/>
                  <w:marTop w:val="0"/>
                  <w:marBottom w:val="0"/>
                  <w:divBdr>
                    <w:top w:val="none" w:sz="0" w:space="0" w:color="auto"/>
                    <w:left w:val="none" w:sz="0" w:space="0" w:color="auto"/>
                    <w:bottom w:val="none" w:sz="0" w:space="0" w:color="auto"/>
                    <w:right w:val="none" w:sz="0" w:space="0" w:color="auto"/>
                  </w:divBdr>
                </w:div>
                <w:div w:id="1233276521">
                  <w:marLeft w:val="0"/>
                  <w:marRight w:val="0"/>
                  <w:marTop w:val="0"/>
                  <w:marBottom w:val="0"/>
                  <w:divBdr>
                    <w:top w:val="none" w:sz="0" w:space="0" w:color="auto"/>
                    <w:left w:val="none" w:sz="0" w:space="0" w:color="auto"/>
                    <w:bottom w:val="none" w:sz="0" w:space="0" w:color="auto"/>
                    <w:right w:val="none" w:sz="0" w:space="0" w:color="auto"/>
                  </w:divBdr>
                </w:div>
                <w:div w:id="597720240">
                  <w:marLeft w:val="0"/>
                  <w:marRight w:val="0"/>
                  <w:marTop w:val="0"/>
                  <w:marBottom w:val="0"/>
                  <w:divBdr>
                    <w:top w:val="none" w:sz="0" w:space="0" w:color="auto"/>
                    <w:left w:val="none" w:sz="0" w:space="0" w:color="auto"/>
                    <w:bottom w:val="none" w:sz="0" w:space="0" w:color="auto"/>
                    <w:right w:val="none" w:sz="0" w:space="0" w:color="auto"/>
                  </w:divBdr>
                </w:div>
                <w:div w:id="274137192">
                  <w:marLeft w:val="0"/>
                  <w:marRight w:val="0"/>
                  <w:marTop w:val="0"/>
                  <w:marBottom w:val="0"/>
                  <w:divBdr>
                    <w:top w:val="none" w:sz="0" w:space="0" w:color="auto"/>
                    <w:left w:val="none" w:sz="0" w:space="0" w:color="auto"/>
                    <w:bottom w:val="none" w:sz="0" w:space="0" w:color="auto"/>
                    <w:right w:val="none" w:sz="0" w:space="0" w:color="auto"/>
                  </w:divBdr>
                </w:div>
                <w:div w:id="771899920">
                  <w:marLeft w:val="0"/>
                  <w:marRight w:val="0"/>
                  <w:marTop w:val="0"/>
                  <w:marBottom w:val="0"/>
                  <w:divBdr>
                    <w:top w:val="none" w:sz="0" w:space="0" w:color="auto"/>
                    <w:left w:val="none" w:sz="0" w:space="0" w:color="auto"/>
                    <w:bottom w:val="none" w:sz="0" w:space="0" w:color="auto"/>
                    <w:right w:val="none" w:sz="0" w:space="0" w:color="auto"/>
                  </w:divBdr>
                </w:div>
                <w:div w:id="235556564">
                  <w:marLeft w:val="0"/>
                  <w:marRight w:val="0"/>
                  <w:marTop w:val="0"/>
                  <w:marBottom w:val="0"/>
                  <w:divBdr>
                    <w:top w:val="none" w:sz="0" w:space="0" w:color="auto"/>
                    <w:left w:val="none" w:sz="0" w:space="0" w:color="auto"/>
                    <w:bottom w:val="none" w:sz="0" w:space="0" w:color="auto"/>
                    <w:right w:val="none" w:sz="0" w:space="0" w:color="auto"/>
                  </w:divBdr>
                </w:div>
                <w:div w:id="727267882">
                  <w:marLeft w:val="0"/>
                  <w:marRight w:val="0"/>
                  <w:marTop w:val="0"/>
                  <w:marBottom w:val="0"/>
                  <w:divBdr>
                    <w:top w:val="none" w:sz="0" w:space="0" w:color="auto"/>
                    <w:left w:val="none" w:sz="0" w:space="0" w:color="auto"/>
                    <w:bottom w:val="none" w:sz="0" w:space="0" w:color="auto"/>
                    <w:right w:val="none" w:sz="0" w:space="0" w:color="auto"/>
                  </w:divBdr>
                </w:div>
                <w:div w:id="2011447199">
                  <w:marLeft w:val="0"/>
                  <w:marRight w:val="0"/>
                  <w:marTop w:val="0"/>
                  <w:marBottom w:val="0"/>
                  <w:divBdr>
                    <w:top w:val="none" w:sz="0" w:space="0" w:color="auto"/>
                    <w:left w:val="none" w:sz="0" w:space="0" w:color="auto"/>
                    <w:bottom w:val="none" w:sz="0" w:space="0" w:color="auto"/>
                    <w:right w:val="none" w:sz="0" w:space="0" w:color="auto"/>
                  </w:divBdr>
                </w:div>
                <w:div w:id="1595550942">
                  <w:marLeft w:val="0"/>
                  <w:marRight w:val="0"/>
                  <w:marTop w:val="0"/>
                  <w:marBottom w:val="0"/>
                  <w:divBdr>
                    <w:top w:val="none" w:sz="0" w:space="0" w:color="auto"/>
                    <w:left w:val="none" w:sz="0" w:space="0" w:color="auto"/>
                    <w:bottom w:val="none" w:sz="0" w:space="0" w:color="auto"/>
                    <w:right w:val="none" w:sz="0" w:space="0" w:color="auto"/>
                  </w:divBdr>
                </w:div>
                <w:div w:id="1162308570">
                  <w:marLeft w:val="0"/>
                  <w:marRight w:val="0"/>
                  <w:marTop w:val="0"/>
                  <w:marBottom w:val="0"/>
                  <w:divBdr>
                    <w:top w:val="none" w:sz="0" w:space="0" w:color="auto"/>
                    <w:left w:val="none" w:sz="0" w:space="0" w:color="auto"/>
                    <w:bottom w:val="none" w:sz="0" w:space="0" w:color="auto"/>
                    <w:right w:val="none" w:sz="0" w:space="0" w:color="auto"/>
                  </w:divBdr>
                </w:div>
                <w:div w:id="1149900746">
                  <w:marLeft w:val="0"/>
                  <w:marRight w:val="0"/>
                  <w:marTop w:val="0"/>
                  <w:marBottom w:val="0"/>
                  <w:divBdr>
                    <w:top w:val="none" w:sz="0" w:space="0" w:color="auto"/>
                    <w:left w:val="none" w:sz="0" w:space="0" w:color="auto"/>
                    <w:bottom w:val="none" w:sz="0" w:space="0" w:color="auto"/>
                    <w:right w:val="none" w:sz="0" w:space="0" w:color="auto"/>
                  </w:divBdr>
                </w:div>
                <w:div w:id="654535205">
                  <w:marLeft w:val="0"/>
                  <w:marRight w:val="0"/>
                  <w:marTop w:val="0"/>
                  <w:marBottom w:val="0"/>
                  <w:divBdr>
                    <w:top w:val="none" w:sz="0" w:space="0" w:color="auto"/>
                    <w:left w:val="none" w:sz="0" w:space="0" w:color="auto"/>
                    <w:bottom w:val="none" w:sz="0" w:space="0" w:color="auto"/>
                    <w:right w:val="none" w:sz="0" w:space="0" w:color="auto"/>
                  </w:divBdr>
                </w:div>
                <w:div w:id="702906068">
                  <w:marLeft w:val="0"/>
                  <w:marRight w:val="0"/>
                  <w:marTop w:val="0"/>
                  <w:marBottom w:val="0"/>
                  <w:divBdr>
                    <w:top w:val="none" w:sz="0" w:space="0" w:color="auto"/>
                    <w:left w:val="none" w:sz="0" w:space="0" w:color="auto"/>
                    <w:bottom w:val="none" w:sz="0" w:space="0" w:color="auto"/>
                    <w:right w:val="none" w:sz="0" w:space="0" w:color="auto"/>
                  </w:divBdr>
                </w:div>
                <w:div w:id="1156412442">
                  <w:marLeft w:val="0"/>
                  <w:marRight w:val="0"/>
                  <w:marTop w:val="0"/>
                  <w:marBottom w:val="0"/>
                  <w:divBdr>
                    <w:top w:val="none" w:sz="0" w:space="0" w:color="auto"/>
                    <w:left w:val="none" w:sz="0" w:space="0" w:color="auto"/>
                    <w:bottom w:val="none" w:sz="0" w:space="0" w:color="auto"/>
                    <w:right w:val="none" w:sz="0" w:space="0" w:color="auto"/>
                  </w:divBdr>
                </w:div>
                <w:div w:id="865098333">
                  <w:marLeft w:val="0"/>
                  <w:marRight w:val="0"/>
                  <w:marTop w:val="0"/>
                  <w:marBottom w:val="0"/>
                  <w:divBdr>
                    <w:top w:val="none" w:sz="0" w:space="0" w:color="auto"/>
                    <w:left w:val="none" w:sz="0" w:space="0" w:color="auto"/>
                    <w:bottom w:val="none" w:sz="0" w:space="0" w:color="auto"/>
                    <w:right w:val="none" w:sz="0" w:space="0" w:color="auto"/>
                  </w:divBdr>
                </w:div>
                <w:div w:id="991564470">
                  <w:marLeft w:val="0"/>
                  <w:marRight w:val="0"/>
                  <w:marTop w:val="0"/>
                  <w:marBottom w:val="0"/>
                  <w:divBdr>
                    <w:top w:val="none" w:sz="0" w:space="0" w:color="auto"/>
                    <w:left w:val="none" w:sz="0" w:space="0" w:color="auto"/>
                    <w:bottom w:val="none" w:sz="0" w:space="0" w:color="auto"/>
                    <w:right w:val="none" w:sz="0" w:space="0" w:color="auto"/>
                  </w:divBdr>
                </w:div>
                <w:div w:id="1794982243">
                  <w:marLeft w:val="0"/>
                  <w:marRight w:val="0"/>
                  <w:marTop w:val="0"/>
                  <w:marBottom w:val="0"/>
                  <w:divBdr>
                    <w:top w:val="none" w:sz="0" w:space="0" w:color="auto"/>
                    <w:left w:val="none" w:sz="0" w:space="0" w:color="auto"/>
                    <w:bottom w:val="none" w:sz="0" w:space="0" w:color="auto"/>
                    <w:right w:val="none" w:sz="0" w:space="0" w:color="auto"/>
                  </w:divBdr>
                </w:div>
                <w:div w:id="77487119">
                  <w:marLeft w:val="0"/>
                  <w:marRight w:val="0"/>
                  <w:marTop w:val="0"/>
                  <w:marBottom w:val="0"/>
                  <w:divBdr>
                    <w:top w:val="none" w:sz="0" w:space="0" w:color="auto"/>
                    <w:left w:val="none" w:sz="0" w:space="0" w:color="auto"/>
                    <w:bottom w:val="none" w:sz="0" w:space="0" w:color="auto"/>
                    <w:right w:val="none" w:sz="0" w:space="0" w:color="auto"/>
                  </w:divBdr>
                </w:div>
                <w:div w:id="1141263376">
                  <w:marLeft w:val="0"/>
                  <w:marRight w:val="0"/>
                  <w:marTop w:val="0"/>
                  <w:marBottom w:val="0"/>
                  <w:divBdr>
                    <w:top w:val="none" w:sz="0" w:space="0" w:color="auto"/>
                    <w:left w:val="none" w:sz="0" w:space="0" w:color="auto"/>
                    <w:bottom w:val="none" w:sz="0" w:space="0" w:color="auto"/>
                    <w:right w:val="none" w:sz="0" w:space="0" w:color="auto"/>
                  </w:divBdr>
                </w:div>
                <w:div w:id="237592032">
                  <w:marLeft w:val="0"/>
                  <w:marRight w:val="0"/>
                  <w:marTop w:val="0"/>
                  <w:marBottom w:val="0"/>
                  <w:divBdr>
                    <w:top w:val="none" w:sz="0" w:space="0" w:color="auto"/>
                    <w:left w:val="none" w:sz="0" w:space="0" w:color="auto"/>
                    <w:bottom w:val="none" w:sz="0" w:space="0" w:color="auto"/>
                    <w:right w:val="none" w:sz="0" w:space="0" w:color="auto"/>
                  </w:divBdr>
                </w:div>
                <w:div w:id="81606605">
                  <w:marLeft w:val="0"/>
                  <w:marRight w:val="0"/>
                  <w:marTop w:val="0"/>
                  <w:marBottom w:val="0"/>
                  <w:divBdr>
                    <w:top w:val="none" w:sz="0" w:space="0" w:color="auto"/>
                    <w:left w:val="none" w:sz="0" w:space="0" w:color="auto"/>
                    <w:bottom w:val="none" w:sz="0" w:space="0" w:color="auto"/>
                    <w:right w:val="none" w:sz="0" w:space="0" w:color="auto"/>
                  </w:divBdr>
                </w:div>
                <w:div w:id="1483736563">
                  <w:marLeft w:val="0"/>
                  <w:marRight w:val="0"/>
                  <w:marTop w:val="0"/>
                  <w:marBottom w:val="0"/>
                  <w:divBdr>
                    <w:top w:val="none" w:sz="0" w:space="0" w:color="auto"/>
                    <w:left w:val="none" w:sz="0" w:space="0" w:color="auto"/>
                    <w:bottom w:val="none" w:sz="0" w:space="0" w:color="auto"/>
                    <w:right w:val="none" w:sz="0" w:space="0" w:color="auto"/>
                  </w:divBdr>
                </w:div>
                <w:div w:id="893389596">
                  <w:marLeft w:val="0"/>
                  <w:marRight w:val="0"/>
                  <w:marTop w:val="0"/>
                  <w:marBottom w:val="0"/>
                  <w:divBdr>
                    <w:top w:val="none" w:sz="0" w:space="0" w:color="auto"/>
                    <w:left w:val="none" w:sz="0" w:space="0" w:color="auto"/>
                    <w:bottom w:val="none" w:sz="0" w:space="0" w:color="auto"/>
                    <w:right w:val="none" w:sz="0" w:space="0" w:color="auto"/>
                  </w:divBdr>
                </w:div>
                <w:div w:id="1291667399">
                  <w:marLeft w:val="0"/>
                  <w:marRight w:val="0"/>
                  <w:marTop w:val="0"/>
                  <w:marBottom w:val="0"/>
                  <w:divBdr>
                    <w:top w:val="none" w:sz="0" w:space="0" w:color="auto"/>
                    <w:left w:val="none" w:sz="0" w:space="0" w:color="auto"/>
                    <w:bottom w:val="none" w:sz="0" w:space="0" w:color="auto"/>
                    <w:right w:val="none" w:sz="0" w:space="0" w:color="auto"/>
                  </w:divBdr>
                </w:div>
                <w:div w:id="991182590">
                  <w:marLeft w:val="0"/>
                  <w:marRight w:val="0"/>
                  <w:marTop w:val="0"/>
                  <w:marBottom w:val="0"/>
                  <w:divBdr>
                    <w:top w:val="none" w:sz="0" w:space="0" w:color="auto"/>
                    <w:left w:val="none" w:sz="0" w:space="0" w:color="auto"/>
                    <w:bottom w:val="none" w:sz="0" w:space="0" w:color="auto"/>
                    <w:right w:val="none" w:sz="0" w:space="0" w:color="auto"/>
                  </w:divBdr>
                </w:div>
                <w:div w:id="989139015">
                  <w:marLeft w:val="0"/>
                  <w:marRight w:val="0"/>
                  <w:marTop w:val="0"/>
                  <w:marBottom w:val="0"/>
                  <w:divBdr>
                    <w:top w:val="none" w:sz="0" w:space="0" w:color="auto"/>
                    <w:left w:val="none" w:sz="0" w:space="0" w:color="auto"/>
                    <w:bottom w:val="none" w:sz="0" w:space="0" w:color="auto"/>
                    <w:right w:val="none" w:sz="0" w:space="0" w:color="auto"/>
                  </w:divBdr>
                </w:div>
                <w:div w:id="1958099881">
                  <w:marLeft w:val="0"/>
                  <w:marRight w:val="0"/>
                  <w:marTop w:val="0"/>
                  <w:marBottom w:val="0"/>
                  <w:divBdr>
                    <w:top w:val="none" w:sz="0" w:space="0" w:color="auto"/>
                    <w:left w:val="none" w:sz="0" w:space="0" w:color="auto"/>
                    <w:bottom w:val="none" w:sz="0" w:space="0" w:color="auto"/>
                    <w:right w:val="none" w:sz="0" w:space="0" w:color="auto"/>
                  </w:divBdr>
                </w:div>
                <w:div w:id="1451784779">
                  <w:marLeft w:val="0"/>
                  <w:marRight w:val="0"/>
                  <w:marTop w:val="0"/>
                  <w:marBottom w:val="0"/>
                  <w:divBdr>
                    <w:top w:val="none" w:sz="0" w:space="0" w:color="auto"/>
                    <w:left w:val="none" w:sz="0" w:space="0" w:color="auto"/>
                    <w:bottom w:val="none" w:sz="0" w:space="0" w:color="auto"/>
                    <w:right w:val="none" w:sz="0" w:space="0" w:color="auto"/>
                  </w:divBdr>
                </w:div>
                <w:div w:id="872114411">
                  <w:marLeft w:val="0"/>
                  <w:marRight w:val="0"/>
                  <w:marTop w:val="0"/>
                  <w:marBottom w:val="0"/>
                  <w:divBdr>
                    <w:top w:val="none" w:sz="0" w:space="0" w:color="auto"/>
                    <w:left w:val="none" w:sz="0" w:space="0" w:color="auto"/>
                    <w:bottom w:val="none" w:sz="0" w:space="0" w:color="auto"/>
                    <w:right w:val="none" w:sz="0" w:space="0" w:color="auto"/>
                  </w:divBdr>
                </w:div>
                <w:div w:id="601185736">
                  <w:marLeft w:val="0"/>
                  <w:marRight w:val="0"/>
                  <w:marTop w:val="0"/>
                  <w:marBottom w:val="0"/>
                  <w:divBdr>
                    <w:top w:val="none" w:sz="0" w:space="0" w:color="auto"/>
                    <w:left w:val="none" w:sz="0" w:space="0" w:color="auto"/>
                    <w:bottom w:val="none" w:sz="0" w:space="0" w:color="auto"/>
                    <w:right w:val="none" w:sz="0" w:space="0" w:color="auto"/>
                  </w:divBdr>
                </w:div>
                <w:div w:id="1947615106">
                  <w:marLeft w:val="0"/>
                  <w:marRight w:val="0"/>
                  <w:marTop w:val="0"/>
                  <w:marBottom w:val="0"/>
                  <w:divBdr>
                    <w:top w:val="none" w:sz="0" w:space="0" w:color="auto"/>
                    <w:left w:val="none" w:sz="0" w:space="0" w:color="auto"/>
                    <w:bottom w:val="none" w:sz="0" w:space="0" w:color="auto"/>
                    <w:right w:val="none" w:sz="0" w:space="0" w:color="auto"/>
                  </w:divBdr>
                </w:div>
                <w:div w:id="77333324">
                  <w:marLeft w:val="0"/>
                  <w:marRight w:val="0"/>
                  <w:marTop w:val="0"/>
                  <w:marBottom w:val="0"/>
                  <w:divBdr>
                    <w:top w:val="none" w:sz="0" w:space="0" w:color="auto"/>
                    <w:left w:val="none" w:sz="0" w:space="0" w:color="auto"/>
                    <w:bottom w:val="none" w:sz="0" w:space="0" w:color="auto"/>
                    <w:right w:val="none" w:sz="0" w:space="0" w:color="auto"/>
                  </w:divBdr>
                </w:div>
                <w:div w:id="2105295818">
                  <w:marLeft w:val="0"/>
                  <w:marRight w:val="0"/>
                  <w:marTop w:val="0"/>
                  <w:marBottom w:val="0"/>
                  <w:divBdr>
                    <w:top w:val="none" w:sz="0" w:space="0" w:color="auto"/>
                    <w:left w:val="none" w:sz="0" w:space="0" w:color="auto"/>
                    <w:bottom w:val="none" w:sz="0" w:space="0" w:color="auto"/>
                    <w:right w:val="none" w:sz="0" w:space="0" w:color="auto"/>
                  </w:divBdr>
                </w:div>
                <w:div w:id="1172717904">
                  <w:marLeft w:val="0"/>
                  <w:marRight w:val="0"/>
                  <w:marTop w:val="0"/>
                  <w:marBottom w:val="0"/>
                  <w:divBdr>
                    <w:top w:val="none" w:sz="0" w:space="0" w:color="auto"/>
                    <w:left w:val="none" w:sz="0" w:space="0" w:color="auto"/>
                    <w:bottom w:val="none" w:sz="0" w:space="0" w:color="auto"/>
                    <w:right w:val="none" w:sz="0" w:space="0" w:color="auto"/>
                  </w:divBdr>
                </w:div>
                <w:div w:id="675956773">
                  <w:marLeft w:val="0"/>
                  <w:marRight w:val="0"/>
                  <w:marTop w:val="0"/>
                  <w:marBottom w:val="0"/>
                  <w:divBdr>
                    <w:top w:val="none" w:sz="0" w:space="0" w:color="auto"/>
                    <w:left w:val="none" w:sz="0" w:space="0" w:color="auto"/>
                    <w:bottom w:val="none" w:sz="0" w:space="0" w:color="auto"/>
                    <w:right w:val="none" w:sz="0" w:space="0" w:color="auto"/>
                  </w:divBdr>
                </w:div>
                <w:div w:id="1262908103">
                  <w:marLeft w:val="0"/>
                  <w:marRight w:val="0"/>
                  <w:marTop w:val="0"/>
                  <w:marBottom w:val="0"/>
                  <w:divBdr>
                    <w:top w:val="none" w:sz="0" w:space="0" w:color="auto"/>
                    <w:left w:val="none" w:sz="0" w:space="0" w:color="auto"/>
                    <w:bottom w:val="none" w:sz="0" w:space="0" w:color="auto"/>
                    <w:right w:val="none" w:sz="0" w:space="0" w:color="auto"/>
                  </w:divBdr>
                </w:div>
                <w:div w:id="2015455348">
                  <w:marLeft w:val="0"/>
                  <w:marRight w:val="0"/>
                  <w:marTop w:val="0"/>
                  <w:marBottom w:val="0"/>
                  <w:divBdr>
                    <w:top w:val="none" w:sz="0" w:space="0" w:color="auto"/>
                    <w:left w:val="none" w:sz="0" w:space="0" w:color="auto"/>
                    <w:bottom w:val="none" w:sz="0" w:space="0" w:color="auto"/>
                    <w:right w:val="none" w:sz="0" w:space="0" w:color="auto"/>
                  </w:divBdr>
                </w:div>
                <w:div w:id="1354769714">
                  <w:marLeft w:val="0"/>
                  <w:marRight w:val="0"/>
                  <w:marTop w:val="0"/>
                  <w:marBottom w:val="0"/>
                  <w:divBdr>
                    <w:top w:val="none" w:sz="0" w:space="0" w:color="auto"/>
                    <w:left w:val="none" w:sz="0" w:space="0" w:color="auto"/>
                    <w:bottom w:val="none" w:sz="0" w:space="0" w:color="auto"/>
                    <w:right w:val="none" w:sz="0" w:space="0" w:color="auto"/>
                  </w:divBdr>
                </w:div>
                <w:div w:id="194195675">
                  <w:marLeft w:val="0"/>
                  <w:marRight w:val="0"/>
                  <w:marTop w:val="0"/>
                  <w:marBottom w:val="0"/>
                  <w:divBdr>
                    <w:top w:val="none" w:sz="0" w:space="0" w:color="auto"/>
                    <w:left w:val="none" w:sz="0" w:space="0" w:color="auto"/>
                    <w:bottom w:val="none" w:sz="0" w:space="0" w:color="auto"/>
                    <w:right w:val="none" w:sz="0" w:space="0" w:color="auto"/>
                  </w:divBdr>
                </w:div>
                <w:div w:id="1568805627">
                  <w:marLeft w:val="0"/>
                  <w:marRight w:val="0"/>
                  <w:marTop w:val="0"/>
                  <w:marBottom w:val="0"/>
                  <w:divBdr>
                    <w:top w:val="none" w:sz="0" w:space="0" w:color="auto"/>
                    <w:left w:val="none" w:sz="0" w:space="0" w:color="auto"/>
                    <w:bottom w:val="none" w:sz="0" w:space="0" w:color="auto"/>
                    <w:right w:val="none" w:sz="0" w:space="0" w:color="auto"/>
                  </w:divBdr>
                </w:div>
                <w:div w:id="987513726">
                  <w:marLeft w:val="0"/>
                  <w:marRight w:val="0"/>
                  <w:marTop w:val="0"/>
                  <w:marBottom w:val="0"/>
                  <w:divBdr>
                    <w:top w:val="none" w:sz="0" w:space="0" w:color="auto"/>
                    <w:left w:val="none" w:sz="0" w:space="0" w:color="auto"/>
                    <w:bottom w:val="none" w:sz="0" w:space="0" w:color="auto"/>
                    <w:right w:val="none" w:sz="0" w:space="0" w:color="auto"/>
                  </w:divBdr>
                </w:div>
                <w:div w:id="1515027761">
                  <w:marLeft w:val="0"/>
                  <w:marRight w:val="0"/>
                  <w:marTop w:val="0"/>
                  <w:marBottom w:val="0"/>
                  <w:divBdr>
                    <w:top w:val="none" w:sz="0" w:space="0" w:color="auto"/>
                    <w:left w:val="none" w:sz="0" w:space="0" w:color="auto"/>
                    <w:bottom w:val="none" w:sz="0" w:space="0" w:color="auto"/>
                    <w:right w:val="none" w:sz="0" w:space="0" w:color="auto"/>
                  </w:divBdr>
                </w:div>
                <w:div w:id="1666740241">
                  <w:marLeft w:val="0"/>
                  <w:marRight w:val="0"/>
                  <w:marTop w:val="0"/>
                  <w:marBottom w:val="0"/>
                  <w:divBdr>
                    <w:top w:val="none" w:sz="0" w:space="0" w:color="auto"/>
                    <w:left w:val="none" w:sz="0" w:space="0" w:color="auto"/>
                    <w:bottom w:val="none" w:sz="0" w:space="0" w:color="auto"/>
                    <w:right w:val="none" w:sz="0" w:space="0" w:color="auto"/>
                  </w:divBdr>
                </w:div>
                <w:div w:id="1999070125">
                  <w:marLeft w:val="0"/>
                  <w:marRight w:val="0"/>
                  <w:marTop w:val="0"/>
                  <w:marBottom w:val="0"/>
                  <w:divBdr>
                    <w:top w:val="none" w:sz="0" w:space="0" w:color="auto"/>
                    <w:left w:val="none" w:sz="0" w:space="0" w:color="auto"/>
                    <w:bottom w:val="none" w:sz="0" w:space="0" w:color="auto"/>
                    <w:right w:val="none" w:sz="0" w:space="0" w:color="auto"/>
                  </w:divBdr>
                </w:div>
                <w:div w:id="318116926">
                  <w:marLeft w:val="0"/>
                  <w:marRight w:val="0"/>
                  <w:marTop w:val="0"/>
                  <w:marBottom w:val="0"/>
                  <w:divBdr>
                    <w:top w:val="none" w:sz="0" w:space="0" w:color="auto"/>
                    <w:left w:val="none" w:sz="0" w:space="0" w:color="auto"/>
                    <w:bottom w:val="none" w:sz="0" w:space="0" w:color="auto"/>
                    <w:right w:val="none" w:sz="0" w:space="0" w:color="auto"/>
                  </w:divBdr>
                </w:div>
                <w:div w:id="439418935">
                  <w:marLeft w:val="0"/>
                  <w:marRight w:val="0"/>
                  <w:marTop w:val="0"/>
                  <w:marBottom w:val="0"/>
                  <w:divBdr>
                    <w:top w:val="none" w:sz="0" w:space="0" w:color="auto"/>
                    <w:left w:val="none" w:sz="0" w:space="0" w:color="auto"/>
                    <w:bottom w:val="none" w:sz="0" w:space="0" w:color="auto"/>
                    <w:right w:val="none" w:sz="0" w:space="0" w:color="auto"/>
                  </w:divBdr>
                </w:div>
                <w:div w:id="12371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963340">
          <w:marLeft w:val="0"/>
          <w:marRight w:val="0"/>
          <w:marTop w:val="0"/>
          <w:marBottom w:val="0"/>
          <w:divBdr>
            <w:top w:val="none" w:sz="0" w:space="0" w:color="auto"/>
            <w:left w:val="none" w:sz="0" w:space="0" w:color="auto"/>
            <w:bottom w:val="none" w:sz="0" w:space="0" w:color="auto"/>
            <w:right w:val="none" w:sz="0" w:space="0" w:color="auto"/>
          </w:divBdr>
          <w:divsChild>
            <w:div w:id="742987535">
              <w:marLeft w:val="0"/>
              <w:marRight w:val="0"/>
              <w:marTop w:val="0"/>
              <w:marBottom w:val="0"/>
              <w:divBdr>
                <w:top w:val="none" w:sz="0" w:space="0" w:color="auto"/>
                <w:left w:val="none" w:sz="0" w:space="0" w:color="auto"/>
                <w:bottom w:val="none" w:sz="0" w:space="0" w:color="auto"/>
                <w:right w:val="none" w:sz="0" w:space="0" w:color="auto"/>
              </w:divBdr>
              <w:divsChild>
                <w:div w:id="120926199">
                  <w:marLeft w:val="0"/>
                  <w:marRight w:val="0"/>
                  <w:marTop w:val="0"/>
                  <w:marBottom w:val="0"/>
                  <w:divBdr>
                    <w:top w:val="none" w:sz="0" w:space="0" w:color="auto"/>
                    <w:left w:val="none" w:sz="0" w:space="0" w:color="auto"/>
                    <w:bottom w:val="none" w:sz="0" w:space="0" w:color="auto"/>
                    <w:right w:val="none" w:sz="0" w:space="0" w:color="auto"/>
                  </w:divBdr>
                </w:div>
                <w:div w:id="465507284">
                  <w:marLeft w:val="0"/>
                  <w:marRight w:val="0"/>
                  <w:marTop w:val="0"/>
                  <w:marBottom w:val="0"/>
                  <w:divBdr>
                    <w:top w:val="none" w:sz="0" w:space="0" w:color="auto"/>
                    <w:left w:val="none" w:sz="0" w:space="0" w:color="auto"/>
                    <w:bottom w:val="none" w:sz="0" w:space="0" w:color="auto"/>
                    <w:right w:val="none" w:sz="0" w:space="0" w:color="auto"/>
                  </w:divBdr>
                </w:div>
                <w:div w:id="860823120">
                  <w:marLeft w:val="0"/>
                  <w:marRight w:val="0"/>
                  <w:marTop w:val="0"/>
                  <w:marBottom w:val="0"/>
                  <w:divBdr>
                    <w:top w:val="none" w:sz="0" w:space="0" w:color="auto"/>
                    <w:left w:val="none" w:sz="0" w:space="0" w:color="auto"/>
                    <w:bottom w:val="none" w:sz="0" w:space="0" w:color="auto"/>
                    <w:right w:val="none" w:sz="0" w:space="0" w:color="auto"/>
                  </w:divBdr>
                </w:div>
                <w:div w:id="1959526547">
                  <w:marLeft w:val="0"/>
                  <w:marRight w:val="0"/>
                  <w:marTop w:val="0"/>
                  <w:marBottom w:val="0"/>
                  <w:divBdr>
                    <w:top w:val="none" w:sz="0" w:space="0" w:color="auto"/>
                    <w:left w:val="none" w:sz="0" w:space="0" w:color="auto"/>
                    <w:bottom w:val="none" w:sz="0" w:space="0" w:color="auto"/>
                    <w:right w:val="none" w:sz="0" w:space="0" w:color="auto"/>
                  </w:divBdr>
                </w:div>
                <w:div w:id="242417738">
                  <w:marLeft w:val="0"/>
                  <w:marRight w:val="0"/>
                  <w:marTop w:val="0"/>
                  <w:marBottom w:val="0"/>
                  <w:divBdr>
                    <w:top w:val="none" w:sz="0" w:space="0" w:color="auto"/>
                    <w:left w:val="none" w:sz="0" w:space="0" w:color="auto"/>
                    <w:bottom w:val="none" w:sz="0" w:space="0" w:color="auto"/>
                    <w:right w:val="none" w:sz="0" w:space="0" w:color="auto"/>
                  </w:divBdr>
                </w:div>
                <w:div w:id="554127391">
                  <w:marLeft w:val="0"/>
                  <w:marRight w:val="0"/>
                  <w:marTop w:val="0"/>
                  <w:marBottom w:val="0"/>
                  <w:divBdr>
                    <w:top w:val="none" w:sz="0" w:space="0" w:color="auto"/>
                    <w:left w:val="none" w:sz="0" w:space="0" w:color="auto"/>
                    <w:bottom w:val="none" w:sz="0" w:space="0" w:color="auto"/>
                    <w:right w:val="none" w:sz="0" w:space="0" w:color="auto"/>
                  </w:divBdr>
                </w:div>
                <w:div w:id="1234655636">
                  <w:marLeft w:val="0"/>
                  <w:marRight w:val="0"/>
                  <w:marTop w:val="0"/>
                  <w:marBottom w:val="0"/>
                  <w:divBdr>
                    <w:top w:val="none" w:sz="0" w:space="0" w:color="auto"/>
                    <w:left w:val="none" w:sz="0" w:space="0" w:color="auto"/>
                    <w:bottom w:val="none" w:sz="0" w:space="0" w:color="auto"/>
                    <w:right w:val="none" w:sz="0" w:space="0" w:color="auto"/>
                  </w:divBdr>
                </w:div>
                <w:div w:id="663318755">
                  <w:marLeft w:val="0"/>
                  <w:marRight w:val="0"/>
                  <w:marTop w:val="0"/>
                  <w:marBottom w:val="0"/>
                  <w:divBdr>
                    <w:top w:val="none" w:sz="0" w:space="0" w:color="auto"/>
                    <w:left w:val="none" w:sz="0" w:space="0" w:color="auto"/>
                    <w:bottom w:val="none" w:sz="0" w:space="0" w:color="auto"/>
                    <w:right w:val="none" w:sz="0" w:space="0" w:color="auto"/>
                  </w:divBdr>
                </w:div>
                <w:div w:id="1339697092">
                  <w:marLeft w:val="0"/>
                  <w:marRight w:val="0"/>
                  <w:marTop w:val="0"/>
                  <w:marBottom w:val="0"/>
                  <w:divBdr>
                    <w:top w:val="none" w:sz="0" w:space="0" w:color="auto"/>
                    <w:left w:val="none" w:sz="0" w:space="0" w:color="auto"/>
                    <w:bottom w:val="none" w:sz="0" w:space="0" w:color="auto"/>
                    <w:right w:val="none" w:sz="0" w:space="0" w:color="auto"/>
                  </w:divBdr>
                </w:div>
                <w:div w:id="679433459">
                  <w:marLeft w:val="0"/>
                  <w:marRight w:val="0"/>
                  <w:marTop w:val="0"/>
                  <w:marBottom w:val="0"/>
                  <w:divBdr>
                    <w:top w:val="none" w:sz="0" w:space="0" w:color="auto"/>
                    <w:left w:val="none" w:sz="0" w:space="0" w:color="auto"/>
                    <w:bottom w:val="none" w:sz="0" w:space="0" w:color="auto"/>
                    <w:right w:val="none" w:sz="0" w:space="0" w:color="auto"/>
                  </w:divBdr>
                </w:div>
                <w:div w:id="338508418">
                  <w:marLeft w:val="0"/>
                  <w:marRight w:val="0"/>
                  <w:marTop w:val="0"/>
                  <w:marBottom w:val="0"/>
                  <w:divBdr>
                    <w:top w:val="none" w:sz="0" w:space="0" w:color="auto"/>
                    <w:left w:val="none" w:sz="0" w:space="0" w:color="auto"/>
                    <w:bottom w:val="none" w:sz="0" w:space="0" w:color="auto"/>
                    <w:right w:val="none" w:sz="0" w:space="0" w:color="auto"/>
                  </w:divBdr>
                </w:div>
                <w:div w:id="733157937">
                  <w:marLeft w:val="0"/>
                  <w:marRight w:val="0"/>
                  <w:marTop w:val="0"/>
                  <w:marBottom w:val="0"/>
                  <w:divBdr>
                    <w:top w:val="none" w:sz="0" w:space="0" w:color="auto"/>
                    <w:left w:val="none" w:sz="0" w:space="0" w:color="auto"/>
                    <w:bottom w:val="none" w:sz="0" w:space="0" w:color="auto"/>
                    <w:right w:val="none" w:sz="0" w:space="0" w:color="auto"/>
                  </w:divBdr>
                </w:div>
                <w:div w:id="1483497287">
                  <w:marLeft w:val="0"/>
                  <w:marRight w:val="0"/>
                  <w:marTop w:val="0"/>
                  <w:marBottom w:val="0"/>
                  <w:divBdr>
                    <w:top w:val="none" w:sz="0" w:space="0" w:color="auto"/>
                    <w:left w:val="none" w:sz="0" w:space="0" w:color="auto"/>
                    <w:bottom w:val="none" w:sz="0" w:space="0" w:color="auto"/>
                    <w:right w:val="none" w:sz="0" w:space="0" w:color="auto"/>
                  </w:divBdr>
                </w:div>
                <w:div w:id="976302031">
                  <w:marLeft w:val="0"/>
                  <w:marRight w:val="0"/>
                  <w:marTop w:val="0"/>
                  <w:marBottom w:val="0"/>
                  <w:divBdr>
                    <w:top w:val="none" w:sz="0" w:space="0" w:color="auto"/>
                    <w:left w:val="none" w:sz="0" w:space="0" w:color="auto"/>
                    <w:bottom w:val="none" w:sz="0" w:space="0" w:color="auto"/>
                    <w:right w:val="none" w:sz="0" w:space="0" w:color="auto"/>
                  </w:divBdr>
                </w:div>
                <w:div w:id="879128582">
                  <w:marLeft w:val="0"/>
                  <w:marRight w:val="0"/>
                  <w:marTop w:val="0"/>
                  <w:marBottom w:val="0"/>
                  <w:divBdr>
                    <w:top w:val="none" w:sz="0" w:space="0" w:color="auto"/>
                    <w:left w:val="none" w:sz="0" w:space="0" w:color="auto"/>
                    <w:bottom w:val="none" w:sz="0" w:space="0" w:color="auto"/>
                    <w:right w:val="none" w:sz="0" w:space="0" w:color="auto"/>
                  </w:divBdr>
                </w:div>
                <w:div w:id="986325471">
                  <w:marLeft w:val="0"/>
                  <w:marRight w:val="0"/>
                  <w:marTop w:val="0"/>
                  <w:marBottom w:val="0"/>
                  <w:divBdr>
                    <w:top w:val="none" w:sz="0" w:space="0" w:color="auto"/>
                    <w:left w:val="none" w:sz="0" w:space="0" w:color="auto"/>
                    <w:bottom w:val="none" w:sz="0" w:space="0" w:color="auto"/>
                    <w:right w:val="none" w:sz="0" w:space="0" w:color="auto"/>
                  </w:divBdr>
                </w:div>
                <w:div w:id="1937323754">
                  <w:marLeft w:val="0"/>
                  <w:marRight w:val="0"/>
                  <w:marTop w:val="0"/>
                  <w:marBottom w:val="0"/>
                  <w:divBdr>
                    <w:top w:val="none" w:sz="0" w:space="0" w:color="auto"/>
                    <w:left w:val="none" w:sz="0" w:space="0" w:color="auto"/>
                    <w:bottom w:val="none" w:sz="0" w:space="0" w:color="auto"/>
                    <w:right w:val="none" w:sz="0" w:space="0" w:color="auto"/>
                  </w:divBdr>
                </w:div>
                <w:div w:id="1174802623">
                  <w:marLeft w:val="0"/>
                  <w:marRight w:val="0"/>
                  <w:marTop w:val="0"/>
                  <w:marBottom w:val="0"/>
                  <w:divBdr>
                    <w:top w:val="none" w:sz="0" w:space="0" w:color="auto"/>
                    <w:left w:val="none" w:sz="0" w:space="0" w:color="auto"/>
                    <w:bottom w:val="none" w:sz="0" w:space="0" w:color="auto"/>
                    <w:right w:val="none" w:sz="0" w:space="0" w:color="auto"/>
                  </w:divBdr>
                </w:div>
                <w:div w:id="51657734">
                  <w:marLeft w:val="0"/>
                  <w:marRight w:val="0"/>
                  <w:marTop w:val="0"/>
                  <w:marBottom w:val="0"/>
                  <w:divBdr>
                    <w:top w:val="none" w:sz="0" w:space="0" w:color="auto"/>
                    <w:left w:val="none" w:sz="0" w:space="0" w:color="auto"/>
                    <w:bottom w:val="none" w:sz="0" w:space="0" w:color="auto"/>
                    <w:right w:val="none" w:sz="0" w:space="0" w:color="auto"/>
                  </w:divBdr>
                </w:div>
                <w:div w:id="1557158958">
                  <w:marLeft w:val="0"/>
                  <w:marRight w:val="0"/>
                  <w:marTop w:val="0"/>
                  <w:marBottom w:val="0"/>
                  <w:divBdr>
                    <w:top w:val="none" w:sz="0" w:space="0" w:color="auto"/>
                    <w:left w:val="none" w:sz="0" w:space="0" w:color="auto"/>
                    <w:bottom w:val="none" w:sz="0" w:space="0" w:color="auto"/>
                    <w:right w:val="none" w:sz="0" w:space="0" w:color="auto"/>
                  </w:divBdr>
                </w:div>
                <w:div w:id="1864055041">
                  <w:marLeft w:val="0"/>
                  <w:marRight w:val="0"/>
                  <w:marTop w:val="0"/>
                  <w:marBottom w:val="0"/>
                  <w:divBdr>
                    <w:top w:val="none" w:sz="0" w:space="0" w:color="auto"/>
                    <w:left w:val="none" w:sz="0" w:space="0" w:color="auto"/>
                    <w:bottom w:val="none" w:sz="0" w:space="0" w:color="auto"/>
                    <w:right w:val="none" w:sz="0" w:space="0" w:color="auto"/>
                  </w:divBdr>
                </w:div>
                <w:div w:id="125510490">
                  <w:marLeft w:val="0"/>
                  <w:marRight w:val="0"/>
                  <w:marTop w:val="0"/>
                  <w:marBottom w:val="0"/>
                  <w:divBdr>
                    <w:top w:val="none" w:sz="0" w:space="0" w:color="auto"/>
                    <w:left w:val="none" w:sz="0" w:space="0" w:color="auto"/>
                    <w:bottom w:val="none" w:sz="0" w:space="0" w:color="auto"/>
                    <w:right w:val="none" w:sz="0" w:space="0" w:color="auto"/>
                  </w:divBdr>
                </w:div>
                <w:div w:id="1212838169">
                  <w:marLeft w:val="0"/>
                  <w:marRight w:val="0"/>
                  <w:marTop w:val="0"/>
                  <w:marBottom w:val="0"/>
                  <w:divBdr>
                    <w:top w:val="none" w:sz="0" w:space="0" w:color="auto"/>
                    <w:left w:val="none" w:sz="0" w:space="0" w:color="auto"/>
                    <w:bottom w:val="none" w:sz="0" w:space="0" w:color="auto"/>
                    <w:right w:val="none" w:sz="0" w:space="0" w:color="auto"/>
                  </w:divBdr>
                </w:div>
                <w:div w:id="1820922450">
                  <w:marLeft w:val="0"/>
                  <w:marRight w:val="0"/>
                  <w:marTop w:val="0"/>
                  <w:marBottom w:val="0"/>
                  <w:divBdr>
                    <w:top w:val="none" w:sz="0" w:space="0" w:color="auto"/>
                    <w:left w:val="none" w:sz="0" w:space="0" w:color="auto"/>
                    <w:bottom w:val="none" w:sz="0" w:space="0" w:color="auto"/>
                    <w:right w:val="none" w:sz="0" w:space="0" w:color="auto"/>
                  </w:divBdr>
                </w:div>
                <w:div w:id="1534273420">
                  <w:marLeft w:val="0"/>
                  <w:marRight w:val="0"/>
                  <w:marTop w:val="0"/>
                  <w:marBottom w:val="0"/>
                  <w:divBdr>
                    <w:top w:val="none" w:sz="0" w:space="0" w:color="auto"/>
                    <w:left w:val="none" w:sz="0" w:space="0" w:color="auto"/>
                    <w:bottom w:val="none" w:sz="0" w:space="0" w:color="auto"/>
                    <w:right w:val="none" w:sz="0" w:space="0" w:color="auto"/>
                  </w:divBdr>
                </w:div>
                <w:div w:id="926111867">
                  <w:marLeft w:val="0"/>
                  <w:marRight w:val="0"/>
                  <w:marTop w:val="0"/>
                  <w:marBottom w:val="0"/>
                  <w:divBdr>
                    <w:top w:val="none" w:sz="0" w:space="0" w:color="auto"/>
                    <w:left w:val="none" w:sz="0" w:space="0" w:color="auto"/>
                    <w:bottom w:val="none" w:sz="0" w:space="0" w:color="auto"/>
                    <w:right w:val="none" w:sz="0" w:space="0" w:color="auto"/>
                  </w:divBdr>
                </w:div>
                <w:div w:id="88237689">
                  <w:marLeft w:val="0"/>
                  <w:marRight w:val="0"/>
                  <w:marTop w:val="0"/>
                  <w:marBottom w:val="0"/>
                  <w:divBdr>
                    <w:top w:val="none" w:sz="0" w:space="0" w:color="auto"/>
                    <w:left w:val="none" w:sz="0" w:space="0" w:color="auto"/>
                    <w:bottom w:val="none" w:sz="0" w:space="0" w:color="auto"/>
                    <w:right w:val="none" w:sz="0" w:space="0" w:color="auto"/>
                  </w:divBdr>
                </w:div>
                <w:div w:id="1583492095">
                  <w:marLeft w:val="0"/>
                  <w:marRight w:val="0"/>
                  <w:marTop w:val="0"/>
                  <w:marBottom w:val="0"/>
                  <w:divBdr>
                    <w:top w:val="none" w:sz="0" w:space="0" w:color="auto"/>
                    <w:left w:val="none" w:sz="0" w:space="0" w:color="auto"/>
                    <w:bottom w:val="none" w:sz="0" w:space="0" w:color="auto"/>
                    <w:right w:val="none" w:sz="0" w:space="0" w:color="auto"/>
                  </w:divBdr>
                </w:div>
                <w:div w:id="1572736452">
                  <w:marLeft w:val="0"/>
                  <w:marRight w:val="0"/>
                  <w:marTop w:val="0"/>
                  <w:marBottom w:val="0"/>
                  <w:divBdr>
                    <w:top w:val="none" w:sz="0" w:space="0" w:color="auto"/>
                    <w:left w:val="none" w:sz="0" w:space="0" w:color="auto"/>
                    <w:bottom w:val="none" w:sz="0" w:space="0" w:color="auto"/>
                    <w:right w:val="none" w:sz="0" w:space="0" w:color="auto"/>
                  </w:divBdr>
                </w:div>
                <w:div w:id="698697958">
                  <w:marLeft w:val="0"/>
                  <w:marRight w:val="0"/>
                  <w:marTop w:val="0"/>
                  <w:marBottom w:val="0"/>
                  <w:divBdr>
                    <w:top w:val="none" w:sz="0" w:space="0" w:color="auto"/>
                    <w:left w:val="none" w:sz="0" w:space="0" w:color="auto"/>
                    <w:bottom w:val="none" w:sz="0" w:space="0" w:color="auto"/>
                    <w:right w:val="none" w:sz="0" w:space="0" w:color="auto"/>
                  </w:divBdr>
                </w:div>
                <w:div w:id="912858278">
                  <w:marLeft w:val="0"/>
                  <w:marRight w:val="0"/>
                  <w:marTop w:val="0"/>
                  <w:marBottom w:val="0"/>
                  <w:divBdr>
                    <w:top w:val="none" w:sz="0" w:space="0" w:color="auto"/>
                    <w:left w:val="none" w:sz="0" w:space="0" w:color="auto"/>
                    <w:bottom w:val="none" w:sz="0" w:space="0" w:color="auto"/>
                    <w:right w:val="none" w:sz="0" w:space="0" w:color="auto"/>
                  </w:divBdr>
                </w:div>
                <w:div w:id="214199930">
                  <w:marLeft w:val="0"/>
                  <w:marRight w:val="0"/>
                  <w:marTop w:val="0"/>
                  <w:marBottom w:val="0"/>
                  <w:divBdr>
                    <w:top w:val="none" w:sz="0" w:space="0" w:color="auto"/>
                    <w:left w:val="none" w:sz="0" w:space="0" w:color="auto"/>
                    <w:bottom w:val="none" w:sz="0" w:space="0" w:color="auto"/>
                    <w:right w:val="none" w:sz="0" w:space="0" w:color="auto"/>
                  </w:divBdr>
                </w:div>
                <w:div w:id="1417747602">
                  <w:marLeft w:val="0"/>
                  <w:marRight w:val="0"/>
                  <w:marTop w:val="0"/>
                  <w:marBottom w:val="0"/>
                  <w:divBdr>
                    <w:top w:val="none" w:sz="0" w:space="0" w:color="auto"/>
                    <w:left w:val="none" w:sz="0" w:space="0" w:color="auto"/>
                    <w:bottom w:val="none" w:sz="0" w:space="0" w:color="auto"/>
                    <w:right w:val="none" w:sz="0" w:space="0" w:color="auto"/>
                  </w:divBdr>
                </w:div>
                <w:div w:id="430708538">
                  <w:marLeft w:val="0"/>
                  <w:marRight w:val="0"/>
                  <w:marTop w:val="0"/>
                  <w:marBottom w:val="0"/>
                  <w:divBdr>
                    <w:top w:val="none" w:sz="0" w:space="0" w:color="auto"/>
                    <w:left w:val="none" w:sz="0" w:space="0" w:color="auto"/>
                    <w:bottom w:val="none" w:sz="0" w:space="0" w:color="auto"/>
                    <w:right w:val="none" w:sz="0" w:space="0" w:color="auto"/>
                  </w:divBdr>
                </w:div>
                <w:div w:id="762995113">
                  <w:marLeft w:val="0"/>
                  <w:marRight w:val="0"/>
                  <w:marTop w:val="0"/>
                  <w:marBottom w:val="0"/>
                  <w:divBdr>
                    <w:top w:val="none" w:sz="0" w:space="0" w:color="auto"/>
                    <w:left w:val="none" w:sz="0" w:space="0" w:color="auto"/>
                    <w:bottom w:val="none" w:sz="0" w:space="0" w:color="auto"/>
                    <w:right w:val="none" w:sz="0" w:space="0" w:color="auto"/>
                  </w:divBdr>
                </w:div>
                <w:div w:id="642541867">
                  <w:marLeft w:val="0"/>
                  <w:marRight w:val="0"/>
                  <w:marTop w:val="0"/>
                  <w:marBottom w:val="0"/>
                  <w:divBdr>
                    <w:top w:val="none" w:sz="0" w:space="0" w:color="auto"/>
                    <w:left w:val="none" w:sz="0" w:space="0" w:color="auto"/>
                    <w:bottom w:val="none" w:sz="0" w:space="0" w:color="auto"/>
                    <w:right w:val="none" w:sz="0" w:space="0" w:color="auto"/>
                  </w:divBdr>
                </w:div>
                <w:div w:id="876508919">
                  <w:marLeft w:val="0"/>
                  <w:marRight w:val="0"/>
                  <w:marTop w:val="0"/>
                  <w:marBottom w:val="0"/>
                  <w:divBdr>
                    <w:top w:val="none" w:sz="0" w:space="0" w:color="auto"/>
                    <w:left w:val="none" w:sz="0" w:space="0" w:color="auto"/>
                    <w:bottom w:val="none" w:sz="0" w:space="0" w:color="auto"/>
                    <w:right w:val="none" w:sz="0" w:space="0" w:color="auto"/>
                  </w:divBdr>
                </w:div>
                <w:div w:id="261839266">
                  <w:marLeft w:val="0"/>
                  <w:marRight w:val="0"/>
                  <w:marTop w:val="0"/>
                  <w:marBottom w:val="0"/>
                  <w:divBdr>
                    <w:top w:val="none" w:sz="0" w:space="0" w:color="auto"/>
                    <w:left w:val="none" w:sz="0" w:space="0" w:color="auto"/>
                    <w:bottom w:val="none" w:sz="0" w:space="0" w:color="auto"/>
                    <w:right w:val="none" w:sz="0" w:space="0" w:color="auto"/>
                  </w:divBdr>
                </w:div>
                <w:div w:id="1332483723">
                  <w:marLeft w:val="0"/>
                  <w:marRight w:val="0"/>
                  <w:marTop w:val="0"/>
                  <w:marBottom w:val="0"/>
                  <w:divBdr>
                    <w:top w:val="none" w:sz="0" w:space="0" w:color="auto"/>
                    <w:left w:val="none" w:sz="0" w:space="0" w:color="auto"/>
                    <w:bottom w:val="none" w:sz="0" w:space="0" w:color="auto"/>
                    <w:right w:val="none" w:sz="0" w:space="0" w:color="auto"/>
                  </w:divBdr>
                </w:div>
                <w:div w:id="1534656855">
                  <w:marLeft w:val="0"/>
                  <w:marRight w:val="0"/>
                  <w:marTop w:val="0"/>
                  <w:marBottom w:val="0"/>
                  <w:divBdr>
                    <w:top w:val="none" w:sz="0" w:space="0" w:color="auto"/>
                    <w:left w:val="none" w:sz="0" w:space="0" w:color="auto"/>
                    <w:bottom w:val="none" w:sz="0" w:space="0" w:color="auto"/>
                    <w:right w:val="none" w:sz="0" w:space="0" w:color="auto"/>
                  </w:divBdr>
                </w:div>
                <w:div w:id="1704666977">
                  <w:marLeft w:val="0"/>
                  <w:marRight w:val="0"/>
                  <w:marTop w:val="0"/>
                  <w:marBottom w:val="0"/>
                  <w:divBdr>
                    <w:top w:val="none" w:sz="0" w:space="0" w:color="auto"/>
                    <w:left w:val="none" w:sz="0" w:space="0" w:color="auto"/>
                    <w:bottom w:val="none" w:sz="0" w:space="0" w:color="auto"/>
                    <w:right w:val="none" w:sz="0" w:space="0" w:color="auto"/>
                  </w:divBdr>
                </w:div>
                <w:div w:id="1410424620">
                  <w:marLeft w:val="0"/>
                  <w:marRight w:val="0"/>
                  <w:marTop w:val="0"/>
                  <w:marBottom w:val="0"/>
                  <w:divBdr>
                    <w:top w:val="none" w:sz="0" w:space="0" w:color="auto"/>
                    <w:left w:val="none" w:sz="0" w:space="0" w:color="auto"/>
                    <w:bottom w:val="none" w:sz="0" w:space="0" w:color="auto"/>
                    <w:right w:val="none" w:sz="0" w:space="0" w:color="auto"/>
                  </w:divBdr>
                </w:div>
                <w:div w:id="1314216056">
                  <w:marLeft w:val="0"/>
                  <w:marRight w:val="0"/>
                  <w:marTop w:val="0"/>
                  <w:marBottom w:val="0"/>
                  <w:divBdr>
                    <w:top w:val="none" w:sz="0" w:space="0" w:color="auto"/>
                    <w:left w:val="none" w:sz="0" w:space="0" w:color="auto"/>
                    <w:bottom w:val="none" w:sz="0" w:space="0" w:color="auto"/>
                    <w:right w:val="none" w:sz="0" w:space="0" w:color="auto"/>
                  </w:divBdr>
                </w:div>
                <w:div w:id="250965306">
                  <w:marLeft w:val="0"/>
                  <w:marRight w:val="0"/>
                  <w:marTop w:val="0"/>
                  <w:marBottom w:val="0"/>
                  <w:divBdr>
                    <w:top w:val="none" w:sz="0" w:space="0" w:color="auto"/>
                    <w:left w:val="none" w:sz="0" w:space="0" w:color="auto"/>
                    <w:bottom w:val="none" w:sz="0" w:space="0" w:color="auto"/>
                    <w:right w:val="none" w:sz="0" w:space="0" w:color="auto"/>
                  </w:divBdr>
                </w:div>
                <w:div w:id="1728995250">
                  <w:marLeft w:val="0"/>
                  <w:marRight w:val="0"/>
                  <w:marTop w:val="0"/>
                  <w:marBottom w:val="0"/>
                  <w:divBdr>
                    <w:top w:val="none" w:sz="0" w:space="0" w:color="auto"/>
                    <w:left w:val="none" w:sz="0" w:space="0" w:color="auto"/>
                    <w:bottom w:val="none" w:sz="0" w:space="0" w:color="auto"/>
                    <w:right w:val="none" w:sz="0" w:space="0" w:color="auto"/>
                  </w:divBdr>
                </w:div>
                <w:div w:id="1151099904">
                  <w:marLeft w:val="0"/>
                  <w:marRight w:val="0"/>
                  <w:marTop w:val="0"/>
                  <w:marBottom w:val="0"/>
                  <w:divBdr>
                    <w:top w:val="none" w:sz="0" w:space="0" w:color="auto"/>
                    <w:left w:val="none" w:sz="0" w:space="0" w:color="auto"/>
                    <w:bottom w:val="none" w:sz="0" w:space="0" w:color="auto"/>
                    <w:right w:val="none" w:sz="0" w:space="0" w:color="auto"/>
                  </w:divBdr>
                </w:div>
                <w:div w:id="112404409">
                  <w:marLeft w:val="0"/>
                  <w:marRight w:val="0"/>
                  <w:marTop w:val="0"/>
                  <w:marBottom w:val="0"/>
                  <w:divBdr>
                    <w:top w:val="none" w:sz="0" w:space="0" w:color="auto"/>
                    <w:left w:val="none" w:sz="0" w:space="0" w:color="auto"/>
                    <w:bottom w:val="none" w:sz="0" w:space="0" w:color="auto"/>
                    <w:right w:val="none" w:sz="0" w:space="0" w:color="auto"/>
                  </w:divBdr>
                </w:div>
                <w:div w:id="173109430">
                  <w:marLeft w:val="0"/>
                  <w:marRight w:val="0"/>
                  <w:marTop w:val="0"/>
                  <w:marBottom w:val="0"/>
                  <w:divBdr>
                    <w:top w:val="none" w:sz="0" w:space="0" w:color="auto"/>
                    <w:left w:val="none" w:sz="0" w:space="0" w:color="auto"/>
                    <w:bottom w:val="none" w:sz="0" w:space="0" w:color="auto"/>
                    <w:right w:val="none" w:sz="0" w:space="0" w:color="auto"/>
                  </w:divBdr>
                </w:div>
                <w:div w:id="747993664">
                  <w:marLeft w:val="0"/>
                  <w:marRight w:val="0"/>
                  <w:marTop w:val="0"/>
                  <w:marBottom w:val="0"/>
                  <w:divBdr>
                    <w:top w:val="none" w:sz="0" w:space="0" w:color="auto"/>
                    <w:left w:val="none" w:sz="0" w:space="0" w:color="auto"/>
                    <w:bottom w:val="none" w:sz="0" w:space="0" w:color="auto"/>
                    <w:right w:val="none" w:sz="0" w:space="0" w:color="auto"/>
                  </w:divBdr>
                </w:div>
                <w:div w:id="570694992">
                  <w:marLeft w:val="0"/>
                  <w:marRight w:val="0"/>
                  <w:marTop w:val="0"/>
                  <w:marBottom w:val="0"/>
                  <w:divBdr>
                    <w:top w:val="none" w:sz="0" w:space="0" w:color="auto"/>
                    <w:left w:val="none" w:sz="0" w:space="0" w:color="auto"/>
                    <w:bottom w:val="none" w:sz="0" w:space="0" w:color="auto"/>
                    <w:right w:val="none" w:sz="0" w:space="0" w:color="auto"/>
                  </w:divBdr>
                </w:div>
                <w:div w:id="507795413">
                  <w:marLeft w:val="0"/>
                  <w:marRight w:val="0"/>
                  <w:marTop w:val="0"/>
                  <w:marBottom w:val="0"/>
                  <w:divBdr>
                    <w:top w:val="none" w:sz="0" w:space="0" w:color="auto"/>
                    <w:left w:val="none" w:sz="0" w:space="0" w:color="auto"/>
                    <w:bottom w:val="none" w:sz="0" w:space="0" w:color="auto"/>
                    <w:right w:val="none" w:sz="0" w:space="0" w:color="auto"/>
                  </w:divBdr>
                </w:div>
                <w:div w:id="738013888">
                  <w:marLeft w:val="0"/>
                  <w:marRight w:val="0"/>
                  <w:marTop w:val="0"/>
                  <w:marBottom w:val="0"/>
                  <w:divBdr>
                    <w:top w:val="none" w:sz="0" w:space="0" w:color="auto"/>
                    <w:left w:val="none" w:sz="0" w:space="0" w:color="auto"/>
                    <w:bottom w:val="none" w:sz="0" w:space="0" w:color="auto"/>
                    <w:right w:val="none" w:sz="0" w:space="0" w:color="auto"/>
                  </w:divBdr>
                </w:div>
                <w:div w:id="1979332250">
                  <w:marLeft w:val="0"/>
                  <w:marRight w:val="0"/>
                  <w:marTop w:val="0"/>
                  <w:marBottom w:val="0"/>
                  <w:divBdr>
                    <w:top w:val="none" w:sz="0" w:space="0" w:color="auto"/>
                    <w:left w:val="none" w:sz="0" w:space="0" w:color="auto"/>
                    <w:bottom w:val="none" w:sz="0" w:space="0" w:color="auto"/>
                    <w:right w:val="none" w:sz="0" w:space="0" w:color="auto"/>
                  </w:divBdr>
                </w:div>
                <w:div w:id="1234700129">
                  <w:marLeft w:val="0"/>
                  <w:marRight w:val="0"/>
                  <w:marTop w:val="0"/>
                  <w:marBottom w:val="0"/>
                  <w:divBdr>
                    <w:top w:val="none" w:sz="0" w:space="0" w:color="auto"/>
                    <w:left w:val="none" w:sz="0" w:space="0" w:color="auto"/>
                    <w:bottom w:val="none" w:sz="0" w:space="0" w:color="auto"/>
                    <w:right w:val="none" w:sz="0" w:space="0" w:color="auto"/>
                  </w:divBdr>
                </w:div>
                <w:div w:id="639001563">
                  <w:marLeft w:val="0"/>
                  <w:marRight w:val="0"/>
                  <w:marTop w:val="0"/>
                  <w:marBottom w:val="0"/>
                  <w:divBdr>
                    <w:top w:val="none" w:sz="0" w:space="0" w:color="auto"/>
                    <w:left w:val="none" w:sz="0" w:space="0" w:color="auto"/>
                    <w:bottom w:val="none" w:sz="0" w:space="0" w:color="auto"/>
                    <w:right w:val="none" w:sz="0" w:space="0" w:color="auto"/>
                  </w:divBdr>
                </w:div>
                <w:div w:id="1640065605">
                  <w:marLeft w:val="0"/>
                  <w:marRight w:val="0"/>
                  <w:marTop w:val="0"/>
                  <w:marBottom w:val="0"/>
                  <w:divBdr>
                    <w:top w:val="none" w:sz="0" w:space="0" w:color="auto"/>
                    <w:left w:val="none" w:sz="0" w:space="0" w:color="auto"/>
                    <w:bottom w:val="none" w:sz="0" w:space="0" w:color="auto"/>
                    <w:right w:val="none" w:sz="0" w:space="0" w:color="auto"/>
                  </w:divBdr>
                </w:div>
                <w:div w:id="119930888">
                  <w:marLeft w:val="0"/>
                  <w:marRight w:val="0"/>
                  <w:marTop w:val="0"/>
                  <w:marBottom w:val="0"/>
                  <w:divBdr>
                    <w:top w:val="none" w:sz="0" w:space="0" w:color="auto"/>
                    <w:left w:val="none" w:sz="0" w:space="0" w:color="auto"/>
                    <w:bottom w:val="none" w:sz="0" w:space="0" w:color="auto"/>
                    <w:right w:val="none" w:sz="0" w:space="0" w:color="auto"/>
                  </w:divBdr>
                </w:div>
                <w:div w:id="829178822">
                  <w:marLeft w:val="0"/>
                  <w:marRight w:val="0"/>
                  <w:marTop w:val="0"/>
                  <w:marBottom w:val="0"/>
                  <w:divBdr>
                    <w:top w:val="none" w:sz="0" w:space="0" w:color="auto"/>
                    <w:left w:val="none" w:sz="0" w:space="0" w:color="auto"/>
                    <w:bottom w:val="none" w:sz="0" w:space="0" w:color="auto"/>
                    <w:right w:val="none" w:sz="0" w:space="0" w:color="auto"/>
                  </w:divBdr>
                </w:div>
                <w:div w:id="668408428">
                  <w:marLeft w:val="0"/>
                  <w:marRight w:val="0"/>
                  <w:marTop w:val="0"/>
                  <w:marBottom w:val="0"/>
                  <w:divBdr>
                    <w:top w:val="none" w:sz="0" w:space="0" w:color="auto"/>
                    <w:left w:val="none" w:sz="0" w:space="0" w:color="auto"/>
                    <w:bottom w:val="none" w:sz="0" w:space="0" w:color="auto"/>
                    <w:right w:val="none" w:sz="0" w:space="0" w:color="auto"/>
                  </w:divBdr>
                </w:div>
                <w:div w:id="1126581630">
                  <w:marLeft w:val="0"/>
                  <w:marRight w:val="0"/>
                  <w:marTop w:val="0"/>
                  <w:marBottom w:val="0"/>
                  <w:divBdr>
                    <w:top w:val="none" w:sz="0" w:space="0" w:color="auto"/>
                    <w:left w:val="none" w:sz="0" w:space="0" w:color="auto"/>
                    <w:bottom w:val="none" w:sz="0" w:space="0" w:color="auto"/>
                    <w:right w:val="none" w:sz="0" w:space="0" w:color="auto"/>
                  </w:divBdr>
                </w:div>
                <w:div w:id="570236947">
                  <w:marLeft w:val="0"/>
                  <w:marRight w:val="0"/>
                  <w:marTop w:val="0"/>
                  <w:marBottom w:val="0"/>
                  <w:divBdr>
                    <w:top w:val="none" w:sz="0" w:space="0" w:color="auto"/>
                    <w:left w:val="none" w:sz="0" w:space="0" w:color="auto"/>
                    <w:bottom w:val="none" w:sz="0" w:space="0" w:color="auto"/>
                    <w:right w:val="none" w:sz="0" w:space="0" w:color="auto"/>
                  </w:divBdr>
                </w:div>
                <w:div w:id="2109111212">
                  <w:marLeft w:val="0"/>
                  <w:marRight w:val="0"/>
                  <w:marTop w:val="0"/>
                  <w:marBottom w:val="0"/>
                  <w:divBdr>
                    <w:top w:val="none" w:sz="0" w:space="0" w:color="auto"/>
                    <w:left w:val="none" w:sz="0" w:space="0" w:color="auto"/>
                    <w:bottom w:val="none" w:sz="0" w:space="0" w:color="auto"/>
                    <w:right w:val="none" w:sz="0" w:space="0" w:color="auto"/>
                  </w:divBdr>
                </w:div>
                <w:div w:id="729769994">
                  <w:marLeft w:val="0"/>
                  <w:marRight w:val="0"/>
                  <w:marTop w:val="0"/>
                  <w:marBottom w:val="0"/>
                  <w:divBdr>
                    <w:top w:val="none" w:sz="0" w:space="0" w:color="auto"/>
                    <w:left w:val="none" w:sz="0" w:space="0" w:color="auto"/>
                    <w:bottom w:val="none" w:sz="0" w:space="0" w:color="auto"/>
                    <w:right w:val="none" w:sz="0" w:space="0" w:color="auto"/>
                  </w:divBdr>
                </w:div>
                <w:div w:id="1713842678">
                  <w:marLeft w:val="0"/>
                  <w:marRight w:val="0"/>
                  <w:marTop w:val="0"/>
                  <w:marBottom w:val="0"/>
                  <w:divBdr>
                    <w:top w:val="none" w:sz="0" w:space="0" w:color="auto"/>
                    <w:left w:val="none" w:sz="0" w:space="0" w:color="auto"/>
                    <w:bottom w:val="none" w:sz="0" w:space="0" w:color="auto"/>
                    <w:right w:val="none" w:sz="0" w:space="0" w:color="auto"/>
                  </w:divBdr>
                </w:div>
                <w:div w:id="1709451951">
                  <w:marLeft w:val="0"/>
                  <w:marRight w:val="0"/>
                  <w:marTop w:val="0"/>
                  <w:marBottom w:val="0"/>
                  <w:divBdr>
                    <w:top w:val="none" w:sz="0" w:space="0" w:color="auto"/>
                    <w:left w:val="none" w:sz="0" w:space="0" w:color="auto"/>
                    <w:bottom w:val="none" w:sz="0" w:space="0" w:color="auto"/>
                    <w:right w:val="none" w:sz="0" w:space="0" w:color="auto"/>
                  </w:divBdr>
                </w:div>
                <w:div w:id="40637070">
                  <w:marLeft w:val="0"/>
                  <w:marRight w:val="0"/>
                  <w:marTop w:val="0"/>
                  <w:marBottom w:val="0"/>
                  <w:divBdr>
                    <w:top w:val="none" w:sz="0" w:space="0" w:color="auto"/>
                    <w:left w:val="none" w:sz="0" w:space="0" w:color="auto"/>
                    <w:bottom w:val="none" w:sz="0" w:space="0" w:color="auto"/>
                    <w:right w:val="none" w:sz="0" w:space="0" w:color="auto"/>
                  </w:divBdr>
                </w:div>
                <w:div w:id="1464542135">
                  <w:marLeft w:val="0"/>
                  <w:marRight w:val="0"/>
                  <w:marTop w:val="0"/>
                  <w:marBottom w:val="0"/>
                  <w:divBdr>
                    <w:top w:val="none" w:sz="0" w:space="0" w:color="auto"/>
                    <w:left w:val="none" w:sz="0" w:space="0" w:color="auto"/>
                    <w:bottom w:val="none" w:sz="0" w:space="0" w:color="auto"/>
                    <w:right w:val="none" w:sz="0" w:space="0" w:color="auto"/>
                  </w:divBdr>
                </w:div>
                <w:div w:id="880358237">
                  <w:marLeft w:val="0"/>
                  <w:marRight w:val="0"/>
                  <w:marTop w:val="0"/>
                  <w:marBottom w:val="0"/>
                  <w:divBdr>
                    <w:top w:val="none" w:sz="0" w:space="0" w:color="auto"/>
                    <w:left w:val="none" w:sz="0" w:space="0" w:color="auto"/>
                    <w:bottom w:val="none" w:sz="0" w:space="0" w:color="auto"/>
                    <w:right w:val="none" w:sz="0" w:space="0" w:color="auto"/>
                  </w:divBdr>
                </w:div>
                <w:div w:id="210877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226181">
          <w:marLeft w:val="0"/>
          <w:marRight w:val="0"/>
          <w:marTop w:val="0"/>
          <w:marBottom w:val="0"/>
          <w:divBdr>
            <w:top w:val="none" w:sz="0" w:space="0" w:color="auto"/>
            <w:left w:val="none" w:sz="0" w:space="0" w:color="auto"/>
            <w:bottom w:val="none" w:sz="0" w:space="0" w:color="auto"/>
            <w:right w:val="none" w:sz="0" w:space="0" w:color="auto"/>
          </w:divBdr>
          <w:divsChild>
            <w:div w:id="1673217661">
              <w:marLeft w:val="0"/>
              <w:marRight w:val="0"/>
              <w:marTop w:val="0"/>
              <w:marBottom w:val="0"/>
              <w:divBdr>
                <w:top w:val="none" w:sz="0" w:space="0" w:color="auto"/>
                <w:left w:val="none" w:sz="0" w:space="0" w:color="auto"/>
                <w:bottom w:val="none" w:sz="0" w:space="0" w:color="auto"/>
                <w:right w:val="none" w:sz="0" w:space="0" w:color="auto"/>
              </w:divBdr>
              <w:divsChild>
                <w:div w:id="848763326">
                  <w:marLeft w:val="0"/>
                  <w:marRight w:val="0"/>
                  <w:marTop w:val="0"/>
                  <w:marBottom w:val="0"/>
                  <w:divBdr>
                    <w:top w:val="none" w:sz="0" w:space="0" w:color="auto"/>
                    <w:left w:val="none" w:sz="0" w:space="0" w:color="auto"/>
                    <w:bottom w:val="none" w:sz="0" w:space="0" w:color="auto"/>
                    <w:right w:val="none" w:sz="0" w:space="0" w:color="auto"/>
                  </w:divBdr>
                </w:div>
                <w:div w:id="345450804">
                  <w:marLeft w:val="0"/>
                  <w:marRight w:val="0"/>
                  <w:marTop w:val="0"/>
                  <w:marBottom w:val="0"/>
                  <w:divBdr>
                    <w:top w:val="none" w:sz="0" w:space="0" w:color="auto"/>
                    <w:left w:val="none" w:sz="0" w:space="0" w:color="auto"/>
                    <w:bottom w:val="none" w:sz="0" w:space="0" w:color="auto"/>
                    <w:right w:val="none" w:sz="0" w:space="0" w:color="auto"/>
                  </w:divBdr>
                </w:div>
                <w:div w:id="1256859308">
                  <w:marLeft w:val="0"/>
                  <w:marRight w:val="0"/>
                  <w:marTop w:val="0"/>
                  <w:marBottom w:val="0"/>
                  <w:divBdr>
                    <w:top w:val="none" w:sz="0" w:space="0" w:color="auto"/>
                    <w:left w:val="none" w:sz="0" w:space="0" w:color="auto"/>
                    <w:bottom w:val="none" w:sz="0" w:space="0" w:color="auto"/>
                    <w:right w:val="none" w:sz="0" w:space="0" w:color="auto"/>
                  </w:divBdr>
                </w:div>
                <w:div w:id="451560988">
                  <w:marLeft w:val="0"/>
                  <w:marRight w:val="0"/>
                  <w:marTop w:val="0"/>
                  <w:marBottom w:val="0"/>
                  <w:divBdr>
                    <w:top w:val="none" w:sz="0" w:space="0" w:color="auto"/>
                    <w:left w:val="none" w:sz="0" w:space="0" w:color="auto"/>
                    <w:bottom w:val="none" w:sz="0" w:space="0" w:color="auto"/>
                    <w:right w:val="none" w:sz="0" w:space="0" w:color="auto"/>
                  </w:divBdr>
                </w:div>
                <w:div w:id="971207407">
                  <w:marLeft w:val="0"/>
                  <w:marRight w:val="0"/>
                  <w:marTop w:val="0"/>
                  <w:marBottom w:val="0"/>
                  <w:divBdr>
                    <w:top w:val="none" w:sz="0" w:space="0" w:color="auto"/>
                    <w:left w:val="none" w:sz="0" w:space="0" w:color="auto"/>
                    <w:bottom w:val="none" w:sz="0" w:space="0" w:color="auto"/>
                    <w:right w:val="none" w:sz="0" w:space="0" w:color="auto"/>
                  </w:divBdr>
                </w:div>
                <w:div w:id="1382630752">
                  <w:marLeft w:val="0"/>
                  <w:marRight w:val="0"/>
                  <w:marTop w:val="0"/>
                  <w:marBottom w:val="0"/>
                  <w:divBdr>
                    <w:top w:val="none" w:sz="0" w:space="0" w:color="auto"/>
                    <w:left w:val="none" w:sz="0" w:space="0" w:color="auto"/>
                    <w:bottom w:val="none" w:sz="0" w:space="0" w:color="auto"/>
                    <w:right w:val="none" w:sz="0" w:space="0" w:color="auto"/>
                  </w:divBdr>
                </w:div>
                <w:div w:id="294525988">
                  <w:marLeft w:val="0"/>
                  <w:marRight w:val="0"/>
                  <w:marTop w:val="0"/>
                  <w:marBottom w:val="0"/>
                  <w:divBdr>
                    <w:top w:val="none" w:sz="0" w:space="0" w:color="auto"/>
                    <w:left w:val="none" w:sz="0" w:space="0" w:color="auto"/>
                    <w:bottom w:val="none" w:sz="0" w:space="0" w:color="auto"/>
                    <w:right w:val="none" w:sz="0" w:space="0" w:color="auto"/>
                  </w:divBdr>
                </w:div>
                <w:div w:id="792098825">
                  <w:marLeft w:val="0"/>
                  <w:marRight w:val="0"/>
                  <w:marTop w:val="0"/>
                  <w:marBottom w:val="0"/>
                  <w:divBdr>
                    <w:top w:val="none" w:sz="0" w:space="0" w:color="auto"/>
                    <w:left w:val="none" w:sz="0" w:space="0" w:color="auto"/>
                    <w:bottom w:val="none" w:sz="0" w:space="0" w:color="auto"/>
                    <w:right w:val="none" w:sz="0" w:space="0" w:color="auto"/>
                  </w:divBdr>
                </w:div>
                <w:div w:id="793251213">
                  <w:marLeft w:val="0"/>
                  <w:marRight w:val="0"/>
                  <w:marTop w:val="0"/>
                  <w:marBottom w:val="0"/>
                  <w:divBdr>
                    <w:top w:val="none" w:sz="0" w:space="0" w:color="auto"/>
                    <w:left w:val="none" w:sz="0" w:space="0" w:color="auto"/>
                    <w:bottom w:val="none" w:sz="0" w:space="0" w:color="auto"/>
                    <w:right w:val="none" w:sz="0" w:space="0" w:color="auto"/>
                  </w:divBdr>
                </w:div>
                <w:div w:id="1401250295">
                  <w:marLeft w:val="0"/>
                  <w:marRight w:val="0"/>
                  <w:marTop w:val="0"/>
                  <w:marBottom w:val="0"/>
                  <w:divBdr>
                    <w:top w:val="none" w:sz="0" w:space="0" w:color="auto"/>
                    <w:left w:val="none" w:sz="0" w:space="0" w:color="auto"/>
                    <w:bottom w:val="none" w:sz="0" w:space="0" w:color="auto"/>
                    <w:right w:val="none" w:sz="0" w:space="0" w:color="auto"/>
                  </w:divBdr>
                </w:div>
                <w:div w:id="1753424995">
                  <w:marLeft w:val="0"/>
                  <w:marRight w:val="0"/>
                  <w:marTop w:val="0"/>
                  <w:marBottom w:val="0"/>
                  <w:divBdr>
                    <w:top w:val="none" w:sz="0" w:space="0" w:color="auto"/>
                    <w:left w:val="none" w:sz="0" w:space="0" w:color="auto"/>
                    <w:bottom w:val="none" w:sz="0" w:space="0" w:color="auto"/>
                    <w:right w:val="none" w:sz="0" w:space="0" w:color="auto"/>
                  </w:divBdr>
                </w:div>
                <w:div w:id="1936092648">
                  <w:marLeft w:val="0"/>
                  <w:marRight w:val="0"/>
                  <w:marTop w:val="0"/>
                  <w:marBottom w:val="0"/>
                  <w:divBdr>
                    <w:top w:val="none" w:sz="0" w:space="0" w:color="auto"/>
                    <w:left w:val="none" w:sz="0" w:space="0" w:color="auto"/>
                    <w:bottom w:val="none" w:sz="0" w:space="0" w:color="auto"/>
                    <w:right w:val="none" w:sz="0" w:space="0" w:color="auto"/>
                  </w:divBdr>
                </w:div>
                <w:div w:id="2000307984">
                  <w:marLeft w:val="0"/>
                  <w:marRight w:val="0"/>
                  <w:marTop w:val="0"/>
                  <w:marBottom w:val="0"/>
                  <w:divBdr>
                    <w:top w:val="none" w:sz="0" w:space="0" w:color="auto"/>
                    <w:left w:val="none" w:sz="0" w:space="0" w:color="auto"/>
                    <w:bottom w:val="none" w:sz="0" w:space="0" w:color="auto"/>
                    <w:right w:val="none" w:sz="0" w:space="0" w:color="auto"/>
                  </w:divBdr>
                </w:div>
                <w:div w:id="1236089034">
                  <w:marLeft w:val="0"/>
                  <w:marRight w:val="0"/>
                  <w:marTop w:val="0"/>
                  <w:marBottom w:val="0"/>
                  <w:divBdr>
                    <w:top w:val="none" w:sz="0" w:space="0" w:color="auto"/>
                    <w:left w:val="none" w:sz="0" w:space="0" w:color="auto"/>
                    <w:bottom w:val="none" w:sz="0" w:space="0" w:color="auto"/>
                    <w:right w:val="none" w:sz="0" w:space="0" w:color="auto"/>
                  </w:divBdr>
                </w:div>
                <w:div w:id="911738791">
                  <w:marLeft w:val="0"/>
                  <w:marRight w:val="0"/>
                  <w:marTop w:val="0"/>
                  <w:marBottom w:val="0"/>
                  <w:divBdr>
                    <w:top w:val="none" w:sz="0" w:space="0" w:color="auto"/>
                    <w:left w:val="none" w:sz="0" w:space="0" w:color="auto"/>
                    <w:bottom w:val="none" w:sz="0" w:space="0" w:color="auto"/>
                    <w:right w:val="none" w:sz="0" w:space="0" w:color="auto"/>
                  </w:divBdr>
                </w:div>
                <w:div w:id="198208142">
                  <w:marLeft w:val="0"/>
                  <w:marRight w:val="0"/>
                  <w:marTop w:val="0"/>
                  <w:marBottom w:val="0"/>
                  <w:divBdr>
                    <w:top w:val="none" w:sz="0" w:space="0" w:color="auto"/>
                    <w:left w:val="none" w:sz="0" w:space="0" w:color="auto"/>
                    <w:bottom w:val="none" w:sz="0" w:space="0" w:color="auto"/>
                    <w:right w:val="none" w:sz="0" w:space="0" w:color="auto"/>
                  </w:divBdr>
                </w:div>
                <w:div w:id="1678927283">
                  <w:marLeft w:val="0"/>
                  <w:marRight w:val="0"/>
                  <w:marTop w:val="0"/>
                  <w:marBottom w:val="0"/>
                  <w:divBdr>
                    <w:top w:val="none" w:sz="0" w:space="0" w:color="auto"/>
                    <w:left w:val="none" w:sz="0" w:space="0" w:color="auto"/>
                    <w:bottom w:val="none" w:sz="0" w:space="0" w:color="auto"/>
                    <w:right w:val="none" w:sz="0" w:space="0" w:color="auto"/>
                  </w:divBdr>
                </w:div>
                <w:div w:id="404189061">
                  <w:marLeft w:val="0"/>
                  <w:marRight w:val="0"/>
                  <w:marTop w:val="0"/>
                  <w:marBottom w:val="0"/>
                  <w:divBdr>
                    <w:top w:val="none" w:sz="0" w:space="0" w:color="auto"/>
                    <w:left w:val="none" w:sz="0" w:space="0" w:color="auto"/>
                    <w:bottom w:val="none" w:sz="0" w:space="0" w:color="auto"/>
                    <w:right w:val="none" w:sz="0" w:space="0" w:color="auto"/>
                  </w:divBdr>
                </w:div>
                <w:div w:id="1725760302">
                  <w:marLeft w:val="0"/>
                  <w:marRight w:val="0"/>
                  <w:marTop w:val="0"/>
                  <w:marBottom w:val="0"/>
                  <w:divBdr>
                    <w:top w:val="none" w:sz="0" w:space="0" w:color="auto"/>
                    <w:left w:val="none" w:sz="0" w:space="0" w:color="auto"/>
                    <w:bottom w:val="none" w:sz="0" w:space="0" w:color="auto"/>
                    <w:right w:val="none" w:sz="0" w:space="0" w:color="auto"/>
                  </w:divBdr>
                </w:div>
                <w:div w:id="170342647">
                  <w:marLeft w:val="0"/>
                  <w:marRight w:val="0"/>
                  <w:marTop w:val="0"/>
                  <w:marBottom w:val="0"/>
                  <w:divBdr>
                    <w:top w:val="none" w:sz="0" w:space="0" w:color="auto"/>
                    <w:left w:val="none" w:sz="0" w:space="0" w:color="auto"/>
                    <w:bottom w:val="none" w:sz="0" w:space="0" w:color="auto"/>
                    <w:right w:val="none" w:sz="0" w:space="0" w:color="auto"/>
                  </w:divBdr>
                </w:div>
                <w:div w:id="2084450269">
                  <w:marLeft w:val="0"/>
                  <w:marRight w:val="0"/>
                  <w:marTop w:val="0"/>
                  <w:marBottom w:val="0"/>
                  <w:divBdr>
                    <w:top w:val="none" w:sz="0" w:space="0" w:color="auto"/>
                    <w:left w:val="none" w:sz="0" w:space="0" w:color="auto"/>
                    <w:bottom w:val="none" w:sz="0" w:space="0" w:color="auto"/>
                    <w:right w:val="none" w:sz="0" w:space="0" w:color="auto"/>
                  </w:divBdr>
                </w:div>
                <w:div w:id="965042047">
                  <w:marLeft w:val="0"/>
                  <w:marRight w:val="0"/>
                  <w:marTop w:val="0"/>
                  <w:marBottom w:val="0"/>
                  <w:divBdr>
                    <w:top w:val="none" w:sz="0" w:space="0" w:color="auto"/>
                    <w:left w:val="none" w:sz="0" w:space="0" w:color="auto"/>
                    <w:bottom w:val="none" w:sz="0" w:space="0" w:color="auto"/>
                    <w:right w:val="none" w:sz="0" w:space="0" w:color="auto"/>
                  </w:divBdr>
                </w:div>
                <w:div w:id="796292612">
                  <w:marLeft w:val="0"/>
                  <w:marRight w:val="0"/>
                  <w:marTop w:val="0"/>
                  <w:marBottom w:val="0"/>
                  <w:divBdr>
                    <w:top w:val="none" w:sz="0" w:space="0" w:color="auto"/>
                    <w:left w:val="none" w:sz="0" w:space="0" w:color="auto"/>
                    <w:bottom w:val="none" w:sz="0" w:space="0" w:color="auto"/>
                    <w:right w:val="none" w:sz="0" w:space="0" w:color="auto"/>
                  </w:divBdr>
                </w:div>
                <w:div w:id="774255056">
                  <w:marLeft w:val="0"/>
                  <w:marRight w:val="0"/>
                  <w:marTop w:val="0"/>
                  <w:marBottom w:val="0"/>
                  <w:divBdr>
                    <w:top w:val="none" w:sz="0" w:space="0" w:color="auto"/>
                    <w:left w:val="none" w:sz="0" w:space="0" w:color="auto"/>
                    <w:bottom w:val="none" w:sz="0" w:space="0" w:color="auto"/>
                    <w:right w:val="none" w:sz="0" w:space="0" w:color="auto"/>
                  </w:divBdr>
                </w:div>
                <w:div w:id="413815891">
                  <w:marLeft w:val="0"/>
                  <w:marRight w:val="0"/>
                  <w:marTop w:val="0"/>
                  <w:marBottom w:val="0"/>
                  <w:divBdr>
                    <w:top w:val="none" w:sz="0" w:space="0" w:color="auto"/>
                    <w:left w:val="none" w:sz="0" w:space="0" w:color="auto"/>
                    <w:bottom w:val="none" w:sz="0" w:space="0" w:color="auto"/>
                    <w:right w:val="none" w:sz="0" w:space="0" w:color="auto"/>
                  </w:divBdr>
                </w:div>
                <w:div w:id="375928683">
                  <w:marLeft w:val="0"/>
                  <w:marRight w:val="0"/>
                  <w:marTop w:val="0"/>
                  <w:marBottom w:val="0"/>
                  <w:divBdr>
                    <w:top w:val="none" w:sz="0" w:space="0" w:color="auto"/>
                    <w:left w:val="none" w:sz="0" w:space="0" w:color="auto"/>
                    <w:bottom w:val="none" w:sz="0" w:space="0" w:color="auto"/>
                    <w:right w:val="none" w:sz="0" w:space="0" w:color="auto"/>
                  </w:divBdr>
                </w:div>
                <w:div w:id="432671919">
                  <w:marLeft w:val="0"/>
                  <w:marRight w:val="0"/>
                  <w:marTop w:val="0"/>
                  <w:marBottom w:val="0"/>
                  <w:divBdr>
                    <w:top w:val="none" w:sz="0" w:space="0" w:color="auto"/>
                    <w:left w:val="none" w:sz="0" w:space="0" w:color="auto"/>
                    <w:bottom w:val="none" w:sz="0" w:space="0" w:color="auto"/>
                    <w:right w:val="none" w:sz="0" w:space="0" w:color="auto"/>
                  </w:divBdr>
                </w:div>
                <w:div w:id="590352553">
                  <w:marLeft w:val="0"/>
                  <w:marRight w:val="0"/>
                  <w:marTop w:val="0"/>
                  <w:marBottom w:val="0"/>
                  <w:divBdr>
                    <w:top w:val="none" w:sz="0" w:space="0" w:color="auto"/>
                    <w:left w:val="none" w:sz="0" w:space="0" w:color="auto"/>
                    <w:bottom w:val="none" w:sz="0" w:space="0" w:color="auto"/>
                    <w:right w:val="none" w:sz="0" w:space="0" w:color="auto"/>
                  </w:divBdr>
                </w:div>
                <w:div w:id="609509794">
                  <w:marLeft w:val="0"/>
                  <w:marRight w:val="0"/>
                  <w:marTop w:val="0"/>
                  <w:marBottom w:val="0"/>
                  <w:divBdr>
                    <w:top w:val="none" w:sz="0" w:space="0" w:color="auto"/>
                    <w:left w:val="none" w:sz="0" w:space="0" w:color="auto"/>
                    <w:bottom w:val="none" w:sz="0" w:space="0" w:color="auto"/>
                    <w:right w:val="none" w:sz="0" w:space="0" w:color="auto"/>
                  </w:divBdr>
                </w:div>
                <w:div w:id="505444273">
                  <w:marLeft w:val="0"/>
                  <w:marRight w:val="0"/>
                  <w:marTop w:val="0"/>
                  <w:marBottom w:val="0"/>
                  <w:divBdr>
                    <w:top w:val="none" w:sz="0" w:space="0" w:color="auto"/>
                    <w:left w:val="none" w:sz="0" w:space="0" w:color="auto"/>
                    <w:bottom w:val="none" w:sz="0" w:space="0" w:color="auto"/>
                    <w:right w:val="none" w:sz="0" w:space="0" w:color="auto"/>
                  </w:divBdr>
                </w:div>
                <w:div w:id="1887568272">
                  <w:marLeft w:val="0"/>
                  <w:marRight w:val="0"/>
                  <w:marTop w:val="0"/>
                  <w:marBottom w:val="0"/>
                  <w:divBdr>
                    <w:top w:val="none" w:sz="0" w:space="0" w:color="auto"/>
                    <w:left w:val="none" w:sz="0" w:space="0" w:color="auto"/>
                    <w:bottom w:val="none" w:sz="0" w:space="0" w:color="auto"/>
                    <w:right w:val="none" w:sz="0" w:space="0" w:color="auto"/>
                  </w:divBdr>
                </w:div>
                <w:div w:id="165824877">
                  <w:marLeft w:val="0"/>
                  <w:marRight w:val="0"/>
                  <w:marTop w:val="0"/>
                  <w:marBottom w:val="0"/>
                  <w:divBdr>
                    <w:top w:val="none" w:sz="0" w:space="0" w:color="auto"/>
                    <w:left w:val="none" w:sz="0" w:space="0" w:color="auto"/>
                    <w:bottom w:val="none" w:sz="0" w:space="0" w:color="auto"/>
                    <w:right w:val="none" w:sz="0" w:space="0" w:color="auto"/>
                  </w:divBdr>
                </w:div>
                <w:div w:id="1724521874">
                  <w:marLeft w:val="0"/>
                  <w:marRight w:val="0"/>
                  <w:marTop w:val="0"/>
                  <w:marBottom w:val="0"/>
                  <w:divBdr>
                    <w:top w:val="none" w:sz="0" w:space="0" w:color="auto"/>
                    <w:left w:val="none" w:sz="0" w:space="0" w:color="auto"/>
                    <w:bottom w:val="none" w:sz="0" w:space="0" w:color="auto"/>
                    <w:right w:val="none" w:sz="0" w:space="0" w:color="auto"/>
                  </w:divBdr>
                </w:div>
                <w:div w:id="206610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335108">
      <w:bodyDiv w:val="1"/>
      <w:marLeft w:val="0"/>
      <w:marRight w:val="0"/>
      <w:marTop w:val="0"/>
      <w:marBottom w:val="0"/>
      <w:divBdr>
        <w:top w:val="none" w:sz="0" w:space="0" w:color="auto"/>
        <w:left w:val="none" w:sz="0" w:space="0" w:color="auto"/>
        <w:bottom w:val="none" w:sz="0" w:space="0" w:color="auto"/>
        <w:right w:val="none" w:sz="0" w:space="0" w:color="auto"/>
      </w:divBdr>
    </w:div>
    <w:div w:id="2110661637">
      <w:bodyDiv w:val="1"/>
      <w:marLeft w:val="0"/>
      <w:marRight w:val="0"/>
      <w:marTop w:val="0"/>
      <w:marBottom w:val="0"/>
      <w:divBdr>
        <w:top w:val="none" w:sz="0" w:space="0" w:color="auto"/>
        <w:left w:val="none" w:sz="0" w:space="0" w:color="auto"/>
        <w:bottom w:val="none" w:sz="0" w:space="0" w:color="auto"/>
        <w:right w:val="none" w:sz="0" w:space="0" w:color="auto"/>
      </w:divBdr>
    </w:div>
    <w:div w:id="2143766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webSettings" Target="webSettings.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yperlink" Target="http://www.cbcromaniabulgaria.eu"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ettings" Target="settings.xml"/><Relationship Id="rId25" Type="http://schemas.openxmlformats.org/officeDocument/2006/relationships/header" Target="header2.xml"/><Relationship Id="rId33" Type="http://schemas.openxmlformats.org/officeDocument/2006/relationships/hyperlink" Target="http://www.cbcromaniabulgaria.eu" TargetMode="External"/><Relationship Id="rId2" Type="http://schemas.openxmlformats.org/officeDocument/2006/relationships/customXml" Target="../customXml/item2.xml"/><Relationship Id="rId16" Type="http://schemas.openxmlformats.org/officeDocument/2006/relationships/styles" Target="styles.xml"/><Relationship Id="rId20" Type="http://schemas.openxmlformats.org/officeDocument/2006/relationships/endnotes" Target="endnotes.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3.xml"/><Relationship Id="rId32"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numbering" Target="numbering.xml"/><Relationship Id="rId23" Type="http://schemas.openxmlformats.org/officeDocument/2006/relationships/footer" Target="footer2.xml"/><Relationship Id="rId28" Type="http://schemas.openxmlformats.org/officeDocument/2006/relationships/footer" Target="footer5.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footnotes" Target="footnotes.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 Id="rId27" Type="http://schemas.openxmlformats.org/officeDocument/2006/relationships/header" Target="header3.xml"/><Relationship Id="rId30" Type="http://schemas.openxmlformats.org/officeDocument/2006/relationships/footer" Target="footer6.xml"/><Relationship Id="rId35" Type="http://schemas.openxmlformats.org/officeDocument/2006/relationships/fontTable" Target="fontTable.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413E0-773E-445C-A056-8BBFE7DAC92B}">
  <ds:schemaRefs>
    <ds:schemaRef ds:uri="http://schemas.openxmlformats.org/officeDocument/2006/bibliography"/>
  </ds:schemaRefs>
</ds:datastoreItem>
</file>

<file path=customXml/itemProps10.xml><?xml version="1.0" encoding="utf-8"?>
<ds:datastoreItem xmlns:ds="http://schemas.openxmlformats.org/officeDocument/2006/customXml" ds:itemID="{A4E355A4-F4D9-4497-8354-8C209DC7E32C}">
  <ds:schemaRefs>
    <ds:schemaRef ds:uri="http://schemas.openxmlformats.org/officeDocument/2006/bibliography"/>
  </ds:schemaRefs>
</ds:datastoreItem>
</file>

<file path=customXml/itemProps11.xml><?xml version="1.0" encoding="utf-8"?>
<ds:datastoreItem xmlns:ds="http://schemas.openxmlformats.org/officeDocument/2006/customXml" ds:itemID="{36D97EF1-0AE2-4011-BF75-F154F87B8268}">
  <ds:schemaRefs>
    <ds:schemaRef ds:uri="http://schemas.openxmlformats.org/officeDocument/2006/bibliography"/>
  </ds:schemaRefs>
</ds:datastoreItem>
</file>

<file path=customXml/itemProps12.xml><?xml version="1.0" encoding="utf-8"?>
<ds:datastoreItem xmlns:ds="http://schemas.openxmlformats.org/officeDocument/2006/customXml" ds:itemID="{11281300-CBBE-4D2B-A83E-CBE7F0451CCD}">
  <ds:schemaRefs>
    <ds:schemaRef ds:uri="http://schemas.openxmlformats.org/officeDocument/2006/bibliography"/>
  </ds:schemaRefs>
</ds:datastoreItem>
</file>

<file path=customXml/itemProps13.xml><?xml version="1.0" encoding="utf-8"?>
<ds:datastoreItem xmlns:ds="http://schemas.openxmlformats.org/officeDocument/2006/customXml" ds:itemID="{81F106DD-30E4-4177-BAC6-0D584290A4FC}">
  <ds:schemaRefs>
    <ds:schemaRef ds:uri="http://schemas.openxmlformats.org/officeDocument/2006/bibliography"/>
  </ds:schemaRefs>
</ds:datastoreItem>
</file>

<file path=customXml/itemProps14.xml><?xml version="1.0" encoding="utf-8"?>
<ds:datastoreItem xmlns:ds="http://schemas.openxmlformats.org/officeDocument/2006/customXml" ds:itemID="{6909E6B9-CAA2-419D-B6A4-4C465342FDF9}">
  <ds:schemaRefs>
    <ds:schemaRef ds:uri="http://schemas.openxmlformats.org/officeDocument/2006/bibliography"/>
  </ds:schemaRefs>
</ds:datastoreItem>
</file>

<file path=customXml/itemProps2.xml><?xml version="1.0" encoding="utf-8"?>
<ds:datastoreItem xmlns:ds="http://schemas.openxmlformats.org/officeDocument/2006/customXml" ds:itemID="{5332DE47-1D37-4AFA-8310-BBC60194324A}">
  <ds:schemaRefs>
    <ds:schemaRef ds:uri="http://schemas.openxmlformats.org/officeDocument/2006/bibliography"/>
  </ds:schemaRefs>
</ds:datastoreItem>
</file>

<file path=customXml/itemProps3.xml><?xml version="1.0" encoding="utf-8"?>
<ds:datastoreItem xmlns:ds="http://schemas.openxmlformats.org/officeDocument/2006/customXml" ds:itemID="{627E4149-DE11-484C-971D-36170CA5A63C}">
  <ds:schemaRefs>
    <ds:schemaRef ds:uri="http://schemas.openxmlformats.org/officeDocument/2006/bibliography"/>
  </ds:schemaRefs>
</ds:datastoreItem>
</file>

<file path=customXml/itemProps4.xml><?xml version="1.0" encoding="utf-8"?>
<ds:datastoreItem xmlns:ds="http://schemas.openxmlformats.org/officeDocument/2006/customXml" ds:itemID="{7586583F-72D9-4F7F-B4CE-6023A48C84C8}">
  <ds:schemaRefs>
    <ds:schemaRef ds:uri="http://schemas.openxmlformats.org/officeDocument/2006/bibliography"/>
  </ds:schemaRefs>
</ds:datastoreItem>
</file>

<file path=customXml/itemProps5.xml><?xml version="1.0" encoding="utf-8"?>
<ds:datastoreItem xmlns:ds="http://schemas.openxmlformats.org/officeDocument/2006/customXml" ds:itemID="{67CB1F40-C494-4EE1-9041-D6F568AB3E45}">
  <ds:schemaRefs>
    <ds:schemaRef ds:uri="http://schemas.openxmlformats.org/officeDocument/2006/bibliography"/>
  </ds:schemaRefs>
</ds:datastoreItem>
</file>

<file path=customXml/itemProps6.xml><?xml version="1.0" encoding="utf-8"?>
<ds:datastoreItem xmlns:ds="http://schemas.openxmlformats.org/officeDocument/2006/customXml" ds:itemID="{50FA509D-B358-4EBA-BBE6-ED806DDC1F83}">
  <ds:schemaRefs>
    <ds:schemaRef ds:uri="http://schemas.openxmlformats.org/officeDocument/2006/bibliography"/>
  </ds:schemaRefs>
</ds:datastoreItem>
</file>

<file path=customXml/itemProps7.xml><?xml version="1.0" encoding="utf-8"?>
<ds:datastoreItem xmlns:ds="http://schemas.openxmlformats.org/officeDocument/2006/customXml" ds:itemID="{085B885D-CEB8-47DF-A74D-55BA0156B719}">
  <ds:schemaRefs>
    <ds:schemaRef ds:uri="http://schemas.openxmlformats.org/officeDocument/2006/bibliography"/>
  </ds:schemaRefs>
</ds:datastoreItem>
</file>

<file path=customXml/itemProps8.xml><?xml version="1.0" encoding="utf-8"?>
<ds:datastoreItem xmlns:ds="http://schemas.openxmlformats.org/officeDocument/2006/customXml" ds:itemID="{DB10D18F-D45E-43B1-A003-11DEA3C5425A}">
  <ds:schemaRefs>
    <ds:schemaRef ds:uri="http://schemas.openxmlformats.org/officeDocument/2006/bibliography"/>
  </ds:schemaRefs>
</ds:datastoreItem>
</file>

<file path=customXml/itemProps9.xml><?xml version="1.0" encoding="utf-8"?>
<ds:datastoreItem xmlns:ds="http://schemas.openxmlformats.org/officeDocument/2006/customXml" ds:itemID="{DA6968F8-7CC6-4300-98A6-7B8C20B02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136</Pages>
  <Words>48841</Words>
  <Characters>278400</Characters>
  <Application>Microsoft Office Word</Application>
  <DocSecurity>0</DocSecurity>
  <Lines>2320</Lines>
  <Paragraphs>653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326588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de la version d'évaluation de Office 2004</dc:creator>
  <cp:lastModifiedBy>Mihaela Mihai</cp:lastModifiedBy>
  <cp:revision>14</cp:revision>
  <cp:lastPrinted>2014-08-07T10:31:00Z</cp:lastPrinted>
  <dcterms:created xsi:type="dcterms:W3CDTF">2014-08-04T06:31:00Z</dcterms:created>
  <dcterms:modified xsi:type="dcterms:W3CDTF">2014-10-31T07:39:00Z</dcterms:modified>
</cp:coreProperties>
</file>